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 from a 'low bar' (excessive working hours: common, harder to interpret as coercion) through to a 'high bar' (document and passport withholding: unambiguously coercive) — treating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r>
        <w:rPr>
          <w:rFonts w:ascii="var(--bs-body-font-family)" w:hAnsi="var(--bs-body-font-family)"/>
          <w:lang w:val="en-US"/>
        </w:rPr>
        <w:t>As industrial relations scholars, we</w:t>
      </w:r>
      <w:r w:rsidR="002B2B42">
        <w:rPr>
          <w:rFonts w:ascii="var(--bs-body-font-family)" w:hAnsi="var(--bs-body-font-family)"/>
          <w:lang w:val="en-US"/>
        </w:rPr>
        <w:t xml:space="preserve"> </w:t>
      </w:r>
      <w:r w:rsidR="00F549E8">
        <w:rPr>
          <w:rFonts w:ascii="var(--bs-body-font-family)" w:hAnsi="var(--bs-body-font-family)"/>
          <w:lang w:val="en-US"/>
        </w:rPr>
        <w:t xml:space="preserve">have </w:t>
      </w:r>
      <w:r w:rsidR="002B2B42">
        <w:rPr>
          <w:rFonts w:ascii="var(--bs-body-font-family)" w:hAnsi="var(--bs-body-font-family)"/>
          <w:lang w:val="en-US"/>
        </w:rPr>
        <w:t>been called to rethink our analytical practices and adjust our approach to better reflect</w:t>
      </w:r>
      <w:r w:rsidR="0074288F">
        <w:rPr>
          <w:rFonts w:ascii="var(--bs-body-font-family)" w:hAnsi="var(--bs-body-font-family)"/>
          <w:lang w:val="en-US"/>
        </w:rPr>
        <w:t xml:space="preserve"> transformations in the representation and self-</w:t>
      </w:r>
      <w:proofErr w:type="spellStart"/>
      <w:r w:rsidR="0074288F">
        <w:rPr>
          <w:rFonts w:ascii="var(--bs-body-font-family)" w:hAnsi="var(--bs-body-font-family)"/>
          <w:lang w:val="en-US"/>
        </w:rPr>
        <w:t>organisation</w:t>
      </w:r>
      <w:proofErr w:type="spellEnd"/>
      <w:r w:rsidR="0074288F">
        <w:rPr>
          <w:rFonts w:ascii="var(--bs-body-font-family)" w:hAnsi="var(--bs-body-font-family)"/>
          <w:lang w:val="en-US"/>
        </w:rPr>
        <w:t xml:space="preserve"> of </w:t>
      </w:r>
      <w:r w:rsidR="00F464A5">
        <w:rPr>
          <w:rFonts w:ascii="var(--bs-body-font-family)" w:hAnsi="var(--bs-body-font-family)"/>
          <w:lang w:val="en-US"/>
        </w:rPr>
        <w:t xml:space="preserve">migrant </w:t>
      </w:r>
      <w:r w:rsidR="0074288F">
        <w:rPr>
          <w:rFonts w:ascii="var(--bs-body-font-family)" w:hAnsi="var(--bs-body-font-family)"/>
          <w:lang w:val="en-US"/>
        </w:rPr>
        <w:t>workers</w:t>
      </w:r>
      <w:r w:rsidR="00F464A5">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{"citationID":"L70gCyAY","properties":{"formattedCitation":"(Alberti and Per\\uc0\\u242{}, 2018)","plainCitation":"(Alberti and Però, 2018)","noteIndex":0},"citationItems":[{"id":735,"uris":["http://zotero.org/users/local/nMxJkNMP/items/JC9C84HH"],"itemData":{"id":735,"type":"article-journal","abstract":"This article develops an embedded actor-centred framework for studying the mobilization and bargaining practices of migrant workers. This framework is applied to examine two instances of labour organizing by low-paid Latin American workers in London showing how migrant workers can develop innovative collective initiatives located at the junction of class and ethnicity that can be effective and rewarding in material and non-material terms. In particular, the article shows that while there is a growing interest on the part of established unions to represent migrant workers, their bargaining and mobilization strategies appear inadequate to accommodate the bottom-up initiatives of such workers who, as a result, have started to articulate them independently. On the basis of the findings obtained, we thus argue in favour of an actor-centred framework to the study of migration and IR to better identify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interests, identities and practices as shaped by complex regulatory and social context.","container-title":"British Journal of Industrial Relations","DOI":"10.1111/bjir.12308","ISSN":"1467-8543","issue":"4","language":"en","license":"© 2018 John Wiley &amp; Sons Ltd.","note":"_eprint: https://onlinelibrary.wiley.com/doi/pdf/10.1111/bjir.12308","page":"693-715","source":"Wiley Online Library","title":"Migrating Industrial Relations: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Initiative Within and Outside Trade Unions","title-short":"Migrating Industrial Relations","URL":"https://onlinelibrary.wiley.com/doi/abs/10.1111/bjir.12308","volume":"56","author":[{"family":"Alberti","given":"Gabriella"},{"family":"Però","given":"Davide"}],"accessed":{"date-parts":[["2026",1,22]]},"issued":{"date-parts":[["2018"]]}}}],"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Però, 2018)</w:t>
      </w:r>
      <w:r w:rsidR="00B459A2">
        <w:rPr>
          <w:rFonts w:ascii="var(--bs-body-font-family)" w:hAnsi="var(--bs-body-font-family)" w:hint="eastAsia"/>
          <w:lang w:val="en-US"/>
        </w:rPr>
        <w:fldChar w:fldCharType="end"/>
      </w:r>
      <w:r w:rsidR="00F464A5">
        <w:rPr>
          <w:rFonts w:ascii="var(--bs-body-font-family)" w:hAnsi="var(--bs-body-font-family)"/>
          <w:lang w:val="en-US"/>
        </w:rPr>
        <w:t>.</w:t>
      </w:r>
      <w:r w:rsidR="006250E0">
        <w:rPr>
          <w:rFonts w:ascii="var(--bs-body-font-family)" w:hAnsi="var(--bs-body-font-family)"/>
          <w:lang w:val="en-US"/>
        </w:rPr>
        <w:t xml:space="preserve"> </w:t>
      </w:r>
      <w:r w:rsidR="00F967D3">
        <w:rPr>
          <w:rFonts w:ascii="var(--bs-body-font-family)" w:hAnsi="var(--bs-body-font-family)"/>
          <w:lang w:val="en-US"/>
        </w:rPr>
        <w:t>Member-led</w:t>
      </w:r>
      <w:r w:rsidR="006250E0">
        <w:rPr>
          <w:rFonts w:ascii="var(--bs-body-font-family)" w:hAnsi="var(--bs-body-font-family)"/>
          <w:lang w:val="en-US"/>
        </w:rPr>
        <w:t xml:space="preserve"> c</w:t>
      </w:r>
      <w:r w:rsidR="00455260">
        <w:rPr>
          <w:rFonts w:ascii="var(--bs-body-font-family)" w:hAnsi="var(--bs-body-font-family)"/>
          <w:lang w:val="en-US"/>
        </w:rPr>
        <w:t xml:space="preserve">ivil society and </w:t>
      </w:r>
      <w:r w:rsidR="00455260">
        <w:rPr>
          <w:rFonts w:ascii="var(--bs-body-font-family)" w:hAnsi="var(--bs-body-font-family)"/>
          <w:lang w:val="en-US"/>
        </w:rPr>
        <w:lastRenderedPageBreak/>
        <w:t xml:space="preserve">third sector </w:t>
      </w:r>
      <w:proofErr w:type="spellStart"/>
      <w:r w:rsidR="00455260">
        <w:rPr>
          <w:rFonts w:ascii="var(--bs-body-font-family)" w:hAnsi="var(--bs-body-font-family)"/>
          <w:lang w:val="en-US"/>
        </w:rPr>
        <w:t>organisations</w:t>
      </w:r>
      <w:proofErr w:type="spellEnd"/>
      <w:r w:rsidR="00455260">
        <w:rPr>
          <w:rFonts w:ascii="var(--bs-body-font-family)" w:hAnsi="var(--bs-body-font-family)"/>
          <w:lang w:val="en-US"/>
        </w:rPr>
        <w:t xml:space="preserve"> have been described as</w:t>
      </w:r>
      <w:r w:rsidR="00B459A2">
        <w:rPr>
          <w:rFonts w:ascii="var(--bs-body-font-family)" w:hAnsi="var(--bs-body-font-family)"/>
          <w:lang w:val="en-US"/>
        </w:rPr>
        <w:t xml:space="preserve"> the</w:t>
      </w:r>
      <w:r w:rsidR="00455260">
        <w:rPr>
          <w:rFonts w:ascii="var(--bs-body-font-family)" w:hAnsi="var(--bs-body-font-family)"/>
          <w:lang w:val="en-US"/>
        </w:rPr>
        <w:t xml:space="preserve"> </w:t>
      </w:r>
      <w:r w:rsidR="00B459A2">
        <w:rPr>
          <w:rFonts w:ascii="var(--bs-body-font-family)" w:hAnsi="var(--bs-body-font-family)"/>
          <w:lang w:val="en-US"/>
        </w:rPr>
        <w:t>‘</w:t>
      </w:r>
      <w:r w:rsidR="00455260">
        <w:rPr>
          <w:rFonts w:ascii="var(--bs-body-font-family)" w:hAnsi="var(--bs-body-font-family)"/>
          <w:lang w:val="en-US"/>
        </w:rPr>
        <w:t>new actors</w:t>
      </w:r>
      <w:r w:rsidR="00B459A2">
        <w:rPr>
          <w:rFonts w:ascii="var(--bs-body-font-family)" w:hAnsi="var(--bs-body-font-family)"/>
          <w:lang w:val="en-US"/>
        </w:rPr>
        <w:t>’</w:t>
      </w:r>
      <w:r w:rsidR="00455260">
        <w:rPr>
          <w:rFonts w:ascii="var(--bs-body-font-family)" w:hAnsi="var(--bs-body-font-family)"/>
          <w:lang w:val="en-US"/>
        </w:rPr>
        <w:t xml:space="preserve"> in</w:t>
      </w:r>
      <w:r w:rsidR="00B459A2">
        <w:rPr>
          <w:rFonts w:ascii="var(--bs-body-font-family)" w:hAnsi="var(--bs-body-font-family)"/>
          <w:lang w:val="en-US"/>
        </w:rPr>
        <w:t xml:space="preserve"> the</w:t>
      </w:r>
      <w:r w:rsidR="00455260">
        <w:rPr>
          <w:rFonts w:ascii="var(--bs-body-font-family)" w:hAnsi="var(--bs-body-font-family)"/>
          <w:lang w:val="en-US"/>
        </w:rPr>
        <w:t xml:space="preserve"> </w:t>
      </w:r>
      <w:r w:rsidR="00E73A52">
        <w:rPr>
          <w:rFonts w:ascii="var(--bs-body-font-family)" w:hAnsi="var(--bs-body-font-family)"/>
          <w:lang w:val="en-US"/>
        </w:rPr>
        <w:t>industrial relations</w:t>
      </w:r>
      <w:r w:rsidR="00F80625">
        <w:rPr>
          <w:rFonts w:ascii="var(--bs-body-font-family)" w:hAnsi="var(--bs-body-font-family)"/>
          <w:lang w:val="en-US"/>
        </w:rPr>
        <w:t xml:space="preserve"> of these workers</w:t>
      </w:r>
      <w:r w:rsidR="00B459A2">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{"citationID":"WXN2EKJp","properties":{"formattedCitation":"(Alberti and Cutter, 2022)","plainCitation":"(Alberti and Cutter, 2022)","noteIndex":0},"citationItems":[{"id":691,"uris":["http://zotero.org/users/local/nMxJkNMP/items/AW2A84Q2"],"itemData":{"id":691,"type":"article-journal","abstract":"The end of free movement of labour from the European Union represents an unprecedented form of re-regulation of the UK labour market. This study explores how old and new actors engage with the sphere of migration, arguing that not only their economic interests but also different political agendas and meanings of regulation shape dialogue on migration regulation post-Brexit. Our findings suggest moving away from a unilateral, positive view of regulation in work and employment as well as to overcome any artificial distinction between the economic and the social implications of international migration.","container-title":"Industrial Relations Journal","DOI":"10.1111/irj.12382","ISSN":"1468-2338","issue":"5","language":"en","note":"_eprint: https://onlinelibrary.wiley.com/doi/pdf/10.1111/irj.12382","page":"430-445","source":"Wiley Online Library","title":"Labour migration policy post-Brexit: The contested meaning of regulation by old and new actors","title-short":"Labour migration policy post-Brexit","URL":"https://onlinelibrary.wiley.com/doi/abs/10.1111/irj.12382","volume":"53","author":[{"family":"Alberti","given":"Gabriella"},{"family":"Cutter","given":"Jo"}],"accessed":{"date-parts":[["2025",12,18]]},"issued":{"date-parts":[["2022"]]}}}],"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Cutter, 2022)</w:t>
      </w:r>
      <w:r w:rsidR="00B459A2">
        <w:rPr>
          <w:rFonts w:ascii="var(--bs-body-font-family)" w:hAnsi="var(--bs-body-font-family)" w:hint="eastAsia"/>
          <w:lang w:val="en-US"/>
        </w:rPr>
        <w:fldChar w:fldCharType="end"/>
      </w:r>
      <w:r w:rsidR="00E73A52">
        <w:rPr>
          <w:rFonts w:ascii="var(--bs-body-font-family)" w:hAnsi="var(--bs-body-font-family)"/>
          <w:lang w:val="en-US"/>
        </w:rPr>
        <w:t xml:space="preserve">. Such </w:t>
      </w:r>
      <w:proofErr w:type="spellStart"/>
      <w:r w:rsidR="00E73A52">
        <w:rPr>
          <w:rFonts w:ascii="var(--bs-body-font-family)" w:hAnsi="var(--bs-body-font-family)"/>
          <w:lang w:val="en-US"/>
        </w:rPr>
        <w:t>organisations</w:t>
      </w:r>
      <w:proofErr w:type="spellEnd"/>
      <w:r w:rsidR="00E73A52">
        <w:rPr>
          <w:rFonts w:ascii="var(--bs-body-font-family)" w:hAnsi="var(--bs-body-font-family)"/>
          <w:lang w:val="en-US"/>
        </w:rPr>
        <w:t xml:space="preserve"> work alongside </w:t>
      </w:r>
      <w:r w:rsidR="007F1F24">
        <w:rPr>
          <w:rFonts w:ascii="var(--bs-body-font-family)" w:hAnsi="var(--bs-body-font-family)"/>
          <w:lang w:val="en-US"/>
        </w:rPr>
        <w:t>workers and employers</w:t>
      </w:r>
      <w:r w:rsidR="00F01EB0">
        <w:rPr>
          <w:rFonts w:ascii="var(--bs-body-font-family)" w:hAnsi="var(--bs-body-font-family)"/>
          <w:lang w:val="en-US"/>
        </w:rPr>
        <w:t xml:space="preserve"> to resist any downgrading of employment standards.</w:t>
      </w:r>
      <w:r w:rsidR="00D92512">
        <w:rPr>
          <w:rFonts w:ascii="var(--bs-body-font-family)" w:hAnsi="var(--bs-body-font-family)"/>
          <w:lang w:val="en-US"/>
        </w:rPr>
        <w:t xml:space="preserve"> Central to th</w:t>
      </w:r>
      <w:r w:rsidR="00CB75FE">
        <w:rPr>
          <w:rFonts w:ascii="var(--bs-body-font-family)" w:hAnsi="var(--bs-body-font-family)"/>
          <w:lang w:val="en-US"/>
        </w:rPr>
        <w:t>eir</w:t>
      </w:r>
      <w:r w:rsidR="00D92512">
        <w:rPr>
          <w:rFonts w:ascii="var(--bs-body-font-family)" w:hAnsi="var(--bs-body-font-family)"/>
          <w:lang w:val="en-US"/>
        </w:rPr>
        <w:t xml:space="preserve"> </w:t>
      </w:r>
      <w:r w:rsidR="00CB75FE">
        <w:rPr>
          <w:rFonts w:ascii="var(--bs-body-font-family)" w:hAnsi="var(--bs-body-font-family)"/>
          <w:lang w:val="en-US"/>
        </w:rPr>
        <w:t>endeavor</w:t>
      </w:r>
      <w:r w:rsidR="00A433BE">
        <w:rPr>
          <w:rFonts w:ascii="var(--bs-body-font-family)" w:hAnsi="var(--bs-body-font-family)"/>
          <w:lang w:val="en-US"/>
        </w:rPr>
        <w:t>s</w:t>
      </w:r>
      <w:r w:rsidR="0074080D">
        <w:rPr>
          <w:rFonts w:ascii="var(--bs-body-font-family)" w:hAnsi="var(--bs-body-font-family)"/>
          <w:lang w:val="en-US"/>
        </w:rPr>
        <w:t xml:space="preserve"> is identification of the</w:t>
      </w:r>
      <w:r w:rsidR="00B55383">
        <w:rPr>
          <w:rFonts w:ascii="var(--bs-body-font-family)" w:hAnsi="var(--bs-body-font-family)"/>
          <w:lang w:val="en-US"/>
        </w:rPr>
        <w:t xml:space="preserve"> nature and</w:t>
      </w:r>
      <w:r w:rsidR="0074080D">
        <w:rPr>
          <w:rFonts w:ascii="var(--bs-body-font-family)" w:hAnsi="var(--bs-body-font-family)"/>
          <w:lang w:val="en-US"/>
        </w:rPr>
        <w:t xml:space="preserve"> scale of</w:t>
      </w:r>
      <w:r w:rsidR="00B55383">
        <w:rPr>
          <w:rFonts w:ascii="var(--bs-body-font-family)" w:hAnsi="var(--bs-body-font-family)"/>
          <w:lang w:val="en-US"/>
        </w:rPr>
        <w:t xml:space="preserve"> employment rights abuses</w:t>
      </w:r>
      <w:r w:rsidR="00A42799">
        <w:rPr>
          <w:rFonts w:ascii="var(--bs-body-font-family)" w:hAnsi="var(--bs-body-font-family)"/>
          <w:lang w:val="en-US"/>
        </w:rPr>
        <w:t xml:space="preserve">, often discussed in terms of </w:t>
      </w:r>
      <w:proofErr w:type="spellStart"/>
      <w:r w:rsidR="00A42799">
        <w:rPr>
          <w:rFonts w:ascii="var(--bs-body-font-family)" w:hAnsi="var(--bs-body-font-family)"/>
          <w:lang w:val="en-US"/>
        </w:rPr>
        <w:t>labour</w:t>
      </w:r>
      <w:proofErr w:type="spellEnd"/>
      <w:r w:rsidR="00A42799">
        <w:rPr>
          <w:rFonts w:ascii="var(--bs-body-font-family)" w:hAnsi="var(--bs-body-font-family)"/>
          <w:lang w:val="en-US"/>
        </w:rPr>
        <w:t xml:space="preserve"> exploitation</w:t>
      </w:r>
      <w:r w:rsidR="006958C1">
        <w:rPr>
          <w:rFonts w:ascii="var(--bs-body-font-family)" w:hAnsi="var(--bs-body-font-family)"/>
          <w:lang w:val="en-US"/>
        </w:rPr>
        <w:t xml:space="preserve"> </w:t>
      </w:r>
      <w:r w:rsidR="006958C1">
        <w:rPr>
          <w:rFonts w:ascii="var(--bs-body-font-family)" w:hAnsi="var(--bs-body-font-family)" w:hint="eastAsia"/>
          <w:lang w:val="en-US"/>
        </w:rPr>
        <w:fldChar w:fldCharType="begin"/>
      </w:r>
      <w:r w:rsidR="006958C1">
        <w:rPr>
          <w:rFonts w:ascii="var(--bs-body-font-family)" w:hAnsi="var(--bs-body-font-family)" w:hint="eastAsia"/>
          <w:lang w:val="en-US"/>
        </w:rPr>
        <w:instrText xml:space="preserve"> ADDIN ZOTERO_ITEM CSL_CITATION {"citationID":"7rgj4B69","properties":{"formattedCitation":"(Kalayaan, 2008; Latin American Women\\uc0\\u8217{}s Rights Service, 2023)","plainCitation":"(Kalayaan, 2008; Latin American Women</w:instrText>
      </w:r>
      <w:r w:rsidR="006958C1">
        <w:rPr>
          <w:rFonts w:ascii="var(--bs-body-font-family)" w:hAnsi="var(--bs-body-font-family)" w:hint="eastAsia"/>
          <w:lang w:val="en-US"/>
        </w:rPr>
        <w:instrText>’</w:instrText>
      </w:r>
      <w:r w:rsidR="006958C1">
        <w:rPr>
          <w:rFonts w:ascii="var(--bs-body-font-family)" w:hAnsi="var(--bs-body-font-family)" w:hint="eastAsia"/>
          <w:lang w:val="en-US"/>
        </w:rPr>
        <w:instrText xml:space="preserve">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6958C1">
        <w:rPr>
          <w:rFonts w:ascii="var(--bs-body-font-family)" w:hAnsi="var(--bs-body-font-family)" w:hint="eastAsia"/>
          <w:lang w:val="en-US"/>
        </w:rPr>
        <w:fldChar w:fldCharType="separate"/>
      </w:r>
      <w:r w:rsidR="006958C1" w:rsidRPr="006958C1">
        <w:rPr>
          <w:rFonts w:ascii="var(--bs-body-font-family)" w:hAnsi="var(--bs-body-font-family)"/>
        </w:rPr>
        <w:t>(</w:t>
      </w:r>
      <w:r w:rsidR="006958C1">
        <w:rPr>
          <w:rFonts w:ascii="var(--bs-body-font-family)" w:hAnsi="var(--bs-body-font-family)"/>
        </w:rPr>
        <w:t xml:space="preserve">see for example </w:t>
      </w:r>
      <w:r w:rsidR="006958C1" w:rsidRPr="006958C1">
        <w:rPr>
          <w:rFonts w:ascii="var(--bs-body-font-family)" w:hAnsi="var(--bs-body-font-family)"/>
        </w:rPr>
        <w:t>Kalayaan, 2008; Latin American Women’s Rights Service, 2023)</w:t>
      </w:r>
      <w:r w:rsidR="006958C1">
        <w:rPr>
          <w:rFonts w:ascii="var(--bs-body-font-family)" w:hAnsi="var(--bs-body-font-family)" w:hint="eastAsia"/>
          <w:lang w:val="en-US"/>
        </w:rPr>
        <w:fldChar w:fldCharType="end"/>
      </w:r>
      <w:r w:rsidR="00A42799">
        <w:rPr>
          <w:rFonts w:ascii="var(--bs-body-font-family)" w:hAnsi="var(--bs-body-font-family)"/>
          <w:lang w:val="en-US"/>
        </w:rPr>
        <w:t>.</w:t>
      </w:r>
      <w:r w:rsidR="0074080D">
        <w:rPr>
          <w:rFonts w:ascii="var(--bs-body-font-family)" w:hAnsi="var(--bs-body-font-family)"/>
          <w:lang w:val="en-US"/>
        </w:rPr>
        <w:t xml:space="preserve"> </w:t>
      </w:r>
      <w:r w:rsidR="00F01EB0">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has been defined as ‘work situations that deviate significantly from</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 working conditions as defined by legislation or other binding legal regulations,</w:t>
      </w:r>
      <w:r w:rsidR="00064660" w:rsidRPr="29FA58D5">
        <w:rPr>
          <w:rFonts w:ascii="var(--bs-body-font-family)" w:hAnsi="var(--bs-body-font-family)"/>
          <w:lang w:val="en-US"/>
        </w:rPr>
        <w:t xml:space="preserve"> </w:t>
      </w:r>
      <w:r w:rsidR="002171EC" w:rsidRPr="29FA58D5">
        <w:rPr>
          <w:rFonts w:ascii="var(--bs-body-font-family)" w:hAnsi="var(--bs-body-font-family)"/>
          <w:lang w:val="en-US"/>
        </w:rPr>
        <w:t>concerning in particular remuneration, working hours, leave entitlements, health and safety</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standards and decent treatment’</w:t>
      </w:r>
      <w:r w:rsidR="00656A22" w:rsidRPr="29FA58D5">
        <w:rPr>
          <w:rFonts w:ascii="var(--bs-body-font-family)" w:hAnsi="var(--bs-body-font-family)"/>
          <w:lang w:val="en-US"/>
        </w:rPr>
        <w:t xml:space="preserve"> </w:t>
      </w:r>
      <w:r w:rsidR="00FB3D81">
        <w:rPr>
          <w:rFonts w:ascii="var(--bs-body-font-family)" w:hAnsi="var(--bs-body-font-family)" w:hint="eastAsia"/>
          <w:lang w:val="en-US"/>
        </w:rPr>
        <w:fldChar w:fldCharType="begin"/>
      </w:r>
      <w:r w:rsidR="00FB3D81">
        <w:rPr>
          <w:rFonts w:ascii="var(--bs-body-font-family)" w:hAnsi="var(--bs-body-font-family)" w:hint="eastAsia"/>
          <w:lang w:val="en-US"/>
        </w:rPr>
        <w:instrText xml:space="preserve"> ADDIN ZOTERO_ITEM CSL_CITATION {"citationID":"WzWOfyi6","properties":{"formattedCitation":"(European Union for Fundamental Rights, 2015, p. 10)","plainCitation":"(European Union for Fundamental Rights, 2015, p. 10)","noteIndex":0},"citationItems":[{"id":473,"uris":["http://zotero.org/users/local/nMxJkNMP/items/UWJ3JHI7"],"itemData":{"id":473,"type":"dataset","DOI":"10.1163/2210-7975_HRD-9992-2016018","language":"en","note":"Institution: Koninklijke Brill NV","source":"DOI.org (Crossref)","title":"Severe labour exploitation: workers moving within or into the European Union","title-short":"Severe labour exploitation","URL":"https://primarysources.brillonline.com/browse/human-rights-documents-online/severe-labour-exploitation-workers-moving-within-or-into-the-european-union;hrdhrd99922016018","author":[{"family":"European Union for Fundamental Rights","given":""}],"accessed":{"date-parts":[["2025",7,3]]},"issued":{"date-parts":[["2015"]]}},"locator":"10","label":"page"}],"schema":"https://github.com/citation-style-language/schema/raw/master/csl-citation.json"} </w:instrText>
      </w:r>
      <w:r w:rsidR="00FB3D81">
        <w:rPr>
          <w:rFonts w:ascii="var(--bs-body-font-family)" w:hAnsi="var(--bs-body-font-family)" w:hint="eastAsia"/>
          <w:lang w:val="en-US"/>
        </w:rPr>
        <w:fldChar w:fldCharType="separate"/>
      </w:r>
      <w:r w:rsidR="00FB3D81" w:rsidRPr="00FB3D81">
        <w:rPr>
          <w:rFonts w:ascii="var(--bs-body-font-family)" w:hAnsi="var(--bs-body-font-family)"/>
        </w:rPr>
        <w:t>(European Union for Fundamental Rights, 2015, p. 10)</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3400BB">
        <w:rPr>
          <w:rFonts w:ascii="var(--bs-body-font-family)" w:hAnsi="var(--bs-body-font-family)"/>
          <w:lang w:val="en-US"/>
        </w:rPr>
        <w:t>Recently,</w:t>
      </w:r>
      <w:r w:rsidR="002171EC" w:rsidRPr="29FA58D5">
        <w:rPr>
          <w:rFonts w:ascii="var(--bs-body-font-family)" w:hAnsi="var(--bs-body-font-family)"/>
          <w:lang w:val="en-US"/>
        </w:rPr>
        <w:t xml:space="preserve"> </w:t>
      </w:r>
      <w:r w:rsidR="00B91F8D">
        <w:rPr>
          <w:rFonts w:ascii="var(--bs-body-font-family)" w:hAnsi="var(--bs-body-font-family)"/>
          <w:lang w:val="en-US"/>
        </w:rPr>
        <w:t xml:space="preserve">more </w:t>
      </w:r>
      <w:r w:rsidR="002171EC" w:rsidRPr="29FA58D5">
        <w:rPr>
          <w:rFonts w:ascii="var(--bs-body-font-family)" w:hAnsi="var(--bs-body-font-family)"/>
          <w:lang w:val="en-US"/>
        </w:rPr>
        <w:t xml:space="preserve">serious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rights abuse</w:t>
      </w:r>
      <w:r w:rsidR="00064660" w:rsidRPr="29FA58D5">
        <w:rPr>
          <w:rFonts w:ascii="var(--bs-body-font-family)" w:hAnsi="var(--bs-body-font-family)"/>
          <w:lang w:val="en-US"/>
        </w:rPr>
        <w:t xml:space="preserve"> </w:t>
      </w:r>
      <w:r w:rsidR="002171EC" w:rsidRPr="29FA58D5">
        <w:rPr>
          <w:rFonts w:ascii="var(--bs-body-font-family)" w:hAnsi="var(--bs-body-font-family)"/>
          <w:lang w:val="en-US"/>
        </w:rPr>
        <w:t>ha</w:t>
      </w:r>
      <w:r w:rsidR="00606266">
        <w:rPr>
          <w:rFonts w:ascii="var(--bs-body-font-family)" w:hAnsi="var(--bs-body-font-family)"/>
          <w:lang w:val="en-US"/>
        </w:rPr>
        <w:t>s</w:t>
      </w:r>
      <w:r w:rsidR="002171EC" w:rsidRPr="29FA58D5">
        <w:rPr>
          <w:rFonts w:ascii="var(--bs-body-font-family)" w:hAnsi="var(--bs-body-font-family)"/>
          <w:lang w:val="en-US"/>
        </w:rPr>
        <w:t xml:space="preserve"> come to the fore with studies </w:t>
      </w:r>
      <w:r w:rsidR="000F6DFD">
        <w:rPr>
          <w:rFonts w:ascii="var(--bs-body-font-family)" w:hAnsi="var(--bs-body-font-family)"/>
          <w:lang w:val="en-US"/>
        </w:rPr>
        <w:t xml:space="preserve">in fields such as operations management </w:t>
      </w:r>
      <w:r w:rsidR="002171EC" w:rsidRPr="29FA58D5">
        <w:rPr>
          <w:rFonts w:ascii="var(--bs-body-font-family)" w:hAnsi="var(--bs-body-font-family)"/>
          <w:lang w:val="en-US"/>
        </w:rPr>
        <w:t>examining exploitation</w:t>
      </w:r>
      <w:r w:rsidR="00064660" w:rsidRPr="29FA58D5">
        <w:rPr>
          <w:rFonts w:ascii="var(--bs-body-font-family)" w:hAnsi="var(--bs-body-font-family)"/>
          <w:lang w:val="en-US"/>
        </w:rPr>
        <w:t xml:space="preserve"> </w:t>
      </w:r>
      <w:r w:rsidR="002171EC" w:rsidRPr="29FA58D5">
        <w:rPr>
          <w:rFonts w:ascii="var(--bs-body-font-family)" w:hAnsi="var(--bs-body-font-family)"/>
          <w:lang w:val="en-US"/>
        </w:rPr>
        <w:t>under the umbrella term ‘modern slavery’</w:t>
      </w:r>
      <w:r w:rsidR="00FB3D81">
        <w:rPr>
          <w:rFonts w:ascii="var(--bs-body-font-family)" w:hAnsi="var(--bs-body-font-family)"/>
          <w:lang w:val="en-US"/>
        </w:rPr>
        <w:t xml:space="preserve"> </w:t>
      </w:r>
      <w:r w:rsidR="00FB3D81">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{"citationID":"yjJuq5IL","properties":{"formattedCitation":"(Gold, Trautrims and Trodd, 2015; New, 2015; Benstead, Hendry and Stevenson, 2018; Stevenson and Cole, 2018)","plainCitation":"(Gold, Trautrims and Trodd, 2015; New, 2015; Benstead, Hendry and Stevenson, 2018; Stevenson and Cole, 2018)","noteIndex":0},"citationItems":[{"id":482,"uris":["http://zotero.org/users/local/nMxJkNMP/items/J75X65GL"],"itemData":{"id":482,"type":"article-journal","abstract":"The purpose of this paper is to investigate how horizontal collaboration aids organisations in responding to modern slavery legislation and in gaining a socially sustainable competitive advantage.,Action research has been conducted in the textiles and fashion industry and a relational perspective adopted to interpret five collaborative initiatives taken to tackle modern slavery (e.g. joint training and supplier audits). The primary engagement has been with a multi-billion pound turnover company and its collaborations with 35 brands/retailers. A non-government organisation and a trade body have also participated.,Successful horizontal collaboration is dependent on both relational capital and effective (formal and informal) governance mechanisms. In collaborating, firms have generated relational rents and reduced costs creating a socially sustainable competitive advantage, as suggested by the relational perspective. Yet, limits to horizontal collaboration also exist.,The focus is on one industry only, hence there is scope to extend the study to other industries or forms of collaboration taking place across industries.,Successful horizontal collaborative relationships rely on actors having a similar mindset and being able to decouple the commercial and sustainability agendas, especially when direct competitors are involved. Further, working with non-business actors can facilitate collaboration and provide knowledge and resources important for overcoming the uncertainty that is manifest when responding to new legislation.,Social sustainability improvements aim to enhance ethical trade and benefit vulnerable workers.,Prior literature has focussed on vertical collaboration with few prior studies of horizontal collaboration, particularly in a socially sustainable supply chain context. Moreover, there has been limited research into modern slavery from a supply chain perspective. Both successful and unsuccessful initiatives are studied, providing insights into (in)effective collaboration.","archive_location":"world","container-title":"International Journal of Operations &amp;amp; Production Management","DOI":"10.1108/IJOPM-10-2017-0611","ISSN":"0144-3577","issue":"12","language":"en","note":"publisher: Emerald Publishing Limited","page":"2286-2312","source":"www.emerald.com","title":"Horizontal collaboration in response to modern slavery legislation: An action research project","title-short":"Horizontal collaboration in response to modern slavery legislation","URL":"https://www.emerald.com/insight/content/doi/10.1108/ijopm-10-2017-0611/full/html","volume":"38","author":[{"family":"Benstead","given":"Amy V."},{"family":"Hendry","given":"Linda C."},{"family":"Stevenson","given":"Mark"}],"accessed":{"date-parts":[["2025",7,3]]},"issued":{"date-parts":[["2018",7,27]]}}},{"id":353,"uris":["http://zotero.org/users/local/nMxJkNMP/items/KXKKFJK6"],"itemData":{"id":353,"type":"article-journal","abstract":"</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This paper aims to draw attention to the challenges modern slavery poses to supply chain management. Although many international supply chains are (most often unknowingly) connected to slave labour activities, supply chain managers and researchers have so far neglected the issue. This will most likely change as soon as civil society lobbying and new legislation impose increasing litigation and reputational risks on companies operating international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definition of slavery; explores potentials for knowledge exchange with other disciplines; discusses management tools for detecting slavery, as well as suitable company responses after its detection; and outlines avenues for future research.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Due to a lack of effective indicators, new tools and indicator systems need to be developed that consider the specific social, cultural and geographical context of supply regions. After detection of slavery, multi-stakeholder partnerships, community-centred approaches and supplier development appear to be effective responses.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New theory development in supply chain management (SCM) is urgently needed to facilitate the understanding, avoidance and elimination of slavery in supply chains. As a starting point for future research, the challenges of slavery to SCM are conceptualised, focussing on capabilities and specific institutional context.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starting point for the development of practices and tools for identifying and removing slave labour from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Although representing a substantial threat to current supply chain models, slavery has so far not been addressed in SCM research.","archive_location":"world","container-title":"Supply Chain Management: An International Journal","DOI":"10.1108/SCM-02-2015-0046","ISSN":"1359-8546","issue":"5","language":"en","note":"publisher: Emerald Group Publishing Limited","page":"485-494","source":"www.emerald.com","title":"Modern slavery challenges to supply chain management","URL":"https://www.emerald.com/insight/content/doi/10.1108/scm-02-2015-0046/full/html","volume":"20","author":[{"family":"Gold","given":"Stefan"},{"family":"Trautrims","given":"Alexander"},{"family":"Trodd","given":"Zoe"}],"accessed":{"date-parts":[["2025",5,2]]},"issued":{"date-parts":[["2015",8,10]]}}},{"id":536,"uris":["http://zotero.org/users/local/nMxJkNMP/items/Y8J3EV3D"],"itemData":{"id":536,"type":"article-journal","abstract":"Purpose\n- This conceptual paper aims to examine modern slavery in the supply chain, showing how the issue challenges conventional thinking and practice in corporate social responsibility (CSR).\nDesign/methodology/approach\n- The paper considers the differences between modern slavery and other concerns within CSR. It examines legal attempts to encourage supply chain transparency and the use of corporate CSR methods. An example of forced labour in UK agriculture is used to develop a critique of these approaches. The paper examines the challenges facing research in this important area.\nFindings\n- The paper shows that the distinctive characteristics of modern slavery may make conventional supply chain CSR practices relatively ineffective. A holistic perspective may be needed in future research.\nResearch limitations/implications\n- Researchers need to focus less on the espoused policies of corporations, and more on the enacted practice.\nSocial implications\n- Modern slavery is universally accepted as a shameful blight on society; firms' supply chain practices may be part of the problem.\nOriginality/value\n- The paper's contribution is to point to the potential differences between modern slavery and other CSR-related issues and to highlight the paradox that firms' approaches to the issue may run in parallel with actions that foster the problem in the first place.","container-title":"Supply Chain Management","DOI":"10.1108/SCM-06-2015-0201","ISSN":"13598546","issue":"6","language":"English","license":"© Emerald Group Publishing Limited 2015","note":"number-of-pages: 697-707\npublisher-place: Bradford, United Kingdom\npublisher: Emerald Group Publishing Limited","page":"697-707","source":"ProQuest","title":"modern slavery and the supply chain: the limits of corporate social responsibility?","title-short":"modern slavery and the supply chain","URL":"https://www.proquest.com/docview/1725354229/abstract/1F57C4ACAAEB4970PQ/1","volume":"20","author":[{"family":"New","given":"Stephen John"}],"accessed":{"date-parts":[["2025",7,11]]},"issued":{"date-parts":[["2015"]]}}},{"id":480,"uris":["http://zotero.org/users/local/nMxJkNMP/items/8BYK8VHX"],"itemData":{"id":480,"type":"article-journal","abstract":"Purpose\n\nThe purpose of this study is to examine how organisations report on the detection and remediation of modern slavery in their operations and supply chains and to understand their approaches to disclosing information in response to modern slavery legislation.\n\nDesign/methodology/approach\n\nAn analysis of secondary data based on the statements is released in response to the 2015 UK Modern Slavery Act by 101 firms in the clothing and textiles sector.\n\nFindings\n\nMany firms use the same practices to detect and remediate modern slavery as for other social issues. But the hidden, criminal nature of modern slavery and the involvement of third party labour agencies mean practices need to either be tailored or other more innovative approaches developed, including in collaboration with traditional and non-traditional actors. Although five broad types of disclosure are identified, there is substantial heterogeneity in the statements. It is posited however that firms will converge on a more homogenous set of responses over time.\n\nResearch limitations/implications\n\nThe study is limited to one industry, responses to UK legislation and the information disclosed by focal firms only. Future research could expand the focus to include other industries, country contexts and stakeholders.\n\nPractical implications\n\nManagers must consider how their own firm</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behaviour contributes to the modern slavery threat, regulates both their stock and non-stock supply chains and ensures modern slavery is elevated from the procurement function to the boardroom. In making disclosures, managers may trade-off the potential competitive gains of transparency against the threat of information leakage and reputational risk should their statements be falsified. The managers should also consider what signals their statements send back up the chain to (sub-)suppliers. Findings also have potential policy implications.\n\nOriginality/value\n\nThe study expands the authors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understanding of: modern slavery from a supply chain perspective, e.g. identifying the importance of standard setting and risk avoidance; and, supply chain information disclosure in response to legislative demands. This is the first academic paper to examine the statements produced by organisations in response to the UK Modern Slavery Act.","container-title":"Supply Chain Management: An International Journal","DOI":"10.1108/SCM-11-2017-0382","journalAbbreviation":"Supply Chain Management: An International Journal","source":"ResearchGate","title":"Modern slavery in supply chains: a secondary data analysis of detection, remediation and disclosure","title-short":"Modern slavery in supply chains","volume":"23","author":[{"family":"Stevenson","given":"Mark"},{"family":"Cole","given":"Rosanna"}],"issued":{"date-parts":[["2018",4,13]]}}}],"schema":"https://github.com/citation-style-language/schema/raw/master/csl-citation.json"} </w:instrText>
      </w:r>
      <w:r w:rsidR="00FB3D81">
        <w:rPr>
          <w:rFonts w:ascii="var(--bs-body-font-family)" w:hAnsi="var(--bs-body-font-family)" w:hint="eastAsia"/>
          <w:lang w:val="en-US"/>
        </w:rPr>
        <w:fldChar w:fldCharType="separate"/>
      </w:r>
      <w:r w:rsidR="00B459A2" w:rsidRPr="00B459A2">
        <w:rPr>
          <w:rFonts w:ascii="var(--bs-body-font-family)" w:hAnsi="var(--bs-body-font-family)"/>
        </w:rPr>
        <w:t>(Gold, Trautrims and Trodd, 2015; New, 2015; Benstead, Hendry and Stevenson, 2018; Stevenson and Cole, 2018)</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1C3BE1">
        <w:rPr>
          <w:rFonts w:ascii="var(--bs-body-font-family)" w:hAnsi="var(--bs-body-font-family)"/>
          <w:lang w:val="en-US"/>
        </w:rPr>
        <w:t xml:space="preserve">In this article, we </w:t>
      </w:r>
      <w:r w:rsidR="007975D9">
        <w:rPr>
          <w:rFonts w:ascii="var(--bs-body-font-family)" w:hAnsi="var(--bs-body-font-family)"/>
          <w:lang w:val="en-US"/>
        </w:rPr>
        <w:t xml:space="preserve">use the case of migrant domestic workers in the UK to </w:t>
      </w:r>
      <w:r w:rsidR="0013214C">
        <w:rPr>
          <w:rFonts w:ascii="var(--bs-body-font-family)" w:hAnsi="var(--bs-body-font-family)"/>
          <w:lang w:val="en-US"/>
        </w:rPr>
        <w:t>demonstrate</w:t>
      </w:r>
      <w:r w:rsidR="00B91F8D">
        <w:rPr>
          <w:rFonts w:ascii="var(--bs-body-font-family)" w:hAnsi="var(--bs-body-font-family)"/>
          <w:lang w:val="en-US"/>
        </w:rPr>
        <w:t xml:space="preserve"> how </w:t>
      </w:r>
      <w:r w:rsidR="00362ADF">
        <w:rPr>
          <w:rFonts w:ascii="var(--bs-body-font-family)" w:hAnsi="var(--bs-body-font-family)"/>
          <w:lang w:val="en-US"/>
        </w:rPr>
        <w:t>academics can work</w:t>
      </w:r>
      <w:r w:rsidR="00B91F8D">
        <w:rPr>
          <w:rFonts w:ascii="var(--bs-body-font-family)" w:hAnsi="var(--bs-body-font-family)"/>
          <w:lang w:val="en-US"/>
        </w:rPr>
        <w:t xml:space="preserve"> with</w:t>
      </w:r>
      <w:r w:rsidR="00F22A29">
        <w:rPr>
          <w:rFonts w:ascii="var(--bs-body-font-family)" w:hAnsi="var(--bs-body-font-family)"/>
          <w:lang w:val="en-US"/>
        </w:rPr>
        <w:t xml:space="preserve"> civil society</w:t>
      </w:r>
      <w:r w:rsidR="00357D1B">
        <w:rPr>
          <w:rFonts w:ascii="var(--bs-body-font-family)" w:hAnsi="var(--bs-body-font-family)"/>
          <w:lang w:val="en-US"/>
        </w:rPr>
        <w:t xml:space="preserve"> </w:t>
      </w:r>
      <w:r w:rsidR="00F22A29">
        <w:rPr>
          <w:rFonts w:ascii="var(--bs-body-font-family)" w:hAnsi="var(--bs-body-font-family)"/>
          <w:lang w:val="en-US"/>
        </w:rPr>
        <w:t>actors</w:t>
      </w:r>
      <w:r w:rsidR="00357D1B">
        <w:rPr>
          <w:rFonts w:ascii="var(--bs-body-font-family)" w:hAnsi="var(--bs-body-font-family)"/>
          <w:lang w:val="en-US"/>
        </w:rPr>
        <w:t xml:space="preserve"> representing</w:t>
      </w:r>
      <w:r w:rsidR="00B91F8D">
        <w:rPr>
          <w:rFonts w:ascii="var(--bs-body-font-family)" w:hAnsi="var(--bs-body-font-family)"/>
          <w:lang w:val="en-US"/>
        </w:rPr>
        <w:t xml:space="preserve"> </w:t>
      </w:r>
      <w:r w:rsidR="00F22A29">
        <w:rPr>
          <w:rFonts w:ascii="var(--bs-body-font-family)" w:hAnsi="var(--bs-body-font-family)"/>
          <w:lang w:val="en-US"/>
        </w:rPr>
        <w:t xml:space="preserve">similarly </w:t>
      </w:r>
      <w:r w:rsidR="007975D9">
        <w:rPr>
          <w:rFonts w:ascii="var(--bs-body-font-family)" w:hAnsi="var(--bs-body-font-family)"/>
          <w:lang w:val="en-US"/>
        </w:rPr>
        <w:t>hard-to-reach</w:t>
      </w:r>
      <w:r w:rsidR="00357D1B">
        <w:rPr>
          <w:rFonts w:ascii="var(--bs-body-font-family)" w:hAnsi="var(--bs-body-font-family)"/>
          <w:lang w:val="en-US"/>
        </w:rPr>
        <w:t xml:space="preserve"> </w:t>
      </w:r>
      <w:r w:rsidR="00F22A29">
        <w:rPr>
          <w:rFonts w:ascii="var(--bs-body-font-family)" w:hAnsi="var(--bs-body-font-family)"/>
          <w:lang w:val="en-US"/>
        </w:rPr>
        <w:t>workers</w:t>
      </w:r>
      <w:r w:rsidR="00662781">
        <w:rPr>
          <w:rFonts w:ascii="var(--bs-body-font-family)" w:hAnsi="var(--bs-body-font-family)"/>
          <w:lang w:val="en-US"/>
        </w:rPr>
        <w:t xml:space="preserve"> in this, and other national and sectoral contexts,</w:t>
      </w:r>
      <w:r w:rsidR="00876455">
        <w:rPr>
          <w:rFonts w:ascii="var(--bs-body-font-family)" w:hAnsi="var(--bs-body-font-family)"/>
          <w:lang w:val="en-US"/>
        </w:rPr>
        <w:t xml:space="preserve"> </w:t>
      </w:r>
      <w:r w:rsidR="007975D9">
        <w:rPr>
          <w:rFonts w:ascii="var(--bs-body-font-family)" w:hAnsi="var(--bs-body-font-family)"/>
          <w:lang w:val="en-US"/>
        </w:rPr>
        <w:t>to</w:t>
      </w:r>
      <w:r w:rsidR="00876455">
        <w:rPr>
          <w:rFonts w:ascii="var(--bs-body-font-family)" w:hAnsi="var(--bs-body-font-family)"/>
          <w:lang w:val="en-US"/>
        </w:rPr>
        <w:t xml:space="preserve"> make use </w:t>
      </w:r>
      <w:r w:rsidR="004303C6">
        <w:rPr>
          <w:rFonts w:ascii="var(--bs-body-font-family)" w:hAnsi="var(--bs-body-font-family)"/>
          <w:lang w:val="en-US"/>
        </w:rPr>
        <w:t>of prevalence</w:t>
      </w:r>
      <w:r w:rsidR="00876455">
        <w:rPr>
          <w:rFonts w:ascii="var(--bs-body-font-family)" w:hAnsi="var(--bs-body-font-family)"/>
          <w:lang w:val="en-US"/>
        </w:rPr>
        <w:t xml:space="preserve"> estimators </w:t>
      </w:r>
      <w:r w:rsidR="00B9465A">
        <w:rPr>
          <w:rFonts w:ascii="var(--bs-body-font-family)" w:hAnsi="var(--bs-body-font-family)"/>
          <w:lang w:val="en-US"/>
        </w:rPr>
        <w:t xml:space="preserve">calculated using </w:t>
      </w:r>
      <w:r w:rsidR="001C3BE1">
        <w:rPr>
          <w:rFonts w:ascii="var(--bs-body-font-family)" w:hAnsi="var(--bs-body-font-family)"/>
          <w:lang w:val="en-US"/>
        </w:rPr>
        <w:t>quantitative methodologies, namely respondent driven sampling and network scale-up methods</w:t>
      </w:r>
      <w:r w:rsidR="00876455">
        <w:rPr>
          <w:rFonts w:ascii="var(--bs-body-font-family)" w:hAnsi="var(--bs-body-font-family)"/>
          <w:lang w:val="en-US"/>
        </w:rPr>
        <w:t xml:space="preserve">, </w:t>
      </w:r>
      <w:r w:rsidR="00B9465A">
        <w:rPr>
          <w:rFonts w:ascii="var(--bs-body-font-family)" w:hAnsi="var(--bs-body-font-family)"/>
          <w:lang w:val="en-US"/>
        </w:rPr>
        <w:t>t</w:t>
      </w:r>
      <w:r w:rsidR="001C3BE1">
        <w:rPr>
          <w:rFonts w:ascii="var(--bs-body-font-family)" w:hAnsi="var(--bs-body-font-family)"/>
          <w:lang w:val="en-US"/>
        </w:rPr>
        <w:t>o estimate</w:t>
      </w:r>
      <w:r w:rsidR="00A95576">
        <w:rPr>
          <w:rFonts w:ascii="var(--bs-body-font-family)" w:hAnsi="var(--bs-body-font-family)"/>
          <w:lang w:val="en-US"/>
        </w:rPr>
        <w:t xml:space="preserve"> the prevalence </w:t>
      </w:r>
      <w:r w:rsidR="00545280">
        <w:rPr>
          <w:rFonts w:ascii="var(--bs-body-font-family)" w:hAnsi="var(--bs-body-font-family)"/>
          <w:lang w:val="en-US"/>
        </w:rPr>
        <w:t xml:space="preserve">and </w:t>
      </w:r>
      <w:r w:rsidR="006C41B7">
        <w:rPr>
          <w:rFonts w:ascii="var(--bs-body-font-family)" w:hAnsi="var(--bs-body-font-family)"/>
          <w:lang w:val="en-US"/>
        </w:rPr>
        <w:t xml:space="preserve">assess the </w:t>
      </w:r>
      <w:r w:rsidR="00545280">
        <w:rPr>
          <w:rFonts w:ascii="var(--bs-body-font-family)" w:hAnsi="var(--bs-body-font-family)"/>
          <w:lang w:val="en-US"/>
        </w:rPr>
        <w:t xml:space="preserve">degree </w:t>
      </w:r>
      <w:r w:rsidR="00A95576">
        <w:rPr>
          <w:rFonts w:ascii="var(--bs-body-font-family)" w:hAnsi="var(--bs-body-font-family)"/>
          <w:lang w:val="en-US"/>
        </w:rPr>
        <w:t>of sub-standard employment practices</w:t>
      </w:r>
      <w:r w:rsidR="00404230">
        <w:rPr>
          <w:rFonts w:ascii="var(--bs-body-font-family)" w:hAnsi="var(--bs-body-font-family)"/>
          <w:lang w:val="en-US"/>
        </w:rPr>
        <w:t xml:space="preserve"> </w:t>
      </w:r>
      <w:r w:rsidR="002C61D7">
        <w:rPr>
          <w:rFonts w:ascii="var(--bs-body-font-family)" w:hAnsi="var(--bs-body-font-family)"/>
          <w:lang w:val="en-US"/>
        </w:rPr>
        <w:t xml:space="preserve">to support their </w:t>
      </w:r>
      <w:r w:rsidR="00B9465A">
        <w:rPr>
          <w:rFonts w:ascii="var(--bs-body-font-family)" w:hAnsi="var(--bs-body-font-family)"/>
          <w:lang w:val="en-US"/>
        </w:rPr>
        <w:t>advoca</w:t>
      </w:r>
      <w:r w:rsidR="002C61D7">
        <w:rPr>
          <w:rFonts w:ascii="var(--bs-body-font-family)" w:hAnsi="var(--bs-body-font-family)"/>
          <w:lang w:val="en-US"/>
        </w:rPr>
        <w:t>cy</w:t>
      </w:r>
      <w:r w:rsidR="00B9465A">
        <w:rPr>
          <w:rFonts w:ascii="var(--bs-body-font-family)" w:hAnsi="var(--bs-body-font-family)"/>
          <w:lang w:val="en-US"/>
        </w:rPr>
        <w:t xml:space="preserve"> for </w:t>
      </w:r>
      <w:r w:rsidR="00662781">
        <w:rPr>
          <w:rFonts w:ascii="var(--bs-body-font-family)" w:hAnsi="var(--bs-body-font-family)"/>
          <w:lang w:val="en-US"/>
        </w:rPr>
        <w:t xml:space="preserve">immigration policy </w:t>
      </w:r>
      <w:r w:rsidR="009A3BBE">
        <w:rPr>
          <w:rFonts w:ascii="var(--bs-body-font-family)" w:hAnsi="var(--bs-body-font-family)"/>
          <w:lang w:val="en-US"/>
        </w:rPr>
        <w:t>improvements</w:t>
      </w:r>
      <w:r w:rsidR="00A95576">
        <w:rPr>
          <w:rFonts w:ascii="var(--bs-body-font-family)" w:hAnsi="var(--bs-body-font-family)"/>
          <w:lang w:val="en-US"/>
        </w:rPr>
        <w:t xml:space="preserve">. </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r>
        <w:rPr>
          <w:rFonts w:ascii="var(--bs-body-font-family)" w:hAnsi="var(--bs-body-font-family)"/>
          <w:lang w:val="en-US"/>
        </w:rPr>
        <w:t>Specific</w:t>
      </w:r>
      <w:r w:rsidR="002171EC" w:rsidRPr="29FA58D5">
        <w:rPr>
          <w:rFonts w:ascii="var(--bs-body-font-family)" w:hAnsi="var(--bs-body-font-family)"/>
          <w:lang w:val="en-US"/>
        </w:rPr>
        <w:t xml:space="preserve"> concerns</w:t>
      </w:r>
      <w:r w:rsidR="00064660" w:rsidRPr="29FA58D5">
        <w:rPr>
          <w:rFonts w:ascii="var(--bs-body-font-family)" w:hAnsi="var(--bs-body-font-family)"/>
          <w:lang w:val="en-US"/>
        </w:rPr>
        <w:t xml:space="preserve"> </w:t>
      </w:r>
      <w:r w:rsidR="002171EC" w:rsidRPr="29FA58D5">
        <w:rPr>
          <w:rFonts w:ascii="var(--bs-body-font-family)" w:hAnsi="var(--bs-body-font-family)"/>
          <w:lang w:val="en-US"/>
        </w:rPr>
        <w:t>about high levels of exploitation among domestic workers</w:t>
      </w:r>
      <w:r w:rsidR="006302C1">
        <w:rPr>
          <w:rFonts w:ascii="var(--bs-body-font-family)" w:hAnsi="var(--bs-body-font-family)"/>
          <w:lang w:val="en-US"/>
        </w:rPr>
        <w:t xml:space="preserve"> persist</w:t>
      </w:r>
      <w:r w:rsidR="002171EC" w:rsidRPr="29FA58D5">
        <w:rPr>
          <w:rFonts w:ascii="var(--bs-body-font-family)" w:hAnsi="var(--bs-body-font-family)"/>
          <w:lang w:val="en-US"/>
        </w:rPr>
        <w:t xml:space="preserve"> in the </w:t>
      </w:r>
      <w:r w:rsidR="00334717" w:rsidRPr="29FA58D5">
        <w:rPr>
          <w:rFonts w:ascii="var(--bs-body-font-family)" w:hAnsi="var(--bs-body-font-family)"/>
          <w:lang w:val="en-US"/>
        </w:rPr>
        <w:t xml:space="preserve">business ethics and </w:t>
      </w:r>
      <w:r w:rsidR="002171EC" w:rsidRPr="29FA58D5">
        <w:rPr>
          <w:rFonts w:ascii="var(--bs-body-font-family)" w:hAnsi="var(--bs-body-font-family)"/>
          <w:lang w:val="en-US"/>
        </w:rPr>
        <w:t xml:space="preserve">grey literature </w:t>
      </w:r>
      <w:r w:rsidR="005E3113">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{"citationID":"XqABTPAA","properties":{"formattedCitation":"(Kalayaan, 2008; Mantouvalou, 2016; Varman {\\i{}et al.}, 2021; Latin American Women\\uc0\\u8217{}s Rights Service, 2023)","plainCitation":"(Kalayaan, 2008; Mantouvalou, 2016; Varman et al., 2021; Latin American Women</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Service","given":""}],"issued":{"date-parts":[["2023"]]}}},{"id":59,"uris":["http://zotero.org/users/local/nMxJkNMP/items/DMZZTGC3"],"itemData":{"id":59,"type":"chapter","container-title":"British politics and policy at LSE","language":"en","title":"Modern slavery? The UK visa system and the exploitation of migrant domestic workers","URL":"https://blogs.lse.ac.uk/politicsandpolicy/exploitation-of-migrant-domestic-workers-in-the-uk/.","author":[{"family":"Mantouvalou","given":"V."}],"issued":{"date-parts":[["2016"]]}}},{"id":615,"uris":["http://zotero.org/users/local/nMxJkNMP/items/NUJS68W6"],"itemData":{"id":615,"type":"article-journal","abstract":"This paper contributes to business ethics by focusing on consumption that is characterized by normative violence. By drawing on the work of Judith Butler this study of kajer lok</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a female subaltern group of Indian domestic service providers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and their higher status clients shows how codes of status-based consumption shaped by markets, class, caste, and patriarchy create a social order that reduces kajer lok to \"ungreivable\" lives. Our study contributes to business ethics by focusing on exploitation and coercion in consumption rather than in production and of woman rather than of men. It adds to consumer research by revealing how social distinctions not only manifest in status contests in which symbolic power is at stake but also may produce violent exploitation and ungrievable lives.","container-title":"Journal of Business Ethics","ISSN":"0167-4544","issue":"4","note":"publisher: Springer","page":"645-665","source":"JSTOR","title":"Normative Violence in Domestic Service: A Study of Exploitation, Status, and Grievability","title-short":"Normative Violence in Domestic Service","URL":"https://www.jstor.org/stable/45390479","volume":"171","author":[{"family":"Varman","given":"Rohit"},{"family":"Skålén","given":"Per"},{"family":"Belk","given":"Russell W."},{"family":"Chaudhuri","given":"Himadri Roy"}],"accessed":{"date-parts":[["2025",11,3]]},"issued":{"date-parts":[["2021"]]}}}],"schema":"https://github.com/citation-style-language/schema/raw/master/csl-citation.json"} </w:instrText>
      </w:r>
      <w:r w:rsidR="005E3113">
        <w:rPr>
          <w:rFonts w:ascii="var(--bs-body-font-family)" w:hAnsi="var(--bs-body-font-family)" w:hint="eastAsia"/>
          <w:lang w:val="en-US"/>
        </w:rPr>
        <w:fldChar w:fldCharType="separate"/>
      </w:r>
      <w:r w:rsidR="00B459A2" w:rsidRPr="00B459A2">
        <w:rPr>
          <w:rFonts w:ascii="var(--bs-body-font-family)" w:hAnsi="var(--bs-body-font-family)"/>
        </w:rPr>
        <w:t xml:space="preserve">(Kalayaan, 2008; Mantouvalou, 2016; Varman </w:t>
      </w:r>
      <w:r w:rsidR="00B459A2" w:rsidRPr="00B459A2">
        <w:rPr>
          <w:rFonts w:ascii="var(--bs-body-font-family)" w:hAnsi="var(--bs-body-font-family)"/>
          <w:i/>
          <w:iCs/>
        </w:rPr>
        <w:t>et al.</w:t>
      </w:r>
      <w:r w:rsidR="00B459A2" w:rsidRPr="00B459A2">
        <w:rPr>
          <w:rFonts w:ascii="var(--bs-body-font-family)" w:hAnsi="var(--bs-body-font-family)"/>
        </w:rPr>
        <w:t>, 2021; Latin American Women’s Rights Service, 2023)</w:t>
      </w:r>
      <w:r w:rsidR="005E3113">
        <w:rPr>
          <w:rFonts w:ascii="var(--bs-body-font-family)" w:hAnsi="var(--bs-body-font-family)" w:hint="eastAsia"/>
          <w:lang w:val="en-US"/>
        </w:rPr>
        <w:fldChar w:fldCharType="end"/>
      </w:r>
      <w:r w:rsidR="008D4E33">
        <w:rPr>
          <w:rFonts w:ascii="var(--bs-body-font-family)" w:hAnsi="var(--bs-body-font-family)"/>
          <w:lang w:val="en-US"/>
        </w:rPr>
        <w:t>,</w:t>
      </w:r>
      <w:r>
        <w:rPr>
          <w:rFonts w:ascii="var(--bs-body-font-family)" w:hAnsi="var(--bs-body-font-family)"/>
          <w:lang w:val="en-US"/>
        </w:rPr>
        <w:t xml:space="preserve"> </w:t>
      </w:r>
      <w:r w:rsidR="006302C1">
        <w:rPr>
          <w:rFonts w:ascii="var(--bs-body-font-family)" w:hAnsi="var(--bs-body-font-family)"/>
          <w:lang w:val="en-US"/>
        </w:rPr>
        <w:t xml:space="preserve">yet </w:t>
      </w:r>
      <w:r w:rsidR="002171EC" w:rsidRPr="29FA58D5">
        <w:rPr>
          <w:rFonts w:ascii="var(--bs-body-font-family)" w:hAnsi="var(--bs-body-font-family)"/>
          <w:lang w:val="en-US"/>
        </w:rPr>
        <w:t>to our knowledge</w:t>
      </w:r>
      <w:r w:rsidR="00656A22" w:rsidRPr="29FA58D5">
        <w:rPr>
          <w:rFonts w:ascii="var(--bs-body-font-family)" w:hAnsi="var(--bs-body-font-family)"/>
          <w:lang w:val="en-US"/>
        </w:rPr>
        <w:t xml:space="preserve"> </w:t>
      </w:r>
      <w:r w:rsidR="002171EC" w:rsidRPr="29FA58D5">
        <w:rPr>
          <w:rFonts w:ascii="var(--bs-body-font-family)" w:hAnsi="var(--bs-body-font-family)"/>
          <w:lang w:val="en-US"/>
        </w:rPr>
        <w:t>no-one has</w:t>
      </w:r>
      <w:r w:rsidR="00AA35FB">
        <w:rPr>
          <w:rFonts w:ascii="var(--bs-body-font-family)" w:hAnsi="var(--bs-body-font-family)"/>
          <w:lang w:val="en-US"/>
        </w:rPr>
        <w:t xml:space="preserve"> </w:t>
      </w:r>
      <w:r w:rsidR="00DB4FB0">
        <w:rPr>
          <w:rFonts w:ascii="var(--bs-body-font-family)" w:hAnsi="var(--bs-body-font-family)"/>
          <w:lang w:val="en-US"/>
        </w:rPr>
        <w:t xml:space="preserve">yet </w:t>
      </w:r>
      <w:r w:rsidR="00AA35FB">
        <w:rPr>
          <w:rFonts w:ascii="var(--bs-body-font-family)" w:hAnsi="var(--bs-body-font-family)"/>
          <w:lang w:val="en-US"/>
        </w:rPr>
        <w:t xml:space="preserve">worked with these </w:t>
      </w:r>
      <w:proofErr w:type="spellStart"/>
      <w:r w:rsidR="00AA35FB">
        <w:rPr>
          <w:rFonts w:ascii="var(--bs-body-font-family)" w:hAnsi="var(--bs-body-font-family)"/>
          <w:lang w:val="en-US"/>
        </w:rPr>
        <w:t>organisations</w:t>
      </w:r>
      <w:proofErr w:type="spellEnd"/>
      <w:r w:rsidR="00AA35FB">
        <w:rPr>
          <w:rFonts w:ascii="var(--bs-body-font-family)" w:hAnsi="var(--bs-body-font-family)"/>
          <w:lang w:val="en-US"/>
        </w:rPr>
        <w:t xml:space="preserve"> to</w:t>
      </w:r>
      <w:r w:rsidR="002171EC" w:rsidRPr="29FA58D5">
        <w:rPr>
          <w:rFonts w:ascii="var(--bs-body-font-family)" w:hAnsi="var(--bs-body-font-family)"/>
          <w:lang w:val="en-US"/>
        </w:rPr>
        <w:t xml:space="preserve"> estimate the nature and extent of</w:t>
      </w:r>
      <w:r w:rsidR="004B76AE">
        <w:rPr>
          <w:rFonts w:ascii="var(--bs-body-font-family)" w:hAnsi="var(--bs-body-font-family)"/>
          <w:lang w:val="en-US"/>
        </w:rPr>
        <w:t xml:space="preserve"> the risk of</w:t>
      </w:r>
      <w:r w:rsidR="002171EC"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that may</w:t>
      </w:r>
      <w:r w:rsidR="00656A22" w:rsidRPr="29FA58D5">
        <w:rPr>
          <w:rFonts w:ascii="var(--bs-body-font-family)" w:hAnsi="var(--bs-body-font-family)"/>
          <w:lang w:val="en-US"/>
        </w:rPr>
        <w:t xml:space="preserve"> </w:t>
      </w:r>
      <w:r w:rsidR="002171EC" w:rsidRPr="29FA58D5">
        <w:rPr>
          <w:rFonts w:ascii="var(--bs-body-font-family)" w:hAnsi="var(--bs-body-font-family)"/>
          <w:lang w:val="en-US"/>
        </w:rPr>
        <w:t xml:space="preserve">exist among domestic </w:t>
      </w:r>
      <w:r w:rsidR="00E2204D">
        <w:rPr>
          <w:rFonts w:ascii="var(--bs-body-font-family)" w:hAnsi="var(--bs-body-font-family)"/>
          <w:lang w:val="en-US"/>
        </w:rPr>
        <w:t>workers</w:t>
      </w:r>
      <w:r w:rsidR="002171EC" w:rsidRPr="29FA58D5">
        <w:rPr>
          <w:rFonts w:ascii="var(--bs-body-font-family)" w:hAnsi="var(--bs-body-font-family)"/>
          <w:lang w:val="en-US"/>
        </w:rPr>
        <w:t xml:space="preserve"> in the UK.</w:t>
      </w:r>
      <w:r w:rsidR="00324647">
        <w:rPr>
          <w:rFonts w:ascii="var(--bs-body-font-family)" w:hAnsi="var(--bs-body-font-family)"/>
          <w:lang w:val="en-US"/>
        </w:rPr>
        <w:t xml:space="preserve"> </w:t>
      </w:r>
      <w:r w:rsidR="00324647" w:rsidRPr="29FA58D5">
        <w:rPr>
          <w:rFonts w:ascii="var(--bs-body-font-family)" w:hAnsi="var(--bs-body-font-family)"/>
          <w:lang w:val="en-US"/>
        </w:rPr>
        <w:lastRenderedPageBreak/>
        <w:t>Specifically, this article aims to contribute to a more nuanced understanding of how</w:t>
      </w:r>
      <w:r w:rsidR="00324647">
        <w:rPr>
          <w:rFonts w:ascii="var(--bs-body-font-family)" w:hAnsi="var(--bs-body-font-family)"/>
          <w:lang w:val="en-US"/>
        </w:rPr>
        <w:t xml:space="preserve"> civil society actors in the UK may engage with</w:t>
      </w:r>
      <w:r w:rsidR="00324647" w:rsidRPr="29FA58D5">
        <w:rPr>
          <w:rFonts w:ascii="var(--bs-body-font-family)" w:hAnsi="var(--bs-body-font-family)"/>
          <w:lang w:val="en-US"/>
        </w:rPr>
        <w:t xml:space="preserve"> quantitative methodologies to improve understanding of the realities of domestic workers’ conditions by demonstrating the use of a statistically robust estimation of the nature and proportion of </w:t>
      </w:r>
      <w:proofErr w:type="spellStart"/>
      <w:r w:rsidR="00324647" w:rsidRPr="29FA58D5">
        <w:rPr>
          <w:rFonts w:ascii="var(--bs-body-font-family)" w:hAnsi="var(--bs-body-font-family)"/>
          <w:lang w:val="en-US"/>
        </w:rPr>
        <w:t>labour</w:t>
      </w:r>
      <w:proofErr w:type="spellEnd"/>
      <w:r w:rsidR="00324647" w:rsidRPr="29FA58D5">
        <w:rPr>
          <w:rFonts w:ascii="var(--bs-body-font-family)" w:hAnsi="var(--bs-body-font-family)"/>
          <w:lang w:val="en-US"/>
        </w:rPr>
        <w:t xml:space="preserve"> exploitation and abuse.</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r>
        <w:rPr>
          <w:rFonts w:ascii="var(--bs-body-font-family)" w:hAnsi="var(--bs-body-font-family)"/>
          <w:lang w:val="en-US"/>
        </w:rPr>
        <w:t>We</w:t>
      </w:r>
      <w:r w:rsidR="002171EC" w:rsidRPr="29FA58D5">
        <w:rPr>
          <w:rFonts w:ascii="var(--bs-body-font-family)" w:hAnsi="var(--bs-body-font-family)"/>
          <w:lang w:val="en-US"/>
        </w:rPr>
        <w:t xml:space="preserve"> used the International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Organization’s </w:t>
      </w:r>
      <w:r w:rsidR="008D4E33">
        <w:rPr>
          <w:rFonts w:ascii="var(--bs-body-font-family)" w:hAnsi="var(--bs-body-font-family)" w:hint="eastAsia"/>
          <w:lang w:val="en-US"/>
        </w:rPr>
        <w:fldChar w:fldCharType="begin"/>
      </w:r>
      <w:r w:rsidR="008D4E33">
        <w:rPr>
          <w:rFonts w:ascii="var(--bs-body-font-family)" w:hAnsi="var(--bs-body-font-family)" w:hint="eastAsia"/>
          <w:lang w:val="en-US"/>
        </w:rPr>
        <w:instrText xml:space="preserve"> ADDIN ZOTERO_ITEM CSL_CITATION {"citationID":"b5wVD354","properties":{"formattedCitation":"(I.L.O.,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8D4E33">
        <w:rPr>
          <w:rFonts w:ascii="var(--bs-body-font-family)" w:hAnsi="var(--bs-body-font-family)" w:hint="eastAsia"/>
          <w:lang w:val="en-US"/>
        </w:rPr>
        <w:fldChar w:fldCharType="separate"/>
      </w:r>
      <w:r w:rsidR="008D4E33" w:rsidRPr="008D4E33">
        <w:rPr>
          <w:rFonts w:ascii="var(--bs-body-font-family)" w:hAnsi="var(--bs-body-font-family)"/>
        </w:rPr>
        <w:t>(I.L.O., 2012)</w:t>
      </w:r>
      <w:r w:rsidR="008D4E33">
        <w:rPr>
          <w:rFonts w:ascii="var(--bs-body-font-family)" w:hAnsi="var(--bs-body-font-family)" w:hint="eastAsia"/>
          <w:lang w:val="en-US"/>
        </w:rPr>
        <w:fldChar w:fldCharType="end"/>
      </w:r>
      <w:r w:rsidR="002171EC" w:rsidRPr="29FA58D5">
        <w:rPr>
          <w:rFonts w:ascii="var(--bs-body-font-family)" w:hAnsi="var(--bs-body-font-family)"/>
          <w:lang w:val="en-US"/>
        </w:rPr>
        <w:t xml:space="preserve"> ‘Indicators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to identify the potential for severe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exploitation and as a basis for the quantification of our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risk</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index. The ILO identify eleven indicators designed to help understand how forced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arises and how it affects victims. These indicators </w:t>
      </w:r>
      <w:proofErr w:type="gramStart"/>
      <w:r w:rsidR="002171EC" w:rsidRPr="29FA58D5">
        <w:rPr>
          <w:rFonts w:ascii="var(--bs-body-font-family)" w:hAnsi="var(--bs-body-font-family)"/>
          <w:lang w:val="en-US"/>
        </w:rPr>
        <w:t>include:</w:t>
      </w:r>
      <w:proofErr w:type="gramEnd"/>
      <w:r w:rsidR="002171EC" w:rsidRPr="29FA58D5">
        <w:rPr>
          <w:rFonts w:ascii="var(--bs-body-font-family)" w:hAnsi="var(--bs-body-font-family)"/>
          <w:lang w:val="en-US"/>
        </w:rPr>
        <w:t xml:space="preserve"> abuse of vulnerability; deception;</w:t>
      </w:r>
      <w:r w:rsidR="00064660" w:rsidRPr="29FA58D5">
        <w:rPr>
          <w:rFonts w:ascii="var(--bs-body-font-family)" w:hAnsi="var(--bs-body-font-family)"/>
          <w:lang w:val="en-US"/>
        </w:rPr>
        <w:t xml:space="preserve"> </w:t>
      </w:r>
      <w:r w:rsidR="002171EC" w:rsidRPr="29FA58D5">
        <w:rPr>
          <w:rFonts w:ascii="var(--bs-body-font-family)" w:hAnsi="var(--bs-body-font-family)"/>
          <w:lang w:val="en-US"/>
        </w:rPr>
        <w:t>restriction of movement; isolation; physical and sexual violence; intimidation and threats;</w:t>
      </w:r>
      <w:r w:rsidR="00064660" w:rsidRPr="29FA58D5">
        <w:rPr>
          <w:rFonts w:ascii="var(--bs-body-font-family)" w:hAnsi="var(--bs-body-font-family)"/>
          <w:lang w:val="en-US"/>
        </w:rPr>
        <w:t xml:space="preserve"> </w:t>
      </w:r>
      <w:r w:rsidR="002171EC" w:rsidRPr="29FA58D5">
        <w:rPr>
          <w:rFonts w:ascii="var(--bs-body-font-family)" w:hAnsi="var(--bs-body-font-family)"/>
          <w:lang w:val="en-US"/>
        </w:rPr>
        <w:t>retention of identity documents; withholding of wages; debt bondage; abusive working and</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living conditions and excessive overtime. According to the ILO, the presence of a single indicator in any given situation may in some cases imply the existence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However,</w:t>
      </w:r>
      <w:r w:rsidR="00064660" w:rsidRPr="29FA58D5">
        <w:rPr>
          <w:rFonts w:ascii="var(--bs-body-font-family)" w:hAnsi="var(--bs-body-font-family)"/>
          <w:lang w:val="en-US"/>
        </w:rPr>
        <w:t xml:space="preserve"> </w:t>
      </w:r>
      <w:r w:rsidR="002171EC" w:rsidRPr="29FA58D5">
        <w:rPr>
          <w:rFonts w:ascii="var(--bs-body-font-family)" w:hAnsi="var(--bs-body-font-family)"/>
          <w:lang w:val="en-US"/>
        </w:rPr>
        <w:t>it also suggests that in other cases it may be necessary to look for several indications which,</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taken together, may point to a case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We seek to refine this statement</w:t>
      </w:r>
      <w:r w:rsidR="00064660" w:rsidRPr="29FA58D5">
        <w:rPr>
          <w:rFonts w:ascii="var(--bs-body-font-family)" w:hAnsi="var(--bs-body-font-family)"/>
          <w:lang w:val="en-US"/>
        </w:rPr>
        <w:t xml:space="preserve"> </w:t>
      </w:r>
      <w:r w:rsidR="002171EC" w:rsidRPr="29FA58D5">
        <w:rPr>
          <w:rFonts w:ascii="var(--bs-body-font-family)" w:hAnsi="var(--bs-body-font-family)"/>
          <w:lang w:val="en-US"/>
        </w:rPr>
        <w:t>through the construction of a composite index by which means a degree of risk related to</w:t>
      </w:r>
      <w:r w:rsidR="00064660" w:rsidRPr="29FA58D5">
        <w:rPr>
          <w:rFonts w:ascii="var(--bs-body-font-family)" w:hAnsi="var(--bs-body-font-family)"/>
          <w:lang w:val="en-US"/>
        </w:rPr>
        <w:t xml:space="preserve"> </w:t>
      </w:r>
      <w:r w:rsidR="002171EC" w:rsidRPr="29FA58D5">
        <w:rPr>
          <w:rFonts w:ascii="var(--bs-body-font-family)" w:hAnsi="var(--bs-body-font-family)"/>
          <w:lang w:val="en-US"/>
        </w:rPr>
        <w:t>the likelihood of a domestic worker experiencing this most severe form of exploitation may</w:t>
      </w:r>
      <w:r w:rsidR="00064660" w:rsidRPr="29FA58D5">
        <w:rPr>
          <w:rFonts w:ascii="var(--bs-body-font-family)" w:hAnsi="var(--bs-body-font-family)"/>
          <w:lang w:val="en-US"/>
        </w:rPr>
        <w:t xml:space="preserve"> </w:t>
      </w:r>
      <w:r w:rsidR="002171EC" w:rsidRPr="29FA58D5">
        <w:rPr>
          <w:rFonts w:ascii="var(--bs-body-font-family)" w:hAnsi="var(--bs-body-font-family)"/>
          <w:lang w:val="en-US"/>
        </w:rPr>
        <w:t>be distinguished from the likely occurrence of less severe, though similarly illegal, forms of</w:t>
      </w:r>
      <w:r w:rsidR="00064660"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abuse.</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p>
    <w:p w14:paraId="15FA7BE4" w14:textId="29DFB17D" w:rsidR="00AA7A35" w:rsidRDefault="20623E89" w:rsidP="004C516E">
      <w:pPr>
        <w:spacing w:line="480" w:lineRule="auto"/>
        <w:divId w:val="1975518704"/>
        <w:rPr>
          <w:rFonts w:ascii="var(--bs-body-font-family)" w:hAnsi="var(--bs-body-font-family)" w:hint="eastAsia"/>
          <w:lang w:val="en-US"/>
        </w:rPr>
      </w:pPr>
      <w:r w:rsidRPr="4BCEB955">
        <w:rPr>
          <w:rFonts w:ascii="var(--bs-body-font-family)" w:hAnsi="var(--bs-body-font-family)"/>
          <w:lang w:val="en"/>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w:t>
      </w:r>
      <w:r w:rsidRPr="4BCEB955">
        <w:rPr>
          <w:rFonts w:ascii="var(--bs-body-font-family)" w:hAnsi="var(--bs-body-font-family)"/>
          <w:lang w:val="en"/>
        </w:rPr>
        <w:lastRenderedPageBreak/>
        <w:t xml:space="preserve">awareness. We apply these adjustments with sensitivity analysis across multiple parameter values: δ ∈ {0.8, 0.9, 1.0} and τ ∈ {0.7, 0.85, 1.0}, where δ=1.0 and τ=1.0 represent the unadjusted baseline scenario.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4FC29429" w:rsidR="00AA7A35" w:rsidRPr="00E063D0" w:rsidRDefault="65DF30F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6</w:t>
      </w:r>
      <w:r w:rsidR="007E6C65">
        <w:tab/>
      </w:r>
      <w:r w:rsidR="007E6C65" w:rsidRPr="752265D2">
        <w:rPr>
          <w:rFonts w:eastAsia="Times New Roman"/>
          <w:u w:val="single"/>
          <w:lang w:val="en"/>
        </w:rPr>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 xml:space="preserve">To appropriately </w:t>
      </w:r>
      <w:proofErr w:type="spellStart"/>
      <w:r w:rsidRPr="481442D0">
        <w:rPr>
          <w:rFonts w:ascii="var(--bs-body-font-family)" w:hAnsi="var(--bs-body-font-family)"/>
          <w:lang w:val="en-US"/>
        </w:rPr>
        <w:t>characterise</w:t>
      </w:r>
      <w:proofErr w:type="spellEnd"/>
      <w:r w:rsidRPr="481442D0">
        <w:rPr>
          <w:rFonts w:ascii="var(--bs-body-font-family)" w:hAnsi="var(--bs-body-font-family)"/>
          <w:lang w:val="en-US"/>
        </w:rPr>
        <w:t xml:space="preserve"> uncertainty in NSUM estimates, we developed a novel three-step bootstrap procedure. This approach resamples respondents, their reported alters, and the exploitation classifications simultaneously, thereby capturing uncertainty </w:t>
      </w:r>
      <w:r w:rsidRPr="481442D0">
        <w:rPr>
          <w:rFonts w:ascii="var(--bs-body-font-family)" w:hAnsi="var(--bs-body-font-family)"/>
          <w:lang w:val="en-US"/>
        </w:rPr>
        <w:lastRenderedPageBreak/>
        <w:t xml:space="preserve">at each stage of the inference process. This procedure provides more realistic confidence intervals than those generated by conventional variance estimators, particularly for small samples such as ours. Details of the bootstrap implementation and diagnostic checks are provided in </w:t>
      </w:r>
      <w:r w:rsidR="009A5AD0">
        <w:rPr>
          <w:rFonts w:ascii="var(--bs-body-font-family)" w:hAnsi="var(--bs-body-font-family)"/>
          <w:lang w:val="en-US"/>
        </w:rPr>
        <w:t xml:space="preserve">Online Resource </w:t>
      </w:r>
      <w:r w:rsidR="00554FB3">
        <w:rPr>
          <w:rFonts w:ascii="var(--bs-body-font-family)" w:hAnsi="var(--bs-body-font-family)"/>
          <w:lang w:val="en-US"/>
        </w:rPr>
        <w:t>ESM_3</w:t>
      </w:r>
      <w:r w:rsidRPr="481442D0">
        <w:rPr>
          <w:rFonts w:ascii="var(--bs-body-font-family)" w:hAnsi="var(--bs-body-font-family)"/>
          <w:lang w:val="en-US"/>
        </w:rPr>
        <w:t>.</w:t>
      </w:r>
      <w:r w:rsidR="73017EAA" w:rsidRPr="481442D0">
        <w:rPr>
          <w:rFonts w:ascii="var(--bs-body-font-family)" w:hAnsi="var(--bs-body-font-family)"/>
          <w:lang w:val="en-US"/>
        </w:rPr>
        <w:t xml:space="preserve"> Several of the estimation procedures implemented here adopt Bayesian or model-assisted frameworks, which are particularly appropriate for modest sample sizes because they incorporate uncertainty directly into the estimation process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{"citationID":"U73znvsz","properties":{"formattedCitation":"(Gile {\\i{}et al.}, 2018)","plainCitation":"(Gile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(Gile </w:t>
      </w:r>
      <w:r w:rsidR="00B459A2" w:rsidRPr="00B459A2">
        <w:rPr>
          <w:rFonts w:ascii="var(--bs-body-font-family)" w:hAnsi="var(--bs-body-font-family)"/>
          <w:i/>
          <w:iCs/>
        </w:rPr>
        <w:t>et al.</w:t>
      </w:r>
      <w:r w:rsidR="00B459A2" w:rsidRPr="00B459A2">
        <w:rPr>
          <w:rFonts w:ascii="var(--bs-body-font-family)" w:hAnsi="var(--bs-body-font-family)"/>
        </w:rPr>
        <w:t>, 2018)</w:t>
      </w:r>
      <w:r w:rsidR="004957DB">
        <w:rPr>
          <w:rFonts w:ascii="var(--bs-body-font-family)" w:hAnsi="var(--bs-body-font-family)" w:hint="eastAsia"/>
          <w:lang w:val="en-US"/>
        </w:rPr>
        <w:fldChar w:fldCharType="end"/>
      </w:r>
      <w:r w:rsidR="73017EAA" w:rsidRPr="481442D0">
        <w:rPr>
          <w:rFonts w:ascii="var(--bs-body-font-family)" w:hAnsi="var(--bs-body-font-family)"/>
          <w:lang w:val="en-US"/>
        </w:rPr>
        <w:t xml:space="preserve">. Our custom </w:t>
      </w:r>
      <w:proofErr w:type="spellStart"/>
      <w:r w:rsidR="73017EAA" w:rsidRPr="481442D0">
        <w:rPr>
          <w:rFonts w:ascii="var(--bs-body-font-family)" w:hAnsi="var(--bs-body-font-family)"/>
          <w:lang w:val="en-US"/>
        </w:rPr>
        <w:t>neighbourhood</w:t>
      </w:r>
      <w:proofErr w:type="spellEnd"/>
      <w:r w:rsidR="73017EAA" w:rsidRPr="481442D0">
        <w:rPr>
          <w:rFonts w:ascii="var(--bs-body-font-family)" w:hAnsi="var(--bs-body-font-family)"/>
          <w:lang w:val="en-US"/>
        </w:rPr>
        <w:t xml:space="preserve"> bootstrap procedure similarly quantifies uncertainty by repeatedly resampling ego and </w:t>
      </w:r>
      <w:proofErr w:type="gramStart"/>
      <w:r w:rsidR="73017EAA" w:rsidRPr="481442D0">
        <w:rPr>
          <w:rFonts w:ascii="var(--bs-body-font-family)" w:hAnsi="var(--bs-body-font-family)"/>
          <w:lang w:val="en-US"/>
        </w:rPr>
        <w:t>alter</w:t>
      </w:r>
      <w:proofErr w:type="gramEnd"/>
      <w:r w:rsidR="73017EAA" w:rsidRPr="481442D0">
        <w:rPr>
          <w:rFonts w:ascii="var(--bs-body-font-family)" w:hAnsi="var(--bs-body-font-family)"/>
          <w:lang w:val="en-US"/>
        </w:rPr>
        <w:t xml:space="preserve">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3</w:t>
      </w:r>
      <w:r w:rsidR="005A3473" w:rsidRPr="752265D2">
        <w:rPr>
          <w:rFonts w:ascii="var(--bs-body-font-family)" w:hAnsi="var(--bs-body-font-family)"/>
          <w:lang w:val="en-US"/>
        </w:rPr>
        <w:t>.7</w:t>
      </w:r>
      <w:r w:rsidR="00EB72B9" w:rsidRPr="752265D2">
        <w:rPr>
          <w:rFonts w:ascii="var(--bs-body-font-family)" w:hAnsi="var(--bs-body-font-family)"/>
          <w:lang w:val="en-US"/>
        </w:rPr>
        <w:t xml:space="preserve"> </w:t>
      </w:r>
      <w:r w:rsidR="00EB72B9" w:rsidRPr="752265D2">
        <w:rPr>
          <w:rFonts w:ascii="var(--bs-body-font-family)" w:hAnsi="var(--bs-body-font-family)"/>
          <w:u w:val="single"/>
          <w:lang w:val="en-US"/>
        </w:rPr>
        <w:t>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Large Language Models (LLMs) were used for brainstorming the organization of the paper and some textual editing. Code co-pilot (Claude Code) was used to test and debug R scripts</w:t>
      </w:r>
      <w:r w:rsidR="00A50F28">
        <w:rPr>
          <w:rFonts w:ascii="var(--bs-body-font-family)" w:hAnsi="var(--bs-body-font-family)"/>
          <w:lang w:val="en-US"/>
        </w:rPr>
        <w:t xml:space="preserve"> employed in the statistical analysis. No generative models were used to generate or simulate data</w:t>
      </w:r>
      <w:r w:rsidR="00E2406F">
        <w:rPr>
          <w:rFonts w:ascii="var(--bs-body-font-family)" w:hAnsi="var(--bs-body-font-family)"/>
          <w:lang w:val="en-US"/>
        </w:rPr>
        <w:t>.</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b/>
        </w:rPr>
        <w:t xml:space="preserve">Table 2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b/>
        </w:rPr>
        <w:t xml:space="preserve">Table 3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indicators in the same survey with the same respondents. The two methods rest on different inferential foundations: RDS uses ego-based reports (the respondent's own experience of exploitation) while NSUM uses alter-based reports (the respondent's observations of people they know). Most published applications use one method or the other; combining both within a single matched-instrument survey lets us triangulate prevalence on the same set of respondents, and where the two estimators diverge, we obtain diagnostic evidence about the visibility of different exploitation behaviours within workers' personal networks. To our knowledge this is the first study to apply both methods to a single matched-indicator instrument in a developed-economy setting. Second, we operationalise modern slavery as a graded hierarchy of indicators rather than a binary condition. The five ILO-aligned indicators we measure are arranged from a low bar (excessive working hours: common, harder to interpret as coercion) through pay-related issues and limited access to help to a high bar (threats and abuse; document and passport withholding: unambiguously coercive). This hierarchy lets a single survey instrument capture exploitation across the full spectrum of severity, supports a continuous risk index for analyses that need one, and aligns with the synthetic-indicator literature that treats severity as a latent construct constituted by graded markers of varying salience (Mazziotta and Pareto 2013; Diamantopoulos and Siguaw 2006; Maggino 2017; Bartram et al. 2024). The UK domestic-worker case demonstrates the approach on the hardest realistic case for measurement;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