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6.png" ContentType="image/png"/>
  <Override PartName="/word/media/rId52.png" ContentType="image/png"/>
  <Override PartName="/word/media/rId4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p>
      <w:pPr>
        <w:pStyle w:val="Author"/>
      </w:pPr>
      <w:r>
        <w:t xml:space="preserve">Caroline Emberson</w:t>
      </w:r>
    </w:p>
    <w:p>
      <w:pPr>
        <w:pStyle w:val="Author"/>
      </w:pPr>
      <w:r>
        <w:t xml:space="preserve">Scott Moser</w:t>
      </w:r>
    </w:p>
    <w:p>
      <w:pPr>
        <w:pStyle w:val="Date"/>
      </w:pPr>
      <w:r>
        <w:t xml:space="preserve">11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
    <w:p>
      <w:pPr>
        <w:pStyle w:val="Heading1"/>
      </w:pPr>
      <w:r>
        <w:t xml:space="preserve">Preface</w:t>
      </w:r>
    </w:p>
    <w:p>
      <w:pPr>
        <w:pStyle w:val="FirstParagraph"/>
      </w:pPr>
      <w:r>
        <w:t xml:space="preserve">This appendix accompanies the main paper. Appendix A documents the codebook and how the composite risk index and the five binary exploitation indicators are constructed. Appendix B lists the survey-instrument questions used to elicit ego- and alter-based reports for each indicator. Appendix C describes the three-step bootstrap procedure used for the NSUM confidence intervals. Appendix D reports the sensitivity and robustness analyses summarised in the main paper.</w:t>
      </w:r>
    </w:p>
    <w:p>
      <w:pPr>
        <w:pStyle w:val="BodyText"/>
      </w:pPr>
      <w:r>
        <w:t xml:space="preserve">All data and replication code are available at</w:t>
      </w:r>
      <w:r>
        <w:t xml:space="preserve"> </w:t>
      </w:r>
      <w:hyperlink r:id="rId20">
        <w:r>
          <w:rPr>
            <w:rStyle w:val="Hyperlink"/>
          </w:rPr>
          <w:t xml:space="preserve">OSF</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End w:id="21"/>
    <w:bookmarkStart w:id="28" w:name="sec-a"/>
    <w:p>
      <w:pPr>
        <w:pStyle w:val="Heading1"/>
      </w:pPr>
      <w:r>
        <w:t xml:space="preserve">Appendix A —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w:t>
      </w:r>
    </w:p>
    <w:bookmarkStart w:id="23" w:name="sec-a-composite"/>
    <w:p>
      <w:pPr>
        <w:pStyle w:val="Heading2"/>
      </w:pPr>
      <w:r>
        <w:t xml:space="preserve">A.1 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All eleven ILO indicators contribute equally to the composite. The medium/strong severity labels (following</w:t>
      </w:r>
      <w:r>
        <w:t xml:space="preserve"> </w:t>
      </w:r>
      <w:r>
        <w:t xml:space="preserve">International Labour Organization (2024)</w:t>
      </w:r>
      <w:r>
        <w:t xml:space="preserve">) are used for reporting; they do not enter the composite’s arithmetic.</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tbl>
      <w:tblPr>
        <w:tblStyle w:val="Table"/>
        <w:tblW w:type="pct" w:w="5000"/>
        <w:tblLayout w:type="fixed"/>
        <w:tblLook w:firstRow="0" w:lastRow="0" w:firstColumn="0" w:lastColumn="0" w:noHBand="0" w:noVBand="0" w:val="0000"/>
      </w:tblPr>
      <w:tblGrid>
        <w:gridCol w:w="7920"/>
      </w:tblGrid>
      <w:tr>
        <w:tc>
          <w:tcPr/>
          <w:bookmarkStart w:id="22" w:name="tbl-composite"/>
          <w:p>
            <w:pPr>
              <w:jc w:val="center"/>
            </w:pPr>
            <w:pPr>
              <w:jc w:val="start"/>
              <w:spacing w:before="200"/>
              <w:pStyle w:val="ImageCaption"/>
            </w:pPr>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w:t>
            </w:r>
            <w:r>
              <w:t xml:space="preserve"> </w:t>
            </w:r>
            <w:r>
              <w:t xml:space="preserve">(International Labour Organization, 2024)</w:t>
            </w:r>
            <w:r>
              <w:t xml:space="preserve">; the shorter ILO operational-indicators publications</w:t>
            </w:r>
            <w:r>
              <w:t xml:space="preserve"> </w:t>
            </w:r>
            <w:r>
              <w:t xml:space="preserve">(International Labour Organization, 2012, 2025)</w:t>
            </w:r>
            <w:r>
              <w:t xml:space="preserve"> </w:t>
            </w:r>
            <w:r>
              <w:t xml:space="preserve">list the eleven indicators without publishing this severity ranking, and the labels do not scale the composite weights. Categories 12 and 13 are reported as separate binary flags and are excluded from the composite.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jc w:val="center"/>
                  </w:pPr>
                  <w:r>
                    <w:t xml:space="preserve">ILO Indicator (severity)</w:t>
                  </w:r>
                </w:p>
              </w:tc>
              <w:tc>
                <w:tcPr/>
                <w:p>
                  <w:pPr>
                    <w:pStyle w:val="Compact"/>
                    <w:jc w:val="center"/>
                  </w:pPr>
                  <w:r>
                    <w:t xml:space="preserve">Survey item(s)</w:t>
                  </w:r>
                </w:p>
              </w:tc>
              <w:tc>
                <w:tcPr/>
                <w:p>
                  <w:pPr>
                    <w:pStyle w:val="Compact"/>
                    <w:jc w:val="center"/>
                  </w:pPr>
                  <w:r>
                    <w:t xml:space="preserve">Coding rule</w:t>
                  </w:r>
                </w:p>
              </w:tc>
              <w:tc>
                <w:tcPr/>
                <w:p>
                  <w:pPr>
                    <w:pStyle w:val="Compact"/>
                    <w:jc w:val="center"/>
                  </w:pPr>
                  <w:r>
                    <w:t xml:space="preserve">Max weight</w:t>
                  </w:r>
                </w:p>
              </w:tc>
            </w:tr>
            <w:tr>
              <w:tc>
                <w:tcPr/>
                <w:p>
                  <w:pPr>
                    <w:pStyle w:val="Compact"/>
                    <w:jc w:val="center"/>
                  </w:pPr>
                  <w:r>
                    <w:t xml:space="preserve">1</w:t>
                  </w:r>
                </w:p>
              </w:tc>
              <w:tc>
                <w:tcPr/>
                <w:p>
                  <w:pPr>
                    <w:pStyle w:val="Compact"/>
                    <w:jc w:val="center"/>
                  </w:pPr>
                  <w:r>
                    <w:t xml:space="preserve">Abuse of vulnerability (medium)</w:t>
                  </w:r>
                </w:p>
              </w:tc>
              <w:tc>
                <w:tcPr/>
                <w:p>
                  <w:pPr>
                    <w:pStyle w:val="Compact"/>
                    <w:jc w:val="center"/>
                  </w:pPr>
                  <w:r>
                    <w:t xml:space="preserve">Q29 (5a1): Forced to do work against will; Q51 (5d2-a): Unpaid tasks</w:t>
                  </w:r>
                </w:p>
              </w:tc>
              <w:tc>
                <w:tcPr/>
                <w:p>
                  <w:pPr>
                    <w:pStyle w:val="Compact"/>
                    <w:jc w:val="center"/>
                  </w:pPr>
                  <w:r>
                    <w:t xml:space="preserve">Q29: 0/1/2 → 0.045; Q51: 0 → 0.045</w:t>
                  </w:r>
                </w:p>
              </w:tc>
              <w:tc>
                <w:tcPr/>
                <w:p>
                  <w:pPr>
                    <w:pStyle w:val="Compact"/>
                    <w:jc w:val="center"/>
                  </w:pPr>
                  <w:r>
                    <w:t xml:space="preserve">0.09</w:t>
                  </w:r>
                </w:p>
              </w:tc>
            </w:tr>
            <w:tr>
              <w:tc>
                <w:tcPr/>
                <w:p>
                  <w:pPr>
                    <w:pStyle w:val="Compact"/>
                    <w:jc w:val="center"/>
                  </w:pPr>
                  <w:r>
                    <w:t xml:space="preserve">2</w:t>
                  </w:r>
                </w:p>
              </w:tc>
              <w:tc>
                <w:tcPr/>
                <w:p>
                  <w:pPr>
                    <w:pStyle w:val="Compact"/>
                    <w:jc w:val="center"/>
                  </w:pPr>
                  <w:r>
                    <w:t xml:space="preserve">Deception (medium)</w:t>
                  </w:r>
                </w:p>
              </w:tc>
              <w:tc>
                <w:tcPr/>
                <w:p>
                  <w:pPr>
                    <w:pStyle w:val="Compact"/>
                    <w:jc w:val="center"/>
                  </w:pPr>
                  <w:r>
                    <w:t xml:space="preserve">Q45 (5c2): Forced/deceived/threatened into poor conditions</w:t>
                  </w:r>
                </w:p>
              </w:tc>
              <w:tc>
                <w:tcPr/>
                <w:p>
                  <w:pPr>
                    <w:pStyle w:val="Compact"/>
                    <w:jc w:val="center"/>
                  </w:pPr>
                  <w:r>
                    <w:t xml:space="preserve">Q45: 0 → 0.09</w:t>
                  </w:r>
                </w:p>
              </w:tc>
              <w:tc>
                <w:tcPr/>
                <w:p>
                  <w:pPr>
                    <w:pStyle w:val="Compact"/>
                    <w:jc w:val="center"/>
                  </w:pPr>
                  <w:r>
                    <w:t xml:space="preserve">0.09</w:t>
                  </w:r>
                </w:p>
              </w:tc>
            </w:tr>
            <w:tr>
              <w:tc>
                <w:tcPr/>
                <w:p>
                  <w:pPr>
                    <w:pStyle w:val="Compact"/>
                    <w:jc w:val="center"/>
                  </w:pPr>
                  <w:r>
                    <w:t xml:space="preserve">3</w:t>
                  </w:r>
                </w:p>
              </w:tc>
              <w:tc>
                <w:tcPr/>
                <w:p>
                  <w:pPr>
                    <w:pStyle w:val="Compact"/>
                    <w:jc w:val="center"/>
                  </w:pPr>
                  <w:r>
                    <w:t xml:space="preserve">Restriction of movement (medium)</w:t>
                  </w:r>
                </w:p>
              </w:tc>
              <w:tc>
                <w:tcPr/>
                <w:p>
                  <w:pPr>
                    <w:pStyle w:val="Compact"/>
                    <w:jc w:val="center"/>
                  </w:pPr>
                  <w:r>
                    <w:t xml:space="preserve">Q32 (5a4): Could not leave premises; Q46 (5c3): Stay overnight permanently</w:t>
                  </w:r>
                </w:p>
              </w:tc>
              <w:tc>
                <w:tcPr/>
                <w:p>
                  <w:pPr>
                    <w:pStyle w:val="Compact"/>
                    <w:jc w:val="center"/>
                  </w:pPr>
                  <w:r>
                    <w:t xml:space="preserve">Q32: 0/1/2 → 0.045; Q46: 2 or 3 → 0.045</w:t>
                  </w:r>
                </w:p>
              </w:tc>
              <w:tc>
                <w:tcPr/>
                <w:p>
                  <w:pPr>
                    <w:pStyle w:val="Compact"/>
                    <w:jc w:val="center"/>
                  </w:pPr>
                  <w:r>
                    <w:t xml:space="preserve">0.09</w:t>
                  </w:r>
                </w:p>
              </w:tc>
            </w:tr>
            <w:tr>
              <w:tc>
                <w:tcPr/>
                <w:p>
                  <w:pPr>
                    <w:pStyle w:val="Compact"/>
                    <w:jc w:val="center"/>
                  </w:pPr>
                  <w:r>
                    <w:t xml:space="preserve">4</w:t>
                  </w:r>
                </w:p>
              </w:tc>
              <w:tc>
                <w:tcPr/>
                <w:p>
                  <w:pPr>
                    <w:pStyle w:val="Compact"/>
                    <w:jc w:val="center"/>
                  </w:pPr>
                  <w:r>
                    <w:t xml:space="preserve">Isolation (medium)</w:t>
                  </w:r>
                </w:p>
              </w:tc>
              <w:tc>
                <w:tcPr/>
                <w:p>
                  <w:pPr>
                    <w:pStyle w:val="Compact"/>
                    <w:jc w:val="center"/>
                  </w:pPr>
                  <w:r>
                    <w:t xml:space="preserve">Q65: Have friends outside work</w:t>
                  </w:r>
                </w:p>
              </w:tc>
              <w:tc>
                <w:tcPr/>
                <w:p>
                  <w:pPr>
                    <w:pStyle w:val="Compact"/>
                    <w:jc w:val="center"/>
                  </w:pPr>
                  <w:r>
                    <w:t xml:space="preserve">Q65: 1 (No) → 0.09</w:t>
                  </w:r>
                </w:p>
              </w:tc>
              <w:tc>
                <w:tcPr/>
                <w:p>
                  <w:pPr>
                    <w:pStyle w:val="Compact"/>
                    <w:jc w:val="center"/>
                  </w:pPr>
                  <w:r>
                    <w:t xml:space="preserve">0.09</w:t>
                  </w:r>
                </w:p>
              </w:tc>
            </w:tr>
            <w:tr>
              <w:tc>
                <w:tcPr/>
                <w:p>
                  <w:pPr>
                    <w:pStyle w:val="Compact"/>
                    <w:jc w:val="center"/>
                  </w:pPr>
                  <w:r>
                    <w:t xml:space="preserve">5</w:t>
                  </w:r>
                </w:p>
              </w:tc>
              <w:tc>
                <w:tcPr/>
                <w:p>
                  <w:pPr>
                    <w:pStyle w:val="Compact"/>
                    <w:jc w:val="center"/>
                  </w:pPr>
                  <w:r>
                    <w:t xml:space="preserve">Physical and sexual violence (strong)</w:t>
                  </w:r>
                </w:p>
              </w:tc>
              <w:tc>
                <w:tcPr/>
                <w:p>
                  <w:pPr>
                    <w:pStyle w:val="Compact"/>
                    <w:jc w:val="center"/>
                  </w:pPr>
                  <w:r>
                    <w:t xml:space="preserve">Q44 (5c1): Abuse/harassment/physical violence; Q44 (5c1-b): Sexual violence</w:t>
                  </w:r>
                </w:p>
              </w:tc>
              <w:tc>
                <w:tcPr/>
                <w:p>
                  <w:pPr>
                    <w:pStyle w:val="Compact"/>
                    <w:jc w:val="center"/>
                  </w:pPr>
                  <w:r>
                    <w:t xml:space="preserve">Q44 (5c1): 0 → 0.045; Q44 (5c1-b): 0 → 0.045</w:t>
                  </w:r>
                </w:p>
              </w:tc>
              <w:tc>
                <w:tcPr/>
                <w:p>
                  <w:pPr>
                    <w:pStyle w:val="Compact"/>
                    <w:jc w:val="center"/>
                  </w:pPr>
                  <w:r>
                    <w:t xml:space="preserve">0.09</w:t>
                  </w:r>
                </w:p>
              </w:tc>
            </w:tr>
            <w:tr>
              <w:tc>
                <w:tcPr/>
                <w:p>
                  <w:pPr>
                    <w:pStyle w:val="Compact"/>
                    <w:jc w:val="center"/>
                  </w:pPr>
                  <w:r>
                    <w:t xml:space="preserve">6</w:t>
                  </w:r>
                </w:p>
              </w:tc>
              <w:tc>
                <w:tcPr/>
                <w:p>
                  <w:pPr>
                    <w:pStyle w:val="Compact"/>
                    <w:jc w:val="center"/>
                  </w:pPr>
                  <w:r>
                    <w:t xml:space="preserve">Intimidation and threats (strong)</w:t>
                  </w:r>
                </w:p>
              </w:tc>
              <w:tc>
                <w:tcPr/>
                <w:p>
                  <w:pPr>
                    <w:pStyle w:val="Compact"/>
                    <w:jc w:val="center"/>
                  </w:pPr>
                  <w:r>
                    <w:t xml:space="preserve">Q47 (5c4): Employer threatened/intimidated</w:t>
                  </w:r>
                </w:p>
              </w:tc>
              <w:tc>
                <w:tcPr/>
                <w:p>
                  <w:pPr>
                    <w:pStyle w:val="Compact"/>
                    <w:jc w:val="center"/>
                  </w:pPr>
                  <w:r>
                    <w:t xml:space="preserve">Q47: 0/1/2 → 0.09</w:t>
                  </w:r>
                </w:p>
              </w:tc>
              <w:tc>
                <w:tcPr/>
                <w:p>
                  <w:pPr>
                    <w:pStyle w:val="Compact"/>
                    <w:jc w:val="center"/>
                  </w:pPr>
                  <w:r>
                    <w:t xml:space="preserve">0.09</w:t>
                  </w:r>
                </w:p>
              </w:tc>
            </w:tr>
            <w:tr>
              <w:tc>
                <w:tcPr/>
                <w:p>
                  <w:pPr>
                    <w:pStyle w:val="Compact"/>
                    <w:jc w:val="center"/>
                  </w:pPr>
                  <w:r>
                    <w:t xml:space="preserve">7</w:t>
                  </w:r>
                </w:p>
              </w:tc>
              <w:tc>
                <w:tcPr/>
                <w:p>
                  <w:pPr>
                    <w:pStyle w:val="Compact"/>
                    <w:jc w:val="center"/>
                  </w:pPr>
                  <w:r>
                    <w:t xml:space="preserve">Retention of identity documents (strong)</w:t>
                  </w:r>
                </w:p>
              </w:tc>
              <w:tc>
                <w:tcPr/>
                <w:p>
                  <w:pPr>
                    <w:pStyle w:val="Compact"/>
                    <w:jc w:val="center"/>
                  </w:pPr>
                  <w:r>
                    <w:t xml:space="preserve">Q70 (5f2): Travel/identity docs withheld</w:t>
                  </w:r>
                </w:p>
              </w:tc>
              <w:tc>
                <w:tcPr/>
                <w:p>
                  <w:pPr>
                    <w:pStyle w:val="Compact"/>
                    <w:jc w:val="center"/>
                  </w:pPr>
                  <w:r>
                    <w:t xml:space="preserve">Q70: 0/1/2 → 0.09</w:t>
                  </w:r>
                </w:p>
              </w:tc>
              <w:tc>
                <w:tcPr/>
                <w:p>
                  <w:pPr>
                    <w:pStyle w:val="Compact"/>
                    <w:jc w:val="center"/>
                  </w:pPr>
                  <w:r>
                    <w:t xml:space="preserve">0.09</w:t>
                  </w:r>
                </w:p>
              </w:tc>
            </w:tr>
            <w:tr>
              <w:tc>
                <w:tcPr/>
                <w:p>
                  <w:pPr>
                    <w:pStyle w:val="Compact"/>
                    <w:jc w:val="center"/>
                  </w:pPr>
                  <w:r>
                    <w:t xml:space="preserve">8</w:t>
                  </w:r>
                </w:p>
              </w:tc>
              <w:tc>
                <w:tcPr/>
                <w:p>
                  <w:pPr>
                    <w:pStyle w:val="Compact"/>
                    <w:jc w:val="center"/>
                  </w:pPr>
                  <w:r>
                    <w:t xml:space="preserve">Withholding of wages (medium)</w:t>
                  </w:r>
                </w:p>
              </w:tc>
              <w:tc>
                <w:tcPr/>
                <w:p>
                  <w:pPr>
                    <w:pStyle w:val="Compact"/>
                    <w:jc w:val="center"/>
                  </w:pPr>
                  <w:r>
                    <w:t xml:space="preserve">Q42 (5b7): Pay ever withheld</w:t>
                  </w:r>
                </w:p>
              </w:tc>
              <w:tc>
                <w:tcPr/>
                <w:p>
                  <w:pPr>
                    <w:pStyle w:val="Compact"/>
                    <w:jc w:val="center"/>
                  </w:pPr>
                  <w:r>
                    <w:t xml:space="preserve">Q42: 0/1/2 → 0.09</w:t>
                  </w:r>
                </w:p>
              </w:tc>
              <w:tc>
                <w:tcPr/>
                <w:p>
                  <w:pPr>
                    <w:pStyle w:val="Compact"/>
                    <w:jc w:val="center"/>
                  </w:pPr>
                  <w:r>
                    <w:t xml:space="preserve">0.09</w:t>
                  </w:r>
                </w:p>
              </w:tc>
            </w:tr>
            <w:tr>
              <w:tc>
                <w:tcPr/>
                <w:p>
                  <w:pPr>
                    <w:pStyle w:val="Compact"/>
                    <w:jc w:val="center"/>
                  </w:pPr>
                  <w:r>
                    <w:t xml:space="preserve">9</w:t>
                  </w:r>
                </w:p>
              </w:tc>
              <w:tc>
                <w:tcPr/>
                <w:p>
                  <w:pPr>
                    <w:pStyle w:val="Compact"/>
                    <w:jc w:val="center"/>
                  </w:pPr>
                  <w:r>
                    <w:t xml:space="preserve">Debt bondage (medium)</w:t>
                  </w:r>
                </w:p>
              </w:tc>
              <w:tc>
                <w:tcPr/>
                <w:p>
                  <w:pPr>
                    <w:pStyle w:val="Compact"/>
                    <w:jc w:val="center"/>
                  </w:pPr>
                  <w:r>
                    <w:t xml:space="preserve">Q39 (5b4): Earnings to pay off debt to helper</w:t>
                  </w:r>
                </w:p>
              </w:tc>
              <w:tc>
                <w:tcPr/>
                <w:p>
                  <w:pPr>
                    <w:pStyle w:val="Compact"/>
                    <w:jc w:val="center"/>
                  </w:pPr>
                  <w:r>
                    <w:t xml:space="preserve">Q39: 0 → 0.09</w:t>
                  </w:r>
                </w:p>
              </w:tc>
              <w:tc>
                <w:tcPr/>
                <w:p>
                  <w:pPr>
                    <w:pStyle w:val="Compact"/>
                    <w:jc w:val="center"/>
                  </w:pPr>
                  <w:r>
                    <w:t xml:space="preserve">0.09</w:t>
                  </w:r>
                </w:p>
              </w:tc>
            </w:tr>
            <w:tr>
              <w:tc>
                <w:tcPr/>
                <w:p>
                  <w:pPr>
                    <w:pStyle w:val="Compact"/>
                    <w:jc w:val="center"/>
                  </w:pPr>
                  <w:r>
                    <w:t xml:space="preserve">10</w:t>
                  </w:r>
                </w:p>
              </w:tc>
              <w:tc>
                <w:tcPr/>
                <w:p>
                  <w:pPr>
                    <w:pStyle w:val="Compact"/>
                    <w:jc w:val="center"/>
                  </w:pPr>
                  <w:r>
                    <w:t xml:space="preserve">Abusive working and living conditions (medium)</w:t>
                  </w:r>
                </w:p>
              </w:tc>
              <w:tc>
                <w:tcPr/>
                <w:p>
                  <w:pPr>
                    <w:pStyle w:val="Compact"/>
                    <w:jc w:val="center"/>
                  </w:pPr>
                  <w:r>
                    <w:t xml:space="preserve">Q48 (5c5): Verbally abused; Q63 (5d10): Lack of privacy; Q72 (5f4): Safe/healthy environment; Q76 (5f8): Access to food/water/sanitation</w:t>
                  </w:r>
                </w:p>
              </w:tc>
              <w:tc>
                <w:tcPr/>
                <w:p>
                  <w:pPr>
                    <w:pStyle w:val="Compact"/>
                    <w:jc w:val="center"/>
                  </w:pPr>
                  <w:r>
                    <w:t xml:space="preserve">Q48: 0/1/2 → 0.0225; Q63: 0/1/2 → 0.0225; Q72: 2 or 3 → 0.0225; Q76: 1/2/3 → 0.0225</w:t>
                  </w:r>
                </w:p>
              </w:tc>
              <w:tc>
                <w:tcPr/>
                <w:p>
                  <w:pPr>
                    <w:pStyle w:val="Compact"/>
                    <w:jc w:val="center"/>
                  </w:pPr>
                  <w:r>
                    <w:t xml:space="preserve">0.09</w:t>
                  </w:r>
                </w:p>
              </w:tc>
            </w:tr>
            <w:tr>
              <w:tc>
                <w:tcPr/>
                <w:p>
                  <w:pPr>
                    <w:pStyle w:val="Compact"/>
                    <w:jc w:val="center"/>
                  </w:pPr>
                  <w:r>
                    <w:t xml:space="preserve">11</w:t>
                  </w:r>
                </w:p>
              </w:tc>
              <w:tc>
                <w:tcPr/>
                <w:p>
                  <w:pPr>
                    <w:pStyle w:val="Compact"/>
                    <w:jc w:val="center"/>
                  </w:pPr>
                  <w:r>
                    <w:t xml:space="preserve">Excessive overtime (medium)</w:t>
                  </w:r>
                </w:p>
              </w:tc>
              <w:tc>
                <w:tcPr/>
                <w:p>
                  <w:pPr>
                    <w:pStyle w:val="Compact"/>
                    <w:jc w:val="center"/>
                  </w:pPr>
                  <w:r>
                    <w:t xml:space="preserve">Q16 (3b): Weekly hours; Q61 (5d8): Weekly rest ≥ 24h; Q62 (5d9): Excessive overtime felt</w:t>
                  </w:r>
                </w:p>
              </w:tc>
              <w:tc>
                <w:tcPr/>
                <w:p>
                  <w:pPr>
                    <w:pStyle w:val="Compact"/>
                    <w:jc w:val="center"/>
                  </w:pPr>
                  <w:r>
                    <w:t xml:space="preserve">Q16: 6 or 7 → 0.03; Q61: 2 or 3 → 0.03; Q62: 0/1/2 → 0.03</w:t>
                  </w:r>
                </w:p>
              </w:tc>
              <w:tc>
                <w:tcPr/>
                <w:p>
                  <w:pPr>
                    <w:pStyle w:val="Compact"/>
                    <w:jc w:val="center"/>
                  </w:pPr>
                  <w:r>
                    <w:t xml:space="preserve">0.09</w:t>
                  </w:r>
                </w:p>
              </w:tc>
            </w:tr>
            <w:tr>
              <w:tc>
                <w:tcPr/>
                <w:p>
                  <w:pPr>
                    <w:pStyle w:val="Compact"/>
                    <w:jc w:val="center"/>
                  </w:pPr>
                  <w:r>
                    <w:t xml:space="preserve">12</w:t>
                  </w:r>
                </w:p>
              </w:tc>
              <w:tc>
                <w:tcPr/>
                <w:p>
                  <w:pPr>
                    <w:pStyle w:val="Compact"/>
                    <w:jc w:val="center"/>
                  </w:pPr>
                  <w:r>
                    <w:t xml:space="preserve">Payment below national living wage</w:t>
                  </w:r>
                  <w:r>
                    <w:t xml:space="preserve"> </w:t>
                  </w:r>
                  <w:r>
                    <w:rPr>
                      <w:i/>
                      <w:iCs/>
                    </w:rPr>
                    <w:t xml:space="preserve">(separate binary)</w:t>
                  </w:r>
                </w:p>
              </w:tc>
              <w:tc>
                <w:tcPr/>
                <w:p>
                  <w:pPr>
                    <w:pStyle w:val="Compact"/>
                    <w:jc w:val="center"/>
                  </w:pPr>
                  <w:r>
                    <w:t xml:space="preserve">Q36 (5b1): Hourly pay before tax</w:t>
                  </w:r>
                </w:p>
              </w:tc>
              <w:tc>
                <w:tcPr/>
                <w:p>
                  <w:pPr>
                    <w:pStyle w:val="Compact"/>
                    <w:jc w:val="center"/>
                  </w:pPr>
                  <w:r>
                    <w:t xml:space="preserve">Q36: 0/1/2 (below £10.42/hr) → 1</w:t>
                  </w:r>
                </w:p>
              </w:tc>
              <w:tc>
                <w:tcPr/>
                <w:p>
                  <w:pPr>
                    <w:pStyle w:val="Compact"/>
                    <w:jc w:val="center"/>
                  </w:pPr>
                  <w:r>
                    <w:t xml:space="preserve">Reported separately</w:t>
                  </w:r>
                </w:p>
              </w:tc>
            </w:tr>
            <w:tr>
              <w:tc>
                <w:tcPr/>
                <w:p>
                  <w:pPr>
                    <w:pStyle w:val="Compact"/>
                    <w:jc w:val="center"/>
                  </w:pPr>
                  <w:r>
                    <w:t xml:space="preserve">13</w:t>
                  </w:r>
                </w:p>
              </w:tc>
              <w:tc>
                <w:tcPr/>
                <w:p>
                  <w:pPr>
                    <w:pStyle w:val="Compact"/>
                    <w:jc w:val="center"/>
                  </w:pPr>
                  <w:r>
                    <w:t xml:space="preserve">NRM-referral indicator</w:t>
                  </w:r>
                  <w:r>
                    <w:t xml:space="preserve"> </w:t>
                  </w:r>
                  <w:r>
                    <w:rPr>
                      <w:i/>
                      <w:iCs/>
                    </w:rPr>
                    <w:t xml:space="preserve">(separate binary)</w:t>
                  </w:r>
                </w:p>
              </w:tc>
              <w:tc>
                <w:tcPr/>
                <w:p>
                  <w:pPr>
                    <w:pStyle w:val="Compact"/>
                    <w:jc w:val="center"/>
                  </w:pPr>
                  <w:r>
                    <w:t xml:space="preserve">Q80 (5f12): Advised to enter National Referral Mechanism</w:t>
                  </w:r>
                </w:p>
              </w:tc>
              <w:tc>
                <w:tcPr/>
                <w:p>
                  <w:pPr>
                    <w:pStyle w:val="Compact"/>
                    <w:jc w:val="center"/>
                  </w:pPr>
                  <w:r>
                    <w:t xml:space="preserve">Q80: 0 or 1 → 1</w:t>
                  </w:r>
                </w:p>
              </w:tc>
              <w:tc>
                <w:tcPr/>
                <w:p>
                  <w:pPr>
                    <w:pStyle w:val="Compact"/>
                    <w:jc w:val="center"/>
                  </w:pPr>
                  <w:r>
                    <w:t xml:space="preserve">Reported separately</w:t>
                  </w:r>
                </w:p>
              </w:tc>
            </w:tr>
          </w:tbl>
          <w:bookmarkEnd w:id="22"/>
          <w:p/>
        </w:tc>
      </w:tr>
    </w:tbl>
    <w:bookmarkEnd w:id="23"/>
    <w:bookmarkStart w:id="25" w:name="sec-a-binary"/>
    <w:p>
      <w:pPr>
        <w:pStyle w:val="Heading2"/>
      </w:pPr>
      <w:r>
        <w:t xml:space="preserve">A.2 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p>
    <w:tbl>
      <w:tblPr>
        <w:tblStyle w:val="Table"/>
        <w:tblW w:type="pct" w:w="5000"/>
        <w:tblLayout w:type="fixed"/>
        <w:tblLook w:firstRow="0" w:lastRow="0" w:firstColumn="0" w:lastColumn="0" w:noHBand="0" w:noVBand="0" w:val="0000"/>
      </w:tblPr>
      <w:tblGrid>
        <w:gridCol w:w="7920"/>
      </w:tblGrid>
      <w:tr>
        <w:tc>
          <w:tcPr/>
          <w:bookmarkStart w:id="24" w:name="tbl-binary"/>
          <w:p>
            <w:pPr>
              <w:jc w:val="center"/>
            </w:pPr>
            <w:pPr>
              <w:jc w:val="start"/>
              <w:spacing w:before="200"/>
              <w:pStyle w:val="Imag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Binary indicator</w:t>
                  </w:r>
                </w:p>
              </w:tc>
              <w:tc>
                <w:tcPr/>
                <w:p>
                  <w:pPr>
                    <w:pStyle w:val="Compact"/>
                    <w:jc w:val="center"/>
                  </w:pPr>
                  <w:r>
                    <w:t xml:space="preserve">ILO classification</w:t>
                  </w:r>
                </w:p>
              </w:tc>
              <w:tc>
                <w:tcPr/>
                <w:p>
                  <w:pPr>
                    <w:pStyle w:val="Compact"/>
                    <w:jc w:val="center"/>
                  </w:pPr>
                  <w:r>
                    <w:t xml:space="preserve">Survey item(s)</w:t>
                  </w:r>
                </w:p>
              </w:tc>
              <w:tc>
                <w:tcPr/>
                <w:p>
                  <w:pPr>
                    <w:pStyle w:val="Compact"/>
                    <w:jc w:val="center"/>
                  </w:pPr>
                  <w:r>
                    <w:t xml:space="preserve">Coding rule</w:t>
                  </w:r>
                </w:p>
              </w:tc>
            </w:tr>
            <w:tr>
              <w:tc>
                <w:tcPr/>
                <w:p>
                  <w:pPr>
                    <w:pStyle w:val="Compact"/>
                    <w:jc w:val="center"/>
                  </w:pPr>
                  <w:r>
                    <w:t xml:space="preserve">Document withholding</w:t>
                  </w:r>
                </w:p>
              </w:tc>
              <w:tc>
                <w:tcPr/>
                <w:p>
                  <w:pPr>
                    <w:pStyle w:val="Compact"/>
                    <w:jc w:val="center"/>
                  </w:pPr>
                  <w:r>
                    <w:t xml:space="preserve">Strong (Category 7)</w:t>
                  </w:r>
                </w:p>
              </w:tc>
              <w:tc>
                <w:tcPr/>
                <w:p>
                  <w:pPr>
                    <w:pStyle w:val="Compact"/>
                    <w:jc w:val="center"/>
                  </w:pPr>
                  <w:r>
                    <w:t xml:space="preserve">Q70 (5f2): Travel/identity docs withheld</w:t>
                  </w:r>
                </w:p>
              </w:tc>
              <w:tc>
                <w:tcPr/>
                <w:p>
                  <w:pPr>
                    <w:pStyle w:val="Compact"/>
                    <w:jc w:val="center"/>
                  </w:pPr>
                  <w:r>
                    <w:t xml:space="preserve">Q70: 0/1/2 → 1</w:t>
                  </w:r>
                </w:p>
              </w:tc>
            </w:tr>
            <w:tr>
              <w:tc>
                <w:tcPr/>
                <w:p>
                  <w:pPr>
                    <w:pStyle w:val="Compact"/>
                    <w:jc w:val="center"/>
                  </w:pPr>
                  <w:r>
                    <w:t xml:space="preserve">Threats and abuse</w:t>
                  </w:r>
                </w:p>
              </w:tc>
              <w:tc>
                <w:tcPr/>
                <w:p>
                  <w:pPr>
                    <w:pStyle w:val="Compact"/>
                    <w:jc w:val="center"/>
                  </w:pPr>
                  <w:r>
                    <w:t xml:space="preserve">Strong (Categories 5+6)</w:t>
                  </w:r>
                </w:p>
              </w:tc>
              <w:tc>
                <w:tcPr/>
                <w:p>
                  <w:pPr>
                    <w:pStyle w:val="Compact"/>
                    <w:jc w:val="center"/>
                  </w:pPr>
                  <w:r>
                    <w:t xml:space="preserve">Q45 (5c2): Forced/deceived/threatened; Q47 (5c4): Intimidated; Q48 (5c5): Verbally abused</w:t>
                  </w:r>
                </w:p>
              </w:tc>
              <w:tc>
                <w:tcPr/>
                <w:p>
                  <w:pPr>
                    <w:pStyle w:val="Compact"/>
                    <w:jc w:val="center"/>
                  </w:pPr>
                  <w:r>
                    <w:t xml:space="preserve">Any of: Q45=0; Q47=0/1/2; Q48=0/1/2 → 1</w:t>
                  </w:r>
                </w:p>
              </w:tc>
            </w:tr>
            <w:tr>
              <w:tc>
                <w:tcPr/>
                <w:p>
                  <w:pPr>
                    <w:pStyle w:val="Compact"/>
                    <w:jc w:val="center"/>
                  </w:pPr>
                  <w:r>
                    <w:t xml:space="preserve">Pay issues</w:t>
                  </w:r>
                </w:p>
              </w:tc>
              <w:tc>
                <w:tcPr/>
                <w:p>
                  <w:pPr>
                    <w:pStyle w:val="Compact"/>
                    <w:jc w:val="center"/>
                  </w:pPr>
                  <w:r>
                    <w:t xml:space="preserve">Medium (Categories 8+9)</w:t>
                  </w:r>
                </w:p>
              </w:tc>
              <w:tc>
                <w:tcPr/>
                <w:p>
                  <w:pPr>
                    <w:pStyle w:val="Compact"/>
                    <w:jc w:val="center"/>
                  </w:pPr>
                  <w:r>
                    <w:t xml:space="preserve">Q39 (5b4): Debt bondage; Q42 (5b7): Pay withheld</w:t>
                  </w:r>
                </w:p>
              </w:tc>
              <w:tc>
                <w:tcPr/>
                <w:p>
                  <w:pPr>
                    <w:pStyle w:val="Compact"/>
                    <w:jc w:val="center"/>
                  </w:pPr>
                  <w:r>
                    <w:t xml:space="preserve">Either Q39=0 or Q42=0/1/2 → 1</w:t>
                  </w:r>
                </w:p>
              </w:tc>
            </w:tr>
            <w:tr>
              <w:tc>
                <w:tcPr/>
                <w:p>
                  <w:pPr>
                    <w:pStyle w:val="Compact"/>
                    <w:jc w:val="center"/>
                  </w:pPr>
                  <w:r>
                    <w:t xml:space="preserve">Excessive hours</w:t>
                  </w:r>
                </w:p>
              </w:tc>
              <w:tc>
                <w:tcPr/>
                <w:p>
                  <w:pPr>
                    <w:pStyle w:val="Compact"/>
                    <w:jc w:val="center"/>
                  </w:pPr>
                  <w:r>
                    <w:t xml:space="preserve">Medium (Category 11)</w:t>
                  </w:r>
                </w:p>
              </w:tc>
              <w:tc>
                <w:tcPr/>
                <w:p>
                  <w:pPr>
                    <w:pStyle w:val="Compact"/>
                    <w:jc w:val="center"/>
                  </w:pPr>
                  <w:r>
                    <w:t xml:space="preserve">Q61 (5d8): Weekly rest &lt; 24h; Q62 (5d9): Excessive overtime</w:t>
                  </w:r>
                </w:p>
              </w:tc>
              <w:tc>
                <w:tcPr/>
                <w:p>
                  <w:pPr>
                    <w:pStyle w:val="Compact"/>
                    <w:jc w:val="center"/>
                  </w:pPr>
                  <w:r>
                    <w:t xml:space="preserve">Either Q61=2/3 or Q62=0/1/2 → 1</w:t>
                  </w:r>
                </w:p>
              </w:tc>
            </w:tr>
            <w:tr>
              <w:tc>
                <w:tcPr/>
                <w:p>
                  <w:pPr>
                    <w:pStyle w:val="Compact"/>
                    <w:jc w:val="center"/>
                  </w:pPr>
                  <w:r>
                    <w:t xml:space="preserve">Limited access to help</w:t>
                  </w:r>
                </w:p>
              </w:tc>
              <w:tc>
                <w:tcPr/>
                <w:p>
                  <w:pPr>
                    <w:pStyle w:val="Compact"/>
                    <w:jc w:val="center"/>
                  </w:pPr>
                  <w:r>
                    <w:t xml:space="preserve">Auxiliary</w:t>
                  </w:r>
                </w:p>
              </w:tc>
              <w:tc>
                <w:tcPr/>
                <w:p>
                  <w:pPr>
                    <w:pStyle w:val="Compact"/>
                    <w:jc w:val="center"/>
                  </w:pPr>
                  <w:r>
                    <w:t xml:space="preserve">Q78 (5f10): Knows where to get help (reverse-coded)</w:t>
                  </w:r>
                </w:p>
              </w:tc>
              <w:tc>
                <w:tcPr/>
                <w:p>
                  <w:pPr>
                    <w:pStyle w:val="Compact"/>
                    <w:jc w:val="center"/>
                  </w:pPr>
                  <w:r>
                    <w:t xml:space="preserve">Q78 indicating no access → 1</w:t>
                  </w:r>
                </w:p>
              </w:tc>
            </w:tr>
          </w:tbl>
          <w:bookmarkEnd w:id="24"/>
          <w:p/>
        </w:tc>
      </w:tr>
    </w:tbl>
    <w:bookmarkEnd w:id="25"/>
    <w:bookmarkStart w:id="27" w:name="sec-a-rds"/>
    <w:p>
      <w:pPr>
        <w:pStyle w:val="Heading2"/>
      </w:pPr>
      <w:r>
        <w:t xml:space="preserve">A.3 Key RDS Variables</w:t>
      </w:r>
    </w:p>
    <w:tbl>
      <w:tblPr>
        <w:tblStyle w:val="Table"/>
        <w:tblW w:type="pct" w:w="5000"/>
        <w:tblLayout w:type="fixed"/>
        <w:tblLook w:firstRow="0" w:lastRow="0" w:firstColumn="0" w:lastColumn="0" w:noHBand="0" w:noVBand="0" w:val="0000"/>
      </w:tblPr>
      <w:tblGrid>
        <w:gridCol w:w="7920"/>
      </w:tblGrid>
      <w:tr>
        <w:tc>
          <w:tcPr/>
          <w:bookmarkStart w:id="26" w:name="tbl-rds-vars"/>
          <w:p>
            <w:pPr>
              <w:jc w:val="center"/>
            </w:pPr>
            <w:pPr>
              <w:jc w:val="start"/>
              <w:spacing w:before="200"/>
              <w:pStyle w:val="Imag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Type</w:t>
                  </w:r>
                </w:p>
              </w:tc>
              <w:tc>
                <w:tcPr/>
                <w:p>
                  <w:pPr>
                    <w:pStyle w:val="Compact"/>
                    <w:jc w:val="center"/>
                  </w:pPr>
                  <w:r>
                    <w:t xml:space="preserve">Definition</w:t>
                  </w:r>
                </w:p>
              </w:tc>
              <w:tc>
                <w:tcPr/>
                <w:p>
                  <w:pPr>
                    <w:pStyle w:val="Compact"/>
                    <w:jc w:val="center"/>
                  </w:pPr>
                  <w:r>
                    <w:t xml:space="preserve">Source</w:t>
                  </w:r>
                </w:p>
              </w:tc>
            </w:tr>
            <w:tr>
              <w:tc>
                <w:tcPr/>
                <w:p>
                  <w:pPr>
                    <w:pStyle w:val="Compact"/>
                    <w:jc w:val="center"/>
                  </w:pPr>
                  <w:r>
                    <w:t xml:space="preserve">id</w:t>
                  </w:r>
                </w:p>
              </w:tc>
              <w:tc>
                <w:tcPr/>
                <w:p>
                  <w:pPr>
                    <w:pStyle w:val="Compact"/>
                    <w:jc w:val="center"/>
                  </w:pPr>
                  <w:r>
                    <w:t xml:space="preserve">Numeric</w:t>
                  </w:r>
                </w:p>
              </w:tc>
              <w:tc>
                <w:tcPr/>
                <w:p>
                  <w:pPr>
                    <w:pStyle w:val="Compact"/>
                    <w:jc w:val="center"/>
                  </w:pPr>
                  <w:r>
                    <w:t xml:space="preserve">Unique respondent identifier</w:t>
                  </w:r>
                </w:p>
              </w:tc>
              <w:tc>
                <w:tcPr/>
                <w:p>
                  <w:pPr>
                    <w:pStyle w:val="Compact"/>
                    <w:jc w:val="center"/>
                  </w:pPr>
                  <w:r>
                    <w:t xml:space="preserve">—</w:t>
                  </w:r>
                </w:p>
              </w:tc>
            </w:tr>
            <w:tr>
              <w:tc>
                <w:tcPr/>
                <w:p>
                  <w:pPr>
                    <w:pStyle w:val="Compact"/>
                    <w:jc w:val="center"/>
                  </w:pPr>
                  <w:r>
                    <w:t xml:space="preserve">recruiter.id</w:t>
                  </w:r>
                </w:p>
              </w:tc>
              <w:tc>
                <w:tcPr/>
                <w:p>
                  <w:pPr>
                    <w:pStyle w:val="Compact"/>
                    <w:jc w:val="center"/>
                  </w:pPr>
                  <w:r>
                    <w:t xml:space="preserve">Numeric</w:t>
                  </w:r>
                </w:p>
              </w:tc>
              <w:tc>
                <w:tcPr/>
                <w:p>
                  <w:pPr>
                    <w:pStyle w:val="Compact"/>
                    <w:jc w:val="center"/>
                  </w:pPr>
                  <w:r>
                    <w:t xml:space="preserve">id of recruiter; −1 = seed</w:t>
                  </w:r>
                </w:p>
              </w:tc>
              <w:tc>
                <w:tcPr/>
                <w:p>
                  <w:pPr>
                    <w:pStyle w:val="Compact"/>
                    <w:jc w:val="center"/>
                  </w:pPr>
                  <w:r>
                    <w:t xml:space="preserve">—</w:t>
                  </w:r>
                </w:p>
              </w:tc>
            </w:tr>
            <w:tr>
              <w:tc>
                <w:tcPr/>
                <w:p>
                  <w:pPr>
                    <w:pStyle w:val="Compact"/>
                    <w:jc w:val="center"/>
                  </w:pPr>
                  <w:r>
                    <w:t xml:space="preserve">referral_1 through referral_5</w:t>
                  </w:r>
                </w:p>
              </w:tc>
              <w:tc>
                <w:tcPr/>
                <w:p>
                  <w:pPr>
                    <w:pStyle w:val="Compact"/>
                    <w:jc w:val="center"/>
                  </w:pPr>
                  <w:r>
                    <w:t xml:space="preserve">Numeric</w:t>
                  </w:r>
                </w:p>
              </w:tc>
              <w:tc>
                <w:tcPr/>
                <w:p>
                  <w:pPr>
                    <w:pStyle w:val="Compact"/>
                    <w:jc w:val="center"/>
                  </w:pPr>
                  <w:r>
                    <w:t xml:space="preserve">ids of up to five recruits</w:t>
                  </w:r>
                </w:p>
              </w:tc>
              <w:tc>
                <w:tcPr/>
                <w:p>
                  <w:pPr>
                    <w:pStyle w:val="Compact"/>
                    <w:jc w:val="center"/>
                  </w:pPr>
                  <w:r>
                    <w:t xml:space="preserve">—</w:t>
                  </w:r>
                </w:p>
              </w:tc>
            </w:tr>
            <w:tr>
              <w:tc>
                <w:tcPr/>
                <w:p>
                  <w:pPr>
                    <w:pStyle w:val="Compact"/>
                    <w:jc w:val="center"/>
                  </w:pPr>
                  <w:r>
                    <w:t xml:space="preserve">q13 (2f)</w:t>
                  </w:r>
                </w:p>
              </w:tc>
              <w:tc>
                <w:tcPr/>
                <w:p>
                  <w:pPr>
                    <w:pStyle w:val="Compact"/>
                    <w:jc w:val="center"/>
                  </w:pPr>
                  <w:r>
                    <w:t xml:space="preserve">Numeric (count)</w:t>
                  </w:r>
                </w:p>
              </w:tc>
              <w:tc>
                <w:tcPr/>
                <w:p>
                  <w:pPr>
                    <w:pStyle w:val="Compact"/>
                    <w:jc w:val="center"/>
                  </w:pPr>
                  <w:r>
                    <w:t xml:space="preserve">Personal network size: number of other domestic workers known with contact details. Used as degree variable in RDS weighting and NSUM denominator.</w:t>
                  </w:r>
                </w:p>
              </w:tc>
              <w:tc>
                <w:tcPr/>
                <w:p>
                  <w:pPr>
                    <w:pStyle w:val="Compact"/>
                    <w:jc w:val="center"/>
                  </w:pPr>
                  <w:r>
                    <w:t xml:space="preserve">Q13</w:t>
                  </w:r>
                </w:p>
              </w:tc>
            </w:tr>
            <w:tr>
              <w:tc>
                <w:tcPr/>
                <w:p>
                  <w:pPr>
                    <w:pStyle w:val="Compact"/>
                    <w:jc w:val="center"/>
                  </w:pPr>
                  <w:r>
                    <w:t xml:space="preserve">1a_eligibility</w:t>
                  </w:r>
                </w:p>
              </w:tc>
              <w:tc>
                <w:tcPr/>
                <w:p>
                  <w:pPr>
                    <w:pStyle w:val="Compact"/>
                    <w:jc w:val="center"/>
                  </w:pPr>
                  <w:r>
                    <w:t xml:space="preserve">Binary</w:t>
                  </w:r>
                </w:p>
              </w:tc>
              <w:tc>
                <w:tcPr/>
                <w:p>
                  <w:pPr>
                    <w:pStyle w:val="Compact"/>
                    <w:jc w:val="center"/>
                  </w:pPr>
                  <w:r>
                    <w:t xml:space="preserve">Worked as domestic worker in past 12 months</w:t>
                  </w:r>
                </w:p>
              </w:tc>
              <w:tc>
                <w:tcPr/>
                <w:p>
                  <w:pPr>
                    <w:pStyle w:val="Compact"/>
                    <w:jc w:val="center"/>
                  </w:pPr>
                  <w:r>
                    <w:t xml:space="preserve">Q1a</w:t>
                  </w:r>
                </w:p>
              </w:tc>
            </w:tr>
            <w:tr>
              <w:tc>
                <w:tcPr/>
                <w:p>
                  <w:pPr>
                    <w:pStyle w:val="Compact"/>
                    <w:jc w:val="center"/>
                  </w:pPr>
                  <w:r>
                    <w:t xml:space="preserve">wave</w:t>
                  </w:r>
                </w:p>
              </w:tc>
              <w:tc>
                <w:tcPr/>
                <w:p>
                  <w:pPr>
                    <w:pStyle w:val="Compact"/>
                    <w:jc w:val="center"/>
                  </w:pPr>
                  <w:r>
                    <w:t xml:space="preserve">Numeric (0, 1, 2, …)</w:t>
                  </w:r>
                </w:p>
              </w:tc>
              <w:tc>
                <w:tcPr/>
                <w:p>
                  <w:pPr>
                    <w:pStyle w:val="Compact"/>
                    <w:jc w:val="center"/>
                  </w:pPr>
                  <w:r>
                    <w:t xml:space="preserve">Recruitment wave; 0 = seed; k = recruited by wave-(k−1) respondent</w:t>
                  </w:r>
                </w:p>
              </w:tc>
              <w:tc>
                <w:tcPr/>
                <w:p>
                  <w:pPr>
                    <w:pStyle w:val="Compact"/>
                    <w:jc w:val="center"/>
                  </w:pPr>
                  <w:r>
                    <w:t xml:space="preserve">Derived</w:t>
                  </w:r>
                </w:p>
              </w:tc>
            </w:tr>
            <w:tr>
              <w:tc>
                <w:tcPr/>
                <w:p>
                  <w:pPr>
                    <w:pStyle w:val="Compact"/>
                    <w:jc w:val="center"/>
                  </w:pPr>
                  <w:r>
                    <w:t xml:space="preserve">nationality_cluster</w:t>
                  </w:r>
                </w:p>
              </w:tc>
              <w:tc>
                <w:tcPr/>
                <w:p>
                  <w:pPr>
                    <w:pStyle w:val="Compact"/>
                    <w:jc w:val="center"/>
                  </w:pPr>
                  <w:r>
                    <w:t xml:space="preserve">Categorical (4 levels)</w:t>
                  </w:r>
                </w:p>
              </w:tc>
              <w:tc>
                <w:tcPr/>
                <w:p>
                  <w:pPr>
                    <w:pStyle w:val="Compact"/>
                    <w:jc w:val="center"/>
                  </w:pPr>
                  <w:r>
                    <w:t xml:space="preserve">Filipino, Latinx, British, Other</w:t>
                  </w:r>
                </w:p>
              </w:tc>
              <w:tc>
                <w:tcPr/>
                <w:p>
                  <w:pPr>
                    <w:pStyle w:val="Compact"/>
                    <w:jc w:val="center"/>
                  </w:pPr>
                  <w:r>
                    <w:t xml:space="preserve">Q3, Q5</w:t>
                  </w:r>
                </w:p>
              </w:tc>
            </w:tr>
          </w:tbl>
          <w:bookmarkEnd w:id="26"/>
          <w:p/>
        </w:tc>
      </w:tr>
    </w:tbl>
    <w:bookmarkEnd w:id="27"/>
    <w:bookmarkEnd w:id="28"/>
    <w:bookmarkStart w:id="36" w:name="sec-b"/>
    <w:p>
      <w:pPr>
        <w:pStyle w:val="Heading1"/>
      </w:pPr>
      <w:r>
        <w:t xml:space="preserve">Appendix B —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University of Nottingham).</w:t>
      </w:r>
    </w:p>
    <w:p>
      <w:pPr>
        <w:pStyle w:val="BodyText"/>
      </w:pPr>
      <w:hyperlink w:anchor="tbl-ego-alter-summary">
        <w:r>
          <w:rPr>
            <w:rStyle w:val="Hyperlink"/>
          </w:rPr>
          <w:t xml:space="preserve">Table B.1</w:t>
        </w:r>
      </w:hyperlink>
      <w:r>
        <w:t xml:space="preserve"> </w:t>
      </w:r>
      <w:r>
        <w:t xml:space="preserve">gives a summary overview; the subsections below provide the full question wording, response options, and coding rules for each indicator pair.</w:t>
      </w:r>
    </w:p>
    <w:tbl>
      <w:tblPr>
        <w:tblStyle w:val="Table"/>
        <w:tblW w:type="pct" w:w="5000"/>
        <w:tblLayout w:type="fixed"/>
        <w:tblLook w:firstRow="0" w:lastRow="0" w:firstColumn="0" w:lastColumn="0" w:noHBand="0" w:noVBand="0" w:val="0000"/>
      </w:tblPr>
      <w:tblGrid>
        <w:gridCol w:w="7920"/>
      </w:tblGrid>
      <w:tr>
        <w:tc>
          <w:tcPr/>
          <w:bookmarkStart w:id="29" w:name="tbl-ego-alter-summary"/>
          <w:p>
            <w:pPr>
              <w:jc w:val="center"/>
            </w:pPr>
            <w:pPr>
              <w:jc w:val="start"/>
              <w:spacing w:before="200"/>
              <w:pStyle w:val="Imag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Ego (RDS) question(s)</w:t>
                  </w:r>
                </w:p>
              </w:tc>
              <w:tc>
                <w:tcPr/>
                <w:p>
                  <w:pPr>
                    <w:pStyle w:val="Compact"/>
                    <w:jc w:val="center"/>
                  </w:pPr>
                  <w:r>
                    <w:t xml:space="preserve">Alter (NSUM) question</w:t>
                  </w:r>
                </w:p>
              </w:tc>
              <w:tc>
                <w:tcPr/>
                <w:p>
                  <w:pPr>
                    <w:pStyle w:val="Compact"/>
                    <w:jc w:val="center"/>
                  </w:pPr>
                  <w:r>
                    <w:t xml:space="preserve">Confidence</w:t>
                  </w:r>
                </w:p>
              </w:tc>
            </w:tr>
            <w:tr>
              <w:tc>
                <w:tcPr/>
                <w:p>
                  <w:pPr>
                    <w:pStyle w:val="Compact"/>
                    <w:jc w:val="center"/>
                  </w:pPr>
                  <w:r>
                    <w:t xml:space="preserve">Document withholding</w:t>
                  </w:r>
                </w:p>
              </w:tc>
              <w:tc>
                <w:tcPr/>
                <w:p>
                  <w:pPr>
                    <w:pStyle w:val="Compact"/>
                    <w:jc w:val="center"/>
                  </w:pPr>
                  <w:r>
                    <w:t xml:space="preserve">Q70 (5f2)</w:t>
                  </w:r>
                </w:p>
              </w:tc>
              <w:tc>
                <w:tcPr/>
                <w:p>
                  <w:pPr>
                    <w:pStyle w:val="Compact"/>
                    <w:jc w:val="center"/>
                  </w:pPr>
                  <w:r>
                    <w:t xml:space="preserve">Q71 (5f3)</w:t>
                  </w:r>
                </w:p>
              </w:tc>
              <w:tc>
                <w:tcPr/>
                <w:p>
                  <w:pPr>
                    <w:pStyle w:val="Compact"/>
                    <w:jc w:val="center"/>
                  </w:pPr>
                  <w:r>
                    <w:t xml:space="preserve">Highest</w:t>
                  </w:r>
                </w:p>
              </w:tc>
            </w:tr>
            <w:tr>
              <w:tc>
                <w:tcPr/>
                <w:p>
                  <w:pPr>
                    <w:pStyle w:val="Compact"/>
                    <w:jc w:val="center"/>
                  </w:pPr>
                  <w:r>
                    <w:t xml:space="preserve">Pay/debt issues</w:t>
                  </w:r>
                </w:p>
              </w:tc>
              <w:tc>
                <w:tcPr/>
                <w:p>
                  <w:pPr>
                    <w:pStyle w:val="Compact"/>
                    <w:jc w:val="center"/>
                  </w:pPr>
                  <w:r>
                    <w:t xml:space="preserve">Q39 (5b4) + Q42 (5b7)</w:t>
                  </w:r>
                </w:p>
              </w:tc>
              <w:tc>
                <w:tcPr/>
                <w:p>
                  <w:pPr>
                    <w:pStyle w:val="Compact"/>
                    <w:jc w:val="center"/>
                  </w:pPr>
                  <w:r>
                    <w:t xml:space="preserve">Q43 (5b8)</w:t>
                  </w:r>
                </w:p>
              </w:tc>
              <w:tc>
                <w:tcPr/>
                <w:p>
                  <w:pPr>
                    <w:pStyle w:val="Compact"/>
                    <w:jc w:val="center"/>
                  </w:pPr>
                  <w:r>
                    <w:t xml:space="preserve">High</w:t>
                  </w:r>
                </w:p>
              </w:tc>
            </w:tr>
            <w:tr>
              <w:tc>
                <w:tcPr/>
                <w:p>
                  <w:pPr>
                    <w:pStyle w:val="Compact"/>
                    <w:jc w:val="center"/>
                  </w:pPr>
                  <w:r>
                    <w:t xml:space="preserve">Threats and abuse</w:t>
                  </w:r>
                </w:p>
              </w:tc>
              <w:tc>
                <w:tcPr/>
                <w:p>
                  <w:pPr>
                    <w:pStyle w:val="Compact"/>
                    <w:jc w:val="center"/>
                  </w:pPr>
                  <w:r>
                    <w:t xml:space="preserve">Q45 (5c2) + Q47 (5c4) + Q48 (5c5)</w:t>
                  </w:r>
                </w:p>
              </w:tc>
              <w:tc>
                <w:tcPr/>
                <w:p>
                  <w:pPr>
                    <w:pStyle w:val="Compact"/>
                    <w:jc w:val="center"/>
                  </w:pPr>
                  <w:r>
                    <w:t xml:space="preserve">Q49 (5c6)</w:t>
                  </w:r>
                </w:p>
              </w:tc>
              <w:tc>
                <w:tcPr/>
                <w:p>
                  <w:pPr>
                    <w:pStyle w:val="Compact"/>
                    <w:jc w:val="center"/>
                  </w:pPr>
                  <w:r>
                    <w:t xml:space="preserve">High</w:t>
                  </w:r>
                </w:p>
              </w:tc>
            </w:tr>
            <w:tr>
              <w:tc>
                <w:tcPr/>
                <w:p>
                  <w:pPr>
                    <w:pStyle w:val="Compact"/>
                    <w:jc w:val="center"/>
                  </w:pPr>
                  <w:r>
                    <w:t xml:space="preserve">Excessive hours</w:t>
                  </w:r>
                </w:p>
              </w:tc>
              <w:tc>
                <w:tcPr/>
                <w:p>
                  <w:pPr>
                    <w:pStyle w:val="Compact"/>
                    <w:jc w:val="center"/>
                  </w:pPr>
                  <w:r>
                    <w:t xml:space="preserve">Q61 (5d8) + Q62 (5d9)</w:t>
                  </w:r>
                </w:p>
              </w:tc>
              <w:tc>
                <w:tcPr/>
                <w:p>
                  <w:pPr>
                    <w:pStyle w:val="Compact"/>
                    <w:jc w:val="center"/>
                  </w:pPr>
                  <w:r>
                    <w:t xml:space="preserve">Q64 (5d11)</w:t>
                  </w:r>
                </w:p>
              </w:tc>
              <w:tc>
                <w:tcPr/>
                <w:p>
                  <w:pPr>
                    <w:pStyle w:val="Compact"/>
                    <w:jc w:val="center"/>
                  </w:pPr>
                  <w:r>
                    <w:t xml:space="preserve">Medium</w:t>
                  </w:r>
                </w:p>
              </w:tc>
            </w:tr>
            <w:tr>
              <w:tc>
                <w:tcPr/>
                <w:p>
                  <w:pPr>
                    <w:pStyle w:val="Compact"/>
                    <w:jc w:val="center"/>
                  </w:pPr>
                  <w:r>
                    <w:t xml:space="preserve">Limited access to help</w:t>
                  </w:r>
                </w:p>
              </w:tc>
              <w:tc>
                <w:tcPr/>
                <w:p>
                  <w:pPr>
                    <w:pStyle w:val="Compact"/>
                    <w:jc w:val="center"/>
                  </w:pPr>
                  <w:r>
                    <w:t xml:space="preserve">Q78 (5f10) reverse-coded</w:t>
                  </w:r>
                </w:p>
              </w:tc>
              <w:tc>
                <w:tcPr/>
                <w:p>
                  <w:pPr>
                    <w:pStyle w:val="Compact"/>
                    <w:jc w:val="center"/>
                  </w:pPr>
                  <w:r>
                    <w:t xml:space="preserve">Q79 (5f11)</w:t>
                  </w:r>
                </w:p>
              </w:tc>
              <w:tc>
                <w:tcPr/>
                <w:p>
                  <w:pPr>
                    <w:pStyle w:val="Compact"/>
                    <w:jc w:val="center"/>
                  </w:pPr>
                  <w:r>
                    <w:t xml:space="preserve">Lower</w:t>
                  </w:r>
                </w:p>
              </w:tc>
            </w:tr>
          </w:tbl>
          <w:bookmarkEnd w:id="29"/>
          <w:p/>
        </w:tc>
      </w:tr>
    </w:tbl>
    <w:bookmarkStart w:id="30" w:name="sec-b-doc"/>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bookmarkEnd w:id="30"/>
    <w:bookmarkStart w:id="31" w:name="sec-b-pay"/>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bookmarkEnd w:id="31"/>
    <w:bookmarkStart w:id="32" w:name="sec-b-threats"/>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bookmarkEnd w:id="32"/>
    <w:bookmarkStart w:id="33" w:name="sec-b-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bookmarkEnd w:id="33"/>
    <w:bookmarkStart w:id="34" w:name="sec-b-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bookmarkEnd w:id="34"/>
    <w:bookmarkStart w:id="35" w:name="sec-b-notes"/>
    <w:p>
      <w:pPr>
        <w:pStyle w:val="Heading2"/>
      </w:pPr>
      <w:r>
        <w:t xml:space="preserve">B.6 General Data-Processing Notes</w:t>
      </w:r>
    </w:p>
    <w:p>
      <w:pPr>
        <w:pStyle w:val="FirstParagraph"/>
      </w:pP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bookmarkEnd w:id="35"/>
    <w:bookmarkEnd w:id="36"/>
    <w:bookmarkStart w:id="37" w:name="sec-c"/>
    <w:p>
      <w:pPr>
        <w:pStyle w:val="Heading1"/>
      </w:pPr>
      <w:r>
        <w:t xml:space="preserve">Appendix C —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w:t>
      </w:r>
      <w:r>
        <w:t xml:space="preserve"> </w:t>
      </w:r>
      <w:r>
        <w:t xml:space="preserve">Yauck &amp; Moodie (2022)</w:t>
      </w:r>
      <w:r>
        <w:t xml:space="preserve">.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w:t>
      </w:r>
      <w:hyperlink w:anchor="tbl-weighting">
        <w:r>
          <w:rPr>
            <w:rStyle w:val="Hyperlink"/>
          </w:rPr>
          <w:t xml:space="preserve">Table D.6</w:t>
        </w:r>
      </w:hyperlink>
      <w:r>
        <w:t xml:space="preserve">):</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w:t>
      </w:r>
      <w:hyperlink w:anchor="tbl-weighting">
        <w:r>
          <w:rPr>
            <w:rStyle w:val="Hyperlink"/>
          </w:rPr>
          <w:t xml:space="preserve">Table D.6</w:t>
        </w:r>
      </w:hyperlink>
      <w:r>
        <w:t xml:space="preserve">).</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w:t>
      </w:r>
      <w:r>
        <w:t xml:space="preserve"> </w:t>
      </w:r>
      <w:r>
        <w:t xml:space="preserve">(Feehan &amp; Salganik, 2016)</w:t>
      </w:r>
      <w:r>
        <w:t xml:space="preserve"> </w:t>
      </w:r>
      <w:r>
        <w:t xml:space="preserve">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w:t>
      </w:r>
      <w:r>
        <w:t xml:space="preserve"> </w:t>
      </w:r>
      <w:hyperlink w:anchor="tbl-bootstrap-methods">
        <w:r>
          <w:rPr>
            <w:rStyle w:val="Hyperlink"/>
          </w:rPr>
          <w:t xml:space="preserve">Table D.5</w:t>
        </w:r>
      </w:hyperlink>
      <w:r>
        <w:t xml:space="preserve">.</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w:t>
      </w:r>
      <w:r>
        <w:t xml:space="preserve"> </w:t>
      </w:r>
      <w:hyperlink w:anchor="tbl-bootstrap-methods">
        <w:r>
          <w:rPr>
            <w:rStyle w:val="Hyperlink"/>
          </w:rPr>
          <w:t xml:space="preserve">Table D.5</w:t>
        </w:r>
      </w:hyperlink>
      <w:r>
        <w:t xml:space="preserve">.</w:t>
      </w:r>
    </w:p>
    <w:bookmarkEnd w:id="37"/>
    <w:bookmarkStart w:id="99" w:name="sec-d"/>
    <w:p>
      <w:pPr>
        <w:pStyle w:val="Heading1"/>
      </w:pPr>
      <w:r>
        <w:t xml:space="preserve">Appendix D — Sensitivity Analyses</w:t>
      </w:r>
    </w:p>
    <w:bookmarkStart w:id="38" w:name="sec-d-popsize"/>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w:t>
      </w:r>
      <w:r>
        <w:t xml:space="preserve"> </w:t>
      </w:r>
      <w:hyperlink w:anchor="tbl-popsize">
        <w:r>
          <w:rPr>
            <w:rStyle w:val="Hyperlink"/>
          </w:rPr>
          <w:t xml:space="preserve">Table D.7</w:t>
        </w:r>
      </w:hyperlink>
      <w:r>
        <w:t xml:space="preserve">.</w:t>
      </w:r>
    </w:p>
    <w:bookmarkEnd w:id="38"/>
    <w:bookmarkStart w:id="45" w:name="sec-d-ma"/>
    <w:p>
      <w:pPr>
        <w:pStyle w:val="Heading2"/>
      </w:pPr>
      <w:r>
        <w:t xml:space="preserve">D.2 Supporting Estimates: Bayesian Model-Assisted RDS (MA-RDS)</w:t>
      </w:r>
    </w:p>
    <w:p>
      <w:pPr>
        <w:pStyle w:val="FirstParagraph"/>
      </w:pPr>
      <w:r>
        <w:t xml:space="preserve">Bayesian Model-Assisted (MA-RDS) posterior estimates follow</w:t>
      </w:r>
      <w:r>
        <w:t xml:space="preserve"> </w:t>
      </w:r>
      <w:r>
        <w:t xml:space="preserve">Gile &amp; Handcock (2015)</w:t>
      </w:r>
      <w:r>
        <w:t xml:space="preserve">,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The MA-RDS posterior means and 95% credible intervals are insensitive to the choice of seed-selection method (degree, random, sample); all three methods converge to the same posterior (</w:t>
      </w:r>
      <w:hyperlink w:anchor="fig-ma-seedcheck">
        <w:r>
          <w:rPr>
            <w:rStyle w:val="Hyperlink"/>
          </w:rPr>
          <w:t xml:space="preserve">Figure D.1</w:t>
        </w:r>
      </w:hyperlink>
      <w:r>
        <w:t xml:space="preserve">).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tbl>
      <w:tblPr>
        <w:tblStyle w:val="Table"/>
        <w:tblW w:type="pct" w:w="5000"/>
        <w:tblLayout w:type="fixed"/>
        <w:tblLook w:firstRow="0" w:lastRow="0" w:firstColumn="0" w:lastColumn="0" w:noHBand="0" w:noVBand="0" w:val="0000"/>
      </w:tblPr>
      <w:tblGrid>
        <w:gridCol w:w="7920"/>
      </w:tblGrid>
      <w:tr>
        <w:tc>
          <w:tcPr/>
          <w:bookmarkStart w:id="39" w:name="tbl-ma-estimates"/>
          <w:p>
            <w:pPr>
              <w:jc w:val="center"/>
            </w:pPr>
            <w:pPr>
              <w:jc w:val="start"/>
              <w:spacing w:before="200"/>
              <w:pStyle w:val="ImageCaption"/>
            </w:pPr>
            <w:r>
              <w:t xml:space="preserve">Table D.1: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Indicator</w:t>
                  </w:r>
                </w:p>
              </w:tc>
              <w:tc>
                <w:tcPr/>
                <w:p>
                  <w:pPr>
                    <w:pStyle w:val="Compact"/>
                    <w:jc w:val="center"/>
                  </w:pPr>
                  <w:r>
                    <w:t xml:space="preserve">MA-RDS posterior mean (95% CI)</w:t>
                  </w:r>
                </w:p>
              </w:tc>
            </w:tr>
            <w:tr>
              <w:tc>
                <w:tcPr/>
                <w:p>
                  <w:pPr>
                    <w:pStyle w:val="Compact"/>
                    <w:jc w:val="center"/>
                  </w:pPr>
                  <w:r>
                    <w:t xml:space="preserve">Document withholding</w:t>
                  </w:r>
                </w:p>
              </w:tc>
              <w:tc>
                <w:tcPr/>
                <w:p>
                  <w:pPr>
                    <w:pStyle w:val="Compact"/>
                    <w:jc w:val="center"/>
                  </w:pPr>
                  <w:r>
                    <w:t xml:space="preserve">34.1% (16.1–52.1%)</w:t>
                  </w:r>
                </w:p>
              </w:tc>
            </w:tr>
            <w:tr>
              <w:tc>
                <w:tcPr/>
                <w:p>
                  <w:pPr>
                    <w:pStyle w:val="Compact"/>
                    <w:jc w:val="center"/>
                  </w:pPr>
                  <w:r>
                    <w:t xml:space="preserve">Pay issues</w:t>
                  </w:r>
                </w:p>
              </w:tc>
              <w:tc>
                <w:tcPr/>
                <w:p>
                  <w:pPr>
                    <w:pStyle w:val="Compact"/>
                    <w:jc w:val="center"/>
                  </w:pPr>
                  <w:r>
                    <w:t xml:space="preserve">49.3% (35.2–63.4%)</w:t>
                  </w:r>
                </w:p>
              </w:tc>
            </w:tr>
            <w:tr>
              <w:tc>
                <w:tcPr/>
                <w:p>
                  <w:pPr>
                    <w:pStyle w:val="Compact"/>
                    <w:jc w:val="center"/>
                  </w:pPr>
                  <w:r>
                    <w:t xml:space="preserve">Threats and abuse</w:t>
                  </w:r>
                </w:p>
              </w:tc>
              <w:tc>
                <w:tcPr/>
                <w:p>
                  <w:pPr>
                    <w:pStyle w:val="Compact"/>
                    <w:jc w:val="center"/>
                  </w:pPr>
                  <w:r>
                    <w:t xml:space="preserve">57.1% (34.6–79.6%)</w:t>
                  </w:r>
                </w:p>
              </w:tc>
            </w:tr>
            <w:tr>
              <w:tc>
                <w:tcPr/>
                <w:p>
                  <w:pPr>
                    <w:pStyle w:val="Compact"/>
                    <w:jc w:val="center"/>
                  </w:pPr>
                  <w:r>
                    <w:t xml:space="preserve">Limited access to help</w:t>
                  </w:r>
                </w:p>
              </w:tc>
              <w:tc>
                <w:tcPr/>
                <w:p>
                  <w:pPr>
                    <w:pStyle w:val="Compact"/>
                    <w:jc w:val="center"/>
                  </w:pPr>
                  <w:r>
                    <w:t xml:space="preserve">58.2% (46.0–70.4%)</w:t>
                  </w:r>
                </w:p>
              </w:tc>
            </w:tr>
            <w:tr>
              <w:tc>
                <w:tcPr/>
                <w:p>
                  <w:pPr>
                    <w:pStyle w:val="Compact"/>
                    <w:jc w:val="center"/>
                  </w:pPr>
                  <w:r>
                    <w:t xml:space="preserve">Excessive working hours</w:t>
                  </w:r>
                </w:p>
              </w:tc>
              <w:tc>
                <w:tcPr/>
                <w:p>
                  <w:pPr>
                    <w:pStyle w:val="Compact"/>
                    <w:jc w:val="center"/>
                  </w:pPr>
                  <w:r>
                    <w:t xml:space="preserve">84.0% (72.3–95.8%)</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tbl-ma-sensitivity"/>
          <w:p>
            <w:pPr>
              <w:jc w:val="center"/>
            </w:pPr>
            <w:pPr>
              <w:jc w:val="start"/>
              <w:spacing w:before="200"/>
              <w:pStyle w:val="ImageCaption"/>
            </w:pPr>
            <w:r>
              <w:t xml:space="preserve">Table D.2: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Indicator</w:t>
                  </w:r>
                </w:p>
              </w:tc>
              <w:tc>
                <w:tcPr/>
                <w:p>
                  <w:pPr>
                    <w:pStyle w:val="Compact"/>
                    <w:jc w:val="center"/>
                  </w:pPr>
                  <w:r>
                    <w:t xml:space="preserve">N = 50,000 degree</w:t>
                  </w:r>
                </w:p>
              </w:tc>
              <w:tc>
                <w:tcPr/>
                <w:p>
                  <w:pPr>
                    <w:pStyle w:val="Compact"/>
                    <w:jc w:val="center"/>
                  </w:pPr>
                  <w:r>
                    <w:t xml:space="preserve">N = 50,000 random</w:t>
                  </w:r>
                </w:p>
              </w:tc>
              <w:tc>
                <w:tcPr/>
                <w:p>
                  <w:pPr>
                    <w:pStyle w:val="Compact"/>
                    <w:jc w:val="center"/>
                  </w:pPr>
                  <w:r>
                    <w:t xml:space="preserve">N = 50,000 sample</w:t>
                  </w:r>
                </w:p>
              </w:tc>
              <w:tc>
                <w:tcPr/>
                <w:p>
                  <w:pPr>
                    <w:pStyle w:val="Compact"/>
                    <w:jc w:val="center"/>
                  </w:pPr>
                  <w:r>
                    <w:t xml:space="preserve">N = 980,000 degree</w:t>
                  </w:r>
                </w:p>
              </w:tc>
              <w:tc>
                <w:tcPr/>
                <w:p>
                  <w:pPr>
                    <w:pStyle w:val="Compact"/>
                    <w:jc w:val="center"/>
                  </w:pPr>
                  <w:r>
                    <w:t xml:space="preserve">N = 980,000 random</w:t>
                  </w:r>
                </w:p>
              </w:tc>
              <w:tc>
                <w:tcPr/>
                <w:p>
                  <w:pPr>
                    <w:pStyle w:val="Compact"/>
                    <w:jc w:val="center"/>
                  </w:pPr>
                  <w:r>
                    <w:t xml:space="preserve">N = 980,000 sample</w:t>
                  </w:r>
                </w:p>
              </w:tc>
              <w:tc>
                <w:tcPr/>
                <w:p>
                  <w:pPr>
                    <w:pStyle w:val="Compact"/>
                    <w:jc w:val="center"/>
                  </w:pPr>
                  <w:r>
                    <w:t xml:space="preserve">N = 1,740,000 degree</w:t>
                  </w:r>
                </w:p>
              </w:tc>
              <w:tc>
                <w:tcPr/>
                <w:p>
                  <w:pPr>
                    <w:pStyle w:val="Compact"/>
                    <w:jc w:val="center"/>
                  </w:pPr>
                  <w:r>
                    <w:t xml:space="preserve">N = 1,740,000 random</w:t>
                  </w:r>
                </w:p>
              </w:tc>
              <w:tc>
                <w:tcPr/>
                <w:p>
                  <w:pPr>
                    <w:pStyle w:val="Compact"/>
                    <w:jc w:val="center"/>
                  </w:pPr>
                  <w:r>
                    <w:t xml:space="preserve">N = 1,740,000 sample</w:t>
                  </w:r>
                </w:p>
              </w:tc>
            </w:tr>
            <w:tr>
              <w:tc>
                <w:tcPr/>
                <w:p>
                  <w:pPr>
                    <w:pStyle w:val="Compact"/>
                    <w:jc w:val="center"/>
                  </w:pPr>
                  <w:r>
                    <w:t xml:space="preserve">Document withholding</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r>
            <w:tr>
              <w:tc>
                <w:tcPr/>
                <w:p>
                  <w:pPr>
                    <w:pStyle w:val="Compact"/>
                    <w:jc w:val="center"/>
                  </w:pPr>
                  <w:r>
                    <w:t xml:space="preserve">Pay issues</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r>
            <w:tr>
              <w:tc>
                <w:tcPr/>
                <w:p>
                  <w:pPr>
                    <w:pStyle w:val="Compact"/>
                    <w:jc w:val="center"/>
                  </w:pPr>
                  <w:r>
                    <w:t xml:space="preserve">Threats and abuse</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r>
            <w:tr>
              <w:tc>
                <w:tcPr/>
                <w:p>
                  <w:pPr>
                    <w:pStyle w:val="Compact"/>
                    <w:jc w:val="center"/>
                  </w:pPr>
                  <w:r>
                    <w:t xml:space="preserve">Limited access to help</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r>
            <w:tr>
              <w:tc>
                <w:tcPr/>
                <w:p>
                  <w:pPr>
                    <w:pStyle w:val="Compact"/>
                    <w:jc w:val="center"/>
                  </w:pPr>
                  <w:r>
                    <w:t xml:space="preserve">Excessive working hours</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r>
          </w:tbl>
          <w:bookmarkEnd w:id="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ma-seedcheck"/>
          <w:p>
            <w:pPr>
              <w:pStyle w:val="Compact"/>
              <w:jc w:val="center"/>
            </w:pPr>
            <w:r>
              <w:drawing>
                <wp:inline>
                  <wp:extent cx="5029200" cy="4191000"/>
                  <wp:effectExtent b="0" l="0" r="0" t="0"/>
                  <wp:docPr descr="" title="" id="42" name="Picture"/>
                  <a:graphic>
                    <a:graphicData uri="http://schemas.openxmlformats.org/drawingml/2006/picture">
                      <pic:pic>
                        <pic:nvPicPr>
                          <pic:cNvPr descr="../figures/figA4_ma_seedcheck.png" id="43" name="Picture"/>
                          <pic:cNvPicPr>
                            <a:picLocks noChangeArrowheads="1" noChangeAspect="1"/>
                          </pic:cNvPicPr>
                        </pic:nvPicPr>
                        <pic:blipFill>
                          <a:blip r:embed="rId41"/>
                          <a:stretch>
                            <a:fillRect/>
                          </a:stretch>
                        </pic:blipFill>
                        <pic:spPr bwMode="auto">
                          <a:xfrm>
                            <a:off x="0" y="0"/>
                            <a:ext cx="5029200" cy="419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D.1: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44"/>
        </w:tc>
      </w:tr>
    </w:tbl>
    <w:bookmarkEnd w:id="45"/>
    <w:bookmarkStart w:id="51" w:name="sec-d-rds-comp"/>
    <w:p>
      <w:pPr>
        <w:pStyle w:val="Heading2"/>
      </w:pPr>
      <w:r>
        <w:t xml:space="preserve">D.3 Supporting Estimates: RDS-I and RDS-SS Comparison</w:t>
      </w:r>
    </w:p>
    <w:p>
      <w:pPr>
        <w:pStyle w:val="FirstParagraph"/>
      </w:pPr>
      <w:hyperlink w:anchor="tbl-rds-comparison">
        <w:r>
          <w:rPr>
            <w:rStyle w:val="Hyperlink"/>
          </w:rPr>
          <w:t xml:space="preserve">Table D.3</w:t>
        </w:r>
      </w:hyperlink>
      <w:r>
        <w:t xml:space="preserve"> </w:t>
      </w:r>
      <w:r>
        <w:t xml:space="preserve">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w:t>
      </w:r>
      <w:r>
        <w:t xml:space="preserve"> </w:t>
      </w:r>
      <w:hyperlink w:anchor="sec-d-popsize">
        <w:r>
          <w:rPr>
            <w:rStyle w:val="Hyperlink"/>
          </w:rPr>
          <w:t xml:space="preserve">Section D.1</w:t>
        </w:r>
      </w:hyperlink>
      <w:r>
        <w:t xml:space="preserve">). The preferred estimator for binary outcomes is RDS-SS; see main text Section 3.2.</w:t>
      </w:r>
    </w:p>
    <w:tbl>
      <w:tblPr>
        <w:tblStyle w:val="Table"/>
        <w:tblW w:type="pct" w:w="5000"/>
        <w:tblLayout w:type="fixed"/>
        <w:tblLook w:firstRow="0" w:lastRow="0" w:firstColumn="0" w:lastColumn="0" w:noHBand="0" w:noVBand="0" w:val="0000"/>
      </w:tblPr>
      <w:tblGrid>
        <w:gridCol w:w="7920"/>
      </w:tblGrid>
      <w:tr>
        <w:tc>
          <w:tcPr/>
          <w:bookmarkStart w:id="49" w:name="fig-rds-comparison"/>
          <w:p>
            <w:pPr>
              <w:pStyle w:val="Compact"/>
              <w:jc w:val="center"/>
            </w:pPr>
            <w:r>
              <w:drawing>
                <wp:inline>
                  <wp:extent cx="5334000" cy="3333750"/>
                  <wp:effectExtent b="0" l="0" r="0" t="0"/>
                  <wp:docPr descr="" title="" id="47" name="Picture"/>
                  <a:graphic>
                    <a:graphicData uri="http://schemas.openxmlformats.org/drawingml/2006/picture">
                      <pic:pic>
                        <pic:nvPicPr>
                          <pic:cNvPr descr="../figures/figA2_rds_comparison.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rds-comparison"/>
          <w:p>
            <w:pPr>
              <w:jc w:val="center"/>
            </w:pPr>
            <w:pPr>
              <w:jc w:val="start"/>
              <w:spacing w:before="200"/>
              <w:pStyle w:val="ImageCaption"/>
            </w:pPr>
            <w:r>
              <w:t xml:space="preserve">Table D.3: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Indicator</w:t>
                  </w:r>
                </w:p>
              </w:tc>
              <w:tc>
                <w:tcPr/>
                <w:p>
                  <w:pPr>
                    <w:pStyle w:val="Compact"/>
                    <w:jc w:val="center"/>
                  </w:pPr>
                  <w:r>
                    <w:t xml:space="preserve">Estimator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Document withholding</w:t>
                  </w:r>
                </w:p>
              </w:tc>
              <w:tc>
                <w:tcPr/>
                <w:p>
                  <w:pPr>
                    <w:pStyle w:val="Compact"/>
                    <w:jc w:val="center"/>
                  </w:pPr>
                  <w:r>
                    <w:t xml:space="preserve">RDS-I</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r>
            <w:tr>
              <w:tc>
                <w:tcPr/>
                <w:p>
                  <w:pPr>
                    <w:pStyle w:val="Compact"/>
                    <w:jc w:val="center"/>
                  </w:pPr>
                  <w:r>
                    <w:t xml:space="preserve">Document withholding</w:t>
                  </w:r>
                </w:p>
              </w:tc>
              <w:tc>
                <w:tcPr/>
                <w:p>
                  <w:pPr>
                    <w:pStyle w:val="Compact"/>
                    <w:jc w:val="center"/>
                  </w:pPr>
                  <w:r>
                    <w:t xml:space="preserve">RDS-SS</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r>
            <w:tr>
              <w:tc>
                <w:tcPr/>
                <w:p>
                  <w:pPr>
                    <w:pStyle w:val="Compact"/>
                    <w:jc w:val="center"/>
                  </w:pPr>
                  <w:r>
                    <w:t xml:space="preserve">Pay issues</w:t>
                  </w:r>
                </w:p>
              </w:tc>
              <w:tc>
                <w:tcPr/>
                <w:p>
                  <w:pPr>
                    <w:pStyle w:val="Compact"/>
                    <w:jc w:val="center"/>
                  </w:pPr>
                  <w:r>
                    <w:t xml:space="preserve">RDS-I</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r>
            <w:tr>
              <w:tc>
                <w:tcPr/>
                <w:p>
                  <w:pPr>
                    <w:pStyle w:val="Compact"/>
                    <w:jc w:val="center"/>
                  </w:pPr>
                  <w:r>
                    <w:t xml:space="preserve">Pay issues</w:t>
                  </w:r>
                </w:p>
              </w:tc>
              <w:tc>
                <w:tcPr/>
                <w:p>
                  <w:pPr>
                    <w:pStyle w:val="Compact"/>
                    <w:jc w:val="center"/>
                  </w:pPr>
                  <w:r>
                    <w:t xml:space="preserve">RDS-SS</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r>
            <w:tr>
              <w:tc>
                <w:tcPr/>
                <w:p>
                  <w:pPr>
                    <w:pStyle w:val="Compact"/>
                    <w:jc w:val="center"/>
                  </w:pPr>
                  <w:r>
                    <w:t xml:space="preserve">Threats and abuse</w:t>
                  </w:r>
                </w:p>
              </w:tc>
              <w:tc>
                <w:tcPr/>
                <w:p>
                  <w:pPr>
                    <w:pStyle w:val="Compact"/>
                    <w:jc w:val="center"/>
                  </w:pPr>
                  <w:r>
                    <w:t xml:space="preserve">RDS-I</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r>
            <w:tr>
              <w:tc>
                <w:tcPr/>
                <w:p>
                  <w:pPr>
                    <w:pStyle w:val="Compact"/>
                    <w:jc w:val="center"/>
                  </w:pPr>
                  <w:r>
                    <w:t xml:space="preserve">Threats and abuse</w:t>
                  </w:r>
                </w:p>
              </w:tc>
              <w:tc>
                <w:tcPr/>
                <w:p>
                  <w:pPr>
                    <w:pStyle w:val="Compact"/>
                    <w:jc w:val="center"/>
                  </w:pPr>
                  <w:r>
                    <w:t xml:space="preserve">RDS-SS</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r>
            <w:tr>
              <w:tc>
                <w:tcPr/>
                <w:p>
                  <w:pPr>
                    <w:pStyle w:val="Compact"/>
                    <w:jc w:val="center"/>
                  </w:pPr>
                  <w:r>
                    <w:t xml:space="preserve">Limited access to help</w:t>
                  </w:r>
                </w:p>
              </w:tc>
              <w:tc>
                <w:tcPr/>
                <w:p>
                  <w:pPr>
                    <w:pStyle w:val="Compact"/>
                    <w:jc w:val="center"/>
                  </w:pPr>
                  <w:r>
                    <w:t xml:space="preserve">RDS-I</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r>
            <w:tr>
              <w:tc>
                <w:tcPr/>
                <w:p>
                  <w:pPr>
                    <w:pStyle w:val="Compact"/>
                    <w:jc w:val="center"/>
                  </w:pPr>
                  <w:r>
                    <w:t xml:space="preserve">Limited access to help</w:t>
                  </w:r>
                </w:p>
              </w:tc>
              <w:tc>
                <w:tcPr/>
                <w:p>
                  <w:pPr>
                    <w:pStyle w:val="Compact"/>
                    <w:jc w:val="center"/>
                  </w:pPr>
                  <w:r>
                    <w:t xml:space="preserve">RDS-SS</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r>
            <w:tr>
              <w:tc>
                <w:tcPr/>
                <w:p>
                  <w:pPr>
                    <w:pStyle w:val="Compact"/>
                    <w:jc w:val="center"/>
                  </w:pPr>
                  <w:r>
                    <w:t xml:space="preserve">Excessive working hours</w:t>
                  </w:r>
                </w:p>
              </w:tc>
              <w:tc>
                <w:tcPr/>
                <w:p>
                  <w:pPr>
                    <w:pStyle w:val="Compact"/>
                    <w:jc w:val="center"/>
                  </w:pPr>
                  <w:r>
                    <w:t xml:space="preserve">RDS-I</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r>
            <w:tr>
              <w:tc>
                <w:tcPr/>
                <w:p>
                  <w:pPr>
                    <w:pStyle w:val="Compact"/>
                    <w:jc w:val="center"/>
                  </w:pPr>
                  <w:r>
                    <w:t xml:space="preserve">Excessive working hours</w:t>
                  </w:r>
                </w:p>
              </w:tc>
              <w:tc>
                <w:tcPr/>
                <w:p>
                  <w:pPr>
                    <w:pStyle w:val="Compact"/>
                    <w:jc w:val="center"/>
                  </w:pPr>
                  <w:r>
                    <w:t xml:space="preserve">RDS-SS</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r>
          </w:tbl>
          <w:bookmarkEnd w:id="50"/>
          <w:p/>
        </w:tc>
      </w:tr>
    </w:tbl>
    <w:bookmarkEnd w:id="51"/>
    <w:bookmarkStart w:id="57" w:name="sec-d-nsum-tiers"/>
    <w:p>
      <w:pPr>
        <w:pStyle w:val="Heading2"/>
      </w:pPr>
      <w:r>
        <w:t xml:space="preserve">D.4 Supporting Estimates: NSUM under Alternative Adjustment-Factor Tiers</w:t>
      </w:r>
    </w:p>
    <w:p>
      <w:pPr>
        <w:pStyle w:val="FirstParagraph"/>
      </w:pPr>
      <w:r>
        <w:t xml:space="preserve">For comparison with the discrete-tier NSUM literature,</w:t>
      </w:r>
      <w:r>
        <w:t xml:space="preserve"> </w:t>
      </w:r>
      <w:hyperlink w:anchor="tbl-nsum-tiers">
        <w:r>
          <w:rPr>
            <w:rStyle w:val="Hyperlink"/>
          </w:rPr>
          <w:t xml:space="preserve">Table D.4</w:t>
        </w:r>
      </w:hyperlink>
      <w:r>
        <w:t xml:space="preserve"> </w:t>
      </w:r>
      <w:r>
        <w:t xml:space="preserve">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w:t>
      </w:r>
      <w:r>
        <w:t xml:space="preserve"> </w:t>
      </w:r>
      <w:hyperlink w:anchor="sec-d-tau-sweep">
        <w:r>
          <w:rPr>
            <w:rStyle w:val="Hyperlink"/>
          </w:rPr>
          <w:t xml:space="preserve">Section D.5</w:t>
        </w:r>
      </w:hyperlink>
      <w:r>
        <w:t xml:space="preserve">.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5" w:name="fig-nsum-forest"/>
          <w:p>
            <w:pPr>
              <w:pStyle w:val="Compact"/>
              <w:jc w:val="center"/>
            </w:pPr>
            <w:r>
              <w:drawing>
                <wp:inline>
                  <wp:extent cx="5029200" cy="3143250"/>
                  <wp:effectExtent b="0" l="0" r="0" t="0"/>
                  <wp:docPr descr="" title="" id="53" name="Picture"/>
                  <a:graphic>
                    <a:graphicData uri="http://schemas.openxmlformats.org/drawingml/2006/picture">
                      <pic:pic>
                        <pic:nvPicPr>
                          <pic:cNvPr descr="../figures/figA3_nsum_forest.png" id="54" name="Picture"/>
                          <pic:cNvPicPr>
                            <a:picLocks noChangeArrowheads="1" noChangeAspect="1"/>
                          </pic:cNvPicPr>
                        </pic:nvPicPr>
                        <pic:blipFill>
                          <a:blip r:embed="rId52"/>
                          <a:stretch>
                            <a:fillRect/>
                          </a:stretch>
                        </pic:blipFill>
                        <pic:spPr bwMode="auto">
                          <a:xfrm>
                            <a:off x="0" y="0"/>
                            <a:ext cx="5029200" cy="3143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nsum-tiers"/>
          <w:p>
            <w:pPr>
              <w:jc w:val="center"/>
            </w:pPr>
            <w:pPr>
              <w:jc w:val="start"/>
              <w:spacing w:before="200"/>
              <w:pStyle w:val="ImageCaption"/>
            </w:pPr>
            <w:r>
              <w:t xml:space="preserve">Table D.4: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NSUM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Threats and abuse</w:t>
                  </w:r>
                </w:p>
              </w:tc>
              <w:tc>
                <w:tcPr/>
                <w:p>
                  <w:pPr>
                    <w:pStyle w:val="Compact"/>
                    <w:jc w:val="center"/>
                  </w:pPr>
                  <w:r>
                    <w:t xml:space="preserve">2.06% (1.42–4.48%)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Access to help</w:t>
                  </w:r>
                </w:p>
              </w:tc>
              <w:tc>
                <w:tcPr/>
                <w:p>
                  <w:pPr>
                    <w:pStyle w:val="Compact"/>
                    <w:jc w:val="center"/>
                  </w:pPr>
                  <w:r>
                    <w:t xml:space="preserve">2.77% (0.91–6.67%)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Document withholding</w:t>
                  </w:r>
                </w:p>
              </w:tc>
              <w:tc>
                <w:tcPr/>
                <w:p>
                  <w:pPr>
                    <w:pStyle w:val="Compact"/>
                    <w:jc w:val="center"/>
                  </w:pPr>
                  <w:r>
                    <w:t xml:space="preserve">1.48% (0.40–4.27%)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Excessive hours</w:t>
                  </w:r>
                </w:p>
              </w:tc>
              <w:tc>
                <w:tcPr/>
                <w:p>
                  <w:pPr>
                    <w:pStyle w:val="Compact"/>
                    <w:jc w:val="center"/>
                  </w:pPr>
                  <w:r>
                    <w:t xml:space="preserve">4.08% (2.52–7.53%)</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Pay issues</w:t>
                  </w:r>
                </w:p>
              </w:tc>
              <w:tc>
                <w:tcPr/>
                <w:p>
                  <w:pPr>
                    <w:pStyle w:val="Compact"/>
                    <w:jc w:val="center"/>
                  </w:pPr>
                  <w:r>
                    <w:t xml:space="preserve">3.93% (2.60–7.77%)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Threats and abuse</w:t>
                  </w:r>
                </w:p>
              </w:tc>
              <w:tc>
                <w:tcPr/>
                <w:p>
                  <w:pPr>
                    <w:pStyle w:val="Compact"/>
                    <w:jc w:val="center"/>
                  </w:pPr>
                  <w:r>
                    <w:t xml:space="preserve">3.67% (2.53–8.00%)</w:t>
                  </w:r>
                </w:p>
              </w:tc>
            </w:tr>
            <w:tr>
              <w:tc>
                <w:tcPr/>
                <w:p>
                  <w:pPr>
                    <w:pStyle w:val="Compact"/>
                    <w:jc w:val="center"/>
                  </w:pPr>
                  <w:r>
                    <w:t xml:space="preserve">GNSUM Symmetric</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GNSUM Symmetric</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GNSUM Symmetric</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GNSUM Symmetric</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GNSUM Symmetric</w:t>
                  </w:r>
                </w:p>
              </w:tc>
              <w:tc>
                <w:tcPr/>
                <w:p>
                  <w:pPr>
                    <w:pStyle w:val="Compact"/>
                    <w:jc w:val="center"/>
                  </w:pPr>
                  <w:r>
                    <w:t xml:space="preserve">Threats and abuse</w:t>
                  </w:r>
                </w:p>
              </w:tc>
              <w:tc>
                <w:tcPr/>
                <w:p>
                  <w:pPr>
                    <w:pStyle w:val="Compact"/>
                    <w:jc w:val="center"/>
                  </w:pPr>
                  <w:r>
                    <w:t xml:space="preserve">2.06% (1.42–4.48%)</w:t>
                  </w:r>
                </w:p>
              </w:tc>
            </w:tr>
          </w:tbl>
          <w:bookmarkEnd w:id="56"/>
          <w:p/>
        </w:tc>
      </w:tr>
    </w:tbl>
    <w:bookmarkEnd w:id="57"/>
    <w:bookmarkStart w:id="62" w:name="sec-d-tau-sweep"/>
    <w:p>
      <w:pPr>
        <w:pStyle w:val="Heading2"/>
      </w:pPr>
      <w:r>
        <w:t xml:space="preserve">D.5 Continuous-</w:t>
      </w:r>
      <m:oMath>
        <m:r>
          <m:t>τ</m:t>
        </m:r>
      </m:oMath>
      <w:r>
        <w:t xml:space="preserve"> </w:t>
      </w:r>
      <w:r>
        <w:t xml:space="preserve">NSUM Sensitivity Sweep</w:t>
      </w:r>
    </w:p>
    <w:p>
      <w:pPr>
        <w:pStyle w:val="FirstParagraph"/>
      </w:pPr>
      <w:r>
        <w:t xml:space="preserve">The headline NSUM result in this paper is not the discrete-tier comparison of</w:t>
      </w:r>
      <w:r>
        <w:t xml:space="preserve"> </w:t>
      </w:r>
      <w:hyperlink w:anchor="sec-d-nsum-tiers">
        <w:r>
          <w:rPr>
            <w:rStyle w:val="Hyperlink"/>
          </w:rPr>
          <w:t xml:space="preserve">Section D.4</w:t>
        </w:r>
      </w:hyperlink>
      <w:r>
        <w:t xml:space="preserve"> </w:t>
      </w:r>
      <w:r>
        <w:t xml:space="preserve">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w:t>
      </w:r>
      <w:r>
        <w:t xml:space="preserve"> </w:t>
      </w:r>
      <w:hyperlink w:anchor="sec-d-nsum-tiers">
        <w:r>
          <w:rPr>
            <w:rStyle w:val="Hyperlink"/>
          </w:rPr>
          <w:t xml:space="preserve">Section D.4</w:t>
        </w:r>
      </w:hyperlink>
      <w:r>
        <w:t xml:space="preserve"> </w:t>
      </w:r>
      <w:r>
        <w:t xml:space="preserve">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w:t>
      </w:r>
      <w:r>
        <w:t xml:space="preserve"> </w:t>
      </w:r>
      <w:hyperlink w:anchor="fig-tau-sweep">
        <w:r>
          <w:rPr>
            <w:rStyle w:val="Hyperlink"/>
          </w:rPr>
          <w:t xml:space="preserve">Figure D.4</w:t>
        </w:r>
      </w:hyperlink>
      <w:r>
        <w:t xml:space="preserve"> </w:t>
      </w:r>
      <w:r>
        <w:t xml:space="preserve">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tbl>
      <w:tblPr>
        <w:tblStyle w:val="Table"/>
        <w:tblW w:type="pct" w:w="5000"/>
        <w:tblLayout w:type="fixed"/>
        <w:tblLook w:firstRow="0" w:lastRow="0" w:firstColumn="0" w:lastColumn="0" w:noHBand="0" w:noVBand="0" w:val="0000"/>
      </w:tblPr>
      <w:tblGrid>
        <w:gridCol w:w="7920"/>
      </w:tblGrid>
      <w:tr>
        <w:tc>
          <w:tcPr/>
          <w:bookmarkStart w:id="61" w:name="fig-tau-sweep"/>
          <w:p>
            <w:pPr>
              <w:pStyle w:val="Compact"/>
              <w:jc w:val="center"/>
            </w:pPr>
            <w:r>
              <w:drawing>
                <wp:inline>
                  <wp:extent cx="5334000" cy="3259666"/>
                  <wp:effectExtent b="0" l="0" r="0" t="0"/>
                  <wp:docPr descr="" title="" id="59" name="Picture"/>
                  <a:graphic>
                    <a:graphicData uri="http://schemas.openxmlformats.org/drawingml/2006/picture">
                      <pic:pic>
                        <pic:nvPicPr>
                          <pic:cNvPr descr="../figures/figA1_tau_sweep.png" id="60" name="Picture"/>
                          <pic:cNvPicPr>
                            <a:picLocks noChangeArrowheads="1" noChangeAspect="1"/>
                          </pic:cNvPicPr>
                        </pic:nvPicPr>
                        <pic:blipFill>
                          <a:blip r:embed="rId58"/>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D.4: NSUM (MBSU) Prevalence as a Continuous Function of Visibility Parameter</w:t>
            </w:r>
            <w:r>
              <w:t xml:space="preserve"> </w:t>
            </w:r>
            <m:oMath>
              <m:r>
                <m:t>τ</m:t>
              </m:r>
            </m:oMath>
            <w:r>
              <w:t xml:space="preserve">. MBSU prevalence estimates for five exploitation indicators as a function of the visibility/true-positive-rate adjustment</w:t>
            </w:r>
            <w:r>
              <w:t xml:space="preserve"> </w:t>
            </w:r>
            <m:oMath>
              <m:r>
                <m:t>τ</m:t>
              </m:r>
            </m:oMath>
            <w:r>
              <w:t xml:space="preserve">, with δ fixed at 0.9 and B = 500 neighbourhood-bootstrap 95% confidence intervals. Three discrete scenarios from the main text (Unadjusted:</w:t>
            </w:r>
            <w:r>
              <w:t xml:space="preserve"> </w:t>
            </w:r>
            <m:oMath>
              <m:r>
                <m:t>τ</m:t>
              </m:r>
            </m:oMath>
            <w:r>
              <w:t xml:space="preserve"> </w:t>
            </w:r>
            <w:r>
              <w:t xml:space="preserve">= 1.0; Moderate:</w:t>
            </w:r>
            <w:r>
              <w:t xml:space="preserve"> </w:t>
            </w:r>
            <m:oMath>
              <m:r>
                <m:t>τ</m:t>
              </m:r>
            </m:oMath>
            <w:r>
              <w:t xml:space="preserve"> </w:t>
            </w:r>
            <w:r>
              <w:t xml:space="preserve">= 0.85; Conservative:</w:t>
            </w:r>
            <w:r>
              <w:t xml:space="preserve"> </w:t>
            </w:r>
            <m:oMath>
              <m:r>
                <m:t>τ</m:t>
              </m:r>
            </m:oMath>
            <w:r>
              <w:t xml:space="preserve"> </w:t>
            </w:r>
            <w:r>
              <w:t xml:space="preserve">= 0.70) correspond to three points on each curve. N_F = 980,000. Source: Authors’ own work.</w:t>
            </w:r>
          </w:p>
          <w:bookmarkEnd w:id="61"/>
        </w:tc>
      </w:tr>
    </w:tbl>
    <w:bookmarkEnd w:id="62"/>
    <w:bookmarkStart w:id="66" w:name="sec-d-robustness"/>
    <w:p>
      <w:pPr>
        <w:pStyle w:val="Heading2"/>
      </w:pPr>
      <w:r>
        <w:t xml:space="preserve">D.6 Robustness: Bootstrap Method and Weighting Scheme</w:t>
      </w:r>
    </w:p>
    <w:p>
      <w:pPr>
        <w:pStyle w:val="FirstParagraph"/>
      </w:pPr>
      <w:hyperlink w:anchor="tbl-bootstrap-methods">
        <w:r>
          <w:rPr>
            <w:rStyle w:val="Hyperlink"/>
          </w:rPr>
          <w:t xml:space="preserve">Table D.5</w:t>
        </w:r>
      </w:hyperlink>
      <w:r>
        <w:t xml:space="preserve">,</w:t>
      </w:r>
      <w:r>
        <w:t xml:space="preserve"> </w:t>
      </w:r>
      <w:hyperlink w:anchor="tbl-weighting">
        <w:r>
          <w:rPr>
            <w:rStyle w:val="Hyperlink"/>
          </w:rPr>
          <w:t xml:space="preserve">Table D.6</w:t>
        </w:r>
      </w:hyperlink>
      <w:r>
        <w:t xml:space="preserve">, and</w:t>
      </w:r>
      <w:r>
        <w:t xml:space="preserve"> </w:t>
      </w:r>
      <w:hyperlink w:anchor="tbl-popsize">
        <w:r>
          <w:rPr>
            <w:rStyle w:val="Hyperlink"/>
          </w:rPr>
          <w:t xml:space="preserve">Table D.7</w:t>
        </w:r>
      </w:hyperlink>
      <w:r>
        <w:t xml:space="preserve"> </w:t>
      </w:r>
      <w:r>
        <w:t xml:space="preserve">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tbl>
      <w:tblPr>
        <w:tblStyle w:val="Table"/>
        <w:tblW w:type="pct" w:w="5000"/>
        <w:tblLayout w:type="fixed"/>
        <w:tblLook w:firstRow="0" w:lastRow="0" w:firstColumn="0" w:lastColumn="0" w:noHBand="0" w:noVBand="0" w:val="0000"/>
      </w:tblPr>
      <w:tblGrid>
        <w:gridCol w:w="7920"/>
      </w:tblGrid>
      <w:tr>
        <w:tc>
          <w:tcPr/>
          <w:bookmarkStart w:id="63" w:name="tbl-bootstrap-methods"/>
          <w:p>
            <w:pPr>
              <w:jc w:val="center"/>
            </w:pPr>
            <w:pPr>
              <w:jc w:val="start"/>
              <w:spacing w:before="200"/>
              <w:pStyle w:val="ImageCaption"/>
            </w:pPr>
            <w:r>
              <w:t xml:space="preserve">Table D.5: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Bootstrap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Chain</w:t>
                  </w:r>
                </w:p>
              </w:tc>
              <w:tc>
                <w:tcPr/>
                <w:p>
                  <w:pPr>
                    <w:pStyle w:val="Compact"/>
                    <w:jc w:val="center"/>
                  </w:pPr>
                  <w:r>
                    <w:t xml:space="preserve">Access to help</w:t>
                  </w:r>
                </w:p>
              </w:tc>
              <w:tc>
                <w:tcPr/>
                <w:p>
                  <w:pPr>
                    <w:pStyle w:val="Compact"/>
                    <w:jc w:val="center"/>
                  </w:pPr>
                  <w:r>
                    <w:t xml:space="preserve">2.03% (0.93–4.73%)</w:t>
                  </w:r>
                </w:p>
              </w:tc>
            </w:tr>
            <w:tr>
              <w:tc>
                <w:tcPr/>
                <w:p>
                  <w:pPr>
                    <w:pStyle w:val="Compact"/>
                    <w:jc w:val="center"/>
                  </w:pPr>
                  <w:r>
                    <w:t xml:space="preserve">Chain</w:t>
                  </w:r>
                </w:p>
              </w:tc>
              <w:tc>
                <w:tcPr/>
                <w:p>
                  <w:pPr>
                    <w:pStyle w:val="Compact"/>
                    <w:jc w:val="center"/>
                  </w:pPr>
                  <w:r>
                    <w:t xml:space="preserve">Document withholding</w:t>
                  </w:r>
                </w:p>
              </w:tc>
              <w:tc>
                <w:tcPr/>
                <w:p>
                  <w:pPr>
                    <w:pStyle w:val="Compact"/>
                    <w:jc w:val="center"/>
                  </w:pPr>
                  <w:r>
                    <w:t xml:space="preserve">1.08% (0.43–2.83%)</w:t>
                  </w:r>
                </w:p>
              </w:tc>
            </w:tr>
            <w:tr>
              <w:tc>
                <w:tcPr/>
                <w:p>
                  <w:pPr>
                    <w:pStyle w:val="Compact"/>
                    <w:jc w:val="center"/>
                  </w:pPr>
                  <w:r>
                    <w:t xml:space="preserve">Chain</w:t>
                  </w:r>
                </w:p>
              </w:tc>
              <w:tc>
                <w:tcPr/>
                <w:p>
                  <w:pPr>
                    <w:pStyle w:val="Compact"/>
                    <w:jc w:val="center"/>
                  </w:pPr>
                  <w:r>
                    <w:t xml:space="preserve">Excessive hours</w:t>
                  </w:r>
                </w:p>
              </w:tc>
              <w:tc>
                <w:tcPr/>
                <w:p>
                  <w:pPr>
                    <w:pStyle w:val="Compact"/>
                    <w:jc w:val="center"/>
                  </w:pPr>
                  <w:r>
                    <w:t xml:space="preserve">2.98% (2.07–5.39%)</w:t>
                  </w:r>
                </w:p>
              </w:tc>
            </w:tr>
            <w:tr>
              <w:tc>
                <w:tcPr/>
                <w:p>
                  <w:pPr>
                    <w:pStyle w:val="Compact"/>
                    <w:jc w:val="center"/>
                  </w:pPr>
                  <w:r>
                    <w:t xml:space="preserve">Chain</w:t>
                  </w:r>
                </w:p>
              </w:tc>
              <w:tc>
                <w:tcPr/>
                <w:p>
                  <w:pPr>
                    <w:pStyle w:val="Compact"/>
                    <w:jc w:val="center"/>
                  </w:pPr>
                  <w:r>
                    <w:t xml:space="preserve">Pay issues</w:t>
                  </w:r>
                </w:p>
              </w:tc>
              <w:tc>
                <w:tcPr/>
                <w:p>
                  <w:pPr>
                    <w:pStyle w:val="Compact"/>
                    <w:jc w:val="center"/>
                  </w:pPr>
                  <w:r>
                    <w:t xml:space="preserve">2.88% (1.99–5.08%)</w:t>
                  </w:r>
                </w:p>
              </w:tc>
            </w:tr>
            <w:tr>
              <w:tc>
                <w:tcPr/>
                <w:p>
                  <w:pPr>
                    <w:pStyle w:val="Compact"/>
                    <w:jc w:val="center"/>
                  </w:pPr>
                  <w:r>
                    <w:t xml:space="preserve">Chain</w:t>
                  </w:r>
                </w:p>
              </w:tc>
              <w:tc>
                <w:tcPr/>
                <w:p>
                  <w:pPr>
                    <w:pStyle w:val="Compact"/>
                    <w:jc w:val="center"/>
                  </w:pPr>
                  <w:r>
                    <w:t xml:space="preserve">Threats and abuse</w:t>
                  </w:r>
                </w:p>
              </w:tc>
              <w:tc>
                <w:tcPr/>
                <w:p>
                  <w:pPr>
                    <w:pStyle w:val="Compact"/>
                    <w:jc w:val="center"/>
                  </w:pPr>
                  <w:r>
                    <w:t xml:space="preserve">2.69% (1.92–4.85%)</w:t>
                  </w:r>
                </w:p>
              </w:tc>
            </w:tr>
            <w:tr>
              <w:tc>
                <w:tcPr/>
                <w:p>
                  <w:pPr>
                    <w:pStyle w:val="Compact"/>
                    <w:jc w:val="center"/>
                  </w:pPr>
                  <w:r>
                    <w:t xml:space="preserve">Neighbourhood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Neighbourhood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Neighbourhood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Neighbourhood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Neighbourhood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Successive Sampling</w:t>
                  </w:r>
                </w:p>
              </w:tc>
              <w:tc>
                <w:tcPr/>
                <w:p>
                  <w:pPr>
                    <w:pStyle w:val="Compact"/>
                    <w:jc w:val="center"/>
                  </w:pPr>
                  <w:r>
                    <w:t xml:space="preserve">Access to help</w:t>
                  </w:r>
                </w:p>
              </w:tc>
              <w:tc>
                <w:tcPr/>
                <w:p>
                  <w:pPr>
                    <w:pStyle w:val="Compact"/>
                    <w:jc w:val="center"/>
                  </w:pPr>
                  <w:r>
                    <w:t xml:space="preserve">2.03% (0.99–4.66%)</w:t>
                  </w:r>
                </w:p>
              </w:tc>
            </w:tr>
            <w:tr>
              <w:tc>
                <w:tcPr/>
                <w:p>
                  <w:pPr>
                    <w:pStyle w:val="Compact"/>
                    <w:jc w:val="center"/>
                  </w:pPr>
                  <w:r>
                    <w:t xml:space="preserve">Successive Sampling</w:t>
                  </w:r>
                </w:p>
              </w:tc>
              <w:tc>
                <w:tcPr/>
                <w:p>
                  <w:pPr>
                    <w:pStyle w:val="Compact"/>
                    <w:jc w:val="center"/>
                  </w:pPr>
                  <w:r>
                    <w:t xml:space="preserve">Document withholding</w:t>
                  </w:r>
                </w:p>
              </w:tc>
              <w:tc>
                <w:tcPr/>
                <w:p>
                  <w:pPr>
                    <w:pStyle w:val="Compact"/>
                    <w:jc w:val="center"/>
                  </w:pPr>
                  <w:r>
                    <w:t xml:space="preserve">1.08% (0.41–2.77%)</w:t>
                  </w:r>
                </w:p>
              </w:tc>
            </w:tr>
            <w:tr>
              <w:tc>
                <w:tcPr/>
                <w:p>
                  <w:pPr>
                    <w:pStyle w:val="Compact"/>
                    <w:jc w:val="center"/>
                  </w:pPr>
                  <w:r>
                    <w:t xml:space="preserve">Successive Sampling</w:t>
                  </w:r>
                </w:p>
              </w:tc>
              <w:tc>
                <w:tcPr/>
                <w:p>
                  <w:pPr>
                    <w:pStyle w:val="Compact"/>
                    <w:jc w:val="center"/>
                  </w:pPr>
                  <w:r>
                    <w:t xml:space="preserve">Excessive hours</w:t>
                  </w:r>
                </w:p>
              </w:tc>
              <w:tc>
                <w:tcPr/>
                <w:p>
                  <w:pPr>
                    <w:pStyle w:val="Compact"/>
                    <w:jc w:val="center"/>
                  </w:pPr>
                  <w:r>
                    <w:t xml:space="preserve">2.98% (2.13–5.27%)</w:t>
                  </w:r>
                </w:p>
              </w:tc>
            </w:tr>
            <w:tr>
              <w:tc>
                <w:tcPr/>
                <w:p>
                  <w:pPr>
                    <w:pStyle w:val="Compact"/>
                    <w:jc w:val="center"/>
                  </w:pPr>
                  <w:r>
                    <w:t xml:space="preserve">Successive Sampling</w:t>
                  </w:r>
                </w:p>
              </w:tc>
              <w:tc>
                <w:tcPr/>
                <w:p>
                  <w:pPr>
                    <w:pStyle w:val="Compact"/>
                    <w:jc w:val="center"/>
                  </w:pPr>
                  <w:r>
                    <w:t xml:space="preserve">Pay issues</w:t>
                  </w:r>
                </w:p>
              </w:tc>
              <w:tc>
                <w:tcPr/>
                <w:p>
                  <w:pPr>
                    <w:pStyle w:val="Compact"/>
                    <w:jc w:val="center"/>
                  </w:pPr>
                  <w:r>
                    <w:t xml:space="preserve">2.88% (2.06–4.94%)</w:t>
                  </w:r>
                </w:p>
              </w:tc>
            </w:tr>
            <w:tr>
              <w:tc>
                <w:tcPr/>
                <w:p>
                  <w:pPr>
                    <w:pStyle w:val="Compact"/>
                    <w:jc w:val="center"/>
                  </w:pPr>
                  <w:r>
                    <w:t xml:space="preserve">Successive Sampling</w:t>
                  </w:r>
                </w:p>
              </w:tc>
              <w:tc>
                <w:tcPr/>
                <w:p>
                  <w:pPr>
                    <w:pStyle w:val="Compact"/>
                    <w:jc w:val="center"/>
                  </w:pPr>
                  <w:r>
                    <w:t xml:space="preserve">Threats and abuse</w:t>
                  </w:r>
                </w:p>
              </w:tc>
              <w:tc>
                <w:tcPr/>
                <w:p>
                  <w:pPr>
                    <w:pStyle w:val="Compact"/>
                    <w:jc w:val="center"/>
                  </w:pPr>
                  <w:r>
                    <w:t xml:space="preserve">2.69% (1.92–4.56%)</w:t>
                  </w:r>
                </w:p>
              </w:tc>
            </w:tr>
            <w:tr>
              <w:tc>
                <w:tcPr/>
                <w:p>
                  <w:pPr>
                    <w:pStyle w:val="Compact"/>
                    <w:jc w:val="center"/>
                  </w:pPr>
                  <w:r>
                    <w:t xml:space="preserve">Tree</w:t>
                  </w:r>
                </w:p>
              </w:tc>
              <w:tc>
                <w:tcPr/>
                <w:p>
                  <w:pPr>
                    <w:pStyle w:val="Compact"/>
                    <w:jc w:val="center"/>
                  </w:pPr>
                  <w:r>
                    <w:t xml:space="preserve">Access to help</w:t>
                  </w:r>
                </w:p>
              </w:tc>
              <w:tc>
                <w:tcPr/>
                <w:p>
                  <w:pPr>
                    <w:pStyle w:val="Compact"/>
                    <w:jc w:val="center"/>
                  </w:pPr>
                  <w:r>
                    <w:t xml:space="preserve">2.03% (0.96–4.59%)</w:t>
                  </w:r>
                </w:p>
              </w:tc>
            </w:tr>
            <w:tr>
              <w:tc>
                <w:tcPr/>
                <w:p>
                  <w:pPr>
                    <w:pStyle w:val="Compact"/>
                    <w:jc w:val="center"/>
                  </w:pPr>
                  <w:r>
                    <w:t xml:space="preserve">Tree</w:t>
                  </w:r>
                </w:p>
              </w:tc>
              <w:tc>
                <w:tcPr/>
                <w:p>
                  <w:pPr>
                    <w:pStyle w:val="Compact"/>
                    <w:jc w:val="center"/>
                  </w:pPr>
                  <w:r>
                    <w:t xml:space="preserve">Document withholding</w:t>
                  </w:r>
                </w:p>
              </w:tc>
              <w:tc>
                <w:tcPr/>
                <w:p>
                  <w:pPr>
                    <w:pStyle w:val="Compact"/>
                    <w:jc w:val="center"/>
                  </w:pPr>
                  <w:r>
                    <w:t xml:space="preserve">1.08% (0.45–2.71%)</w:t>
                  </w:r>
                </w:p>
              </w:tc>
            </w:tr>
            <w:tr>
              <w:tc>
                <w:tcPr/>
                <w:p>
                  <w:pPr>
                    <w:pStyle w:val="Compact"/>
                    <w:jc w:val="center"/>
                  </w:pPr>
                  <w:r>
                    <w:t xml:space="preserve">Tree</w:t>
                  </w:r>
                </w:p>
              </w:tc>
              <w:tc>
                <w:tcPr/>
                <w:p>
                  <w:pPr>
                    <w:pStyle w:val="Compact"/>
                    <w:jc w:val="center"/>
                  </w:pPr>
                  <w:r>
                    <w:t xml:space="preserve">Excessive hours</w:t>
                  </w:r>
                </w:p>
              </w:tc>
              <w:tc>
                <w:tcPr/>
                <w:p>
                  <w:pPr>
                    <w:pStyle w:val="Compact"/>
                    <w:jc w:val="center"/>
                  </w:pPr>
                  <w:r>
                    <w:t xml:space="preserve">2.98% (2.09–5.40%)</w:t>
                  </w:r>
                </w:p>
              </w:tc>
            </w:tr>
            <w:tr>
              <w:tc>
                <w:tcPr/>
                <w:p>
                  <w:pPr>
                    <w:pStyle w:val="Compact"/>
                    <w:jc w:val="center"/>
                  </w:pPr>
                  <w:r>
                    <w:t xml:space="preserve">Tree</w:t>
                  </w:r>
                </w:p>
              </w:tc>
              <w:tc>
                <w:tcPr/>
                <w:p>
                  <w:pPr>
                    <w:pStyle w:val="Compact"/>
                    <w:jc w:val="center"/>
                  </w:pPr>
                  <w:r>
                    <w:t xml:space="preserve">Pay issues</w:t>
                  </w:r>
                </w:p>
              </w:tc>
              <w:tc>
                <w:tcPr/>
                <w:p>
                  <w:pPr>
                    <w:pStyle w:val="Compact"/>
                    <w:jc w:val="center"/>
                  </w:pPr>
                  <w:r>
                    <w:t xml:space="preserve">2.88% (2.06–5.05%)</w:t>
                  </w:r>
                </w:p>
              </w:tc>
            </w:tr>
            <w:tr>
              <w:tc>
                <w:tcPr/>
                <w:p>
                  <w:pPr>
                    <w:pStyle w:val="Compact"/>
                    <w:jc w:val="center"/>
                  </w:pPr>
                  <w:r>
                    <w:t xml:space="preserve">Tree</w:t>
                  </w:r>
                </w:p>
              </w:tc>
              <w:tc>
                <w:tcPr/>
                <w:p>
                  <w:pPr>
                    <w:pStyle w:val="Compact"/>
                    <w:jc w:val="center"/>
                  </w:pPr>
                  <w:r>
                    <w:t xml:space="preserve">Threats and abuse</w:t>
                  </w:r>
                </w:p>
              </w:tc>
              <w:tc>
                <w:tcPr/>
                <w:p>
                  <w:pPr>
                    <w:pStyle w:val="Compact"/>
                    <w:jc w:val="center"/>
                  </w:pPr>
                  <w:r>
                    <w:t xml:space="preserve">2.69% (1.91–4.70%)</w:t>
                  </w:r>
                </w:p>
              </w:tc>
            </w:tr>
          </w:tbl>
          <w:bookmarkEnd w:id="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weighting"/>
          <w:p>
            <w:pPr>
              <w:jc w:val="center"/>
            </w:pPr>
            <w:pPr>
              <w:jc w:val="start"/>
              <w:spacing w:before="200"/>
              <w:pStyle w:val="ImageCaption"/>
            </w:pPr>
            <w:r>
              <w:t xml:space="preserve">Table D.6: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Weight scheme</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SS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SS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SS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SS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SS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VH (Volz–Heckathorn)</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VH (Volz–Heckathorn)</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VH (Volz–Heckathorn)</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VH (Volz–Heckathorn)</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VH (Volz–Heckathorn)</w:t>
                  </w:r>
                </w:p>
              </w:tc>
              <w:tc>
                <w:tcPr/>
                <w:p>
                  <w:pPr>
                    <w:pStyle w:val="Compact"/>
                    <w:jc w:val="center"/>
                  </w:pPr>
                  <w:r>
                    <w:t xml:space="preserve">Threats and abuse</w:t>
                  </w:r>
                </w:p>
              </w:tc>
              <w:tc>
                <w:tcPr/>
                <w:p>
                  <w:pPr>
                    <w:pStyle w:val="Compact"/>
                    <w:jc w:val="center"/>
                  </w:pPr>
                  <w:r>
                    <w:t xml:space="preserve">2.69% (1.86–5.86%)</w:t>
                  </w:r>
                </w:p>
              </w:tc>
            </w:tr>
          </w:tbl>
          <w:bookmarkEnd w:id="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tbl-popsize"/>
          <w:p>
            <w:pPr>
              <w:jc w:val="center"/>
            </w:pPr>
            <w:pPr>
              <w:jc w:val="start"/>
              <w:spacing w:before="200"/>
              <w:pStyle w:val="ImageCaption"/>
            </w:pPr>
            <w:r>
              <w:t xml:space="preserve">Table D.7: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Indicator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Access to help</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r>
            <w:tr>
              <w:tc>
                <w:tcPr/>
                <w:p>
                  <w:pPr>
                    <w:pStyle w:val="Compact"/>
                    <w:jc w:val="center"/>
                  </w:pPr>
                  <w:r>
                    <w:t xml:space="preserve">Document withholding</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r>
            <w:tr>
              <w:tc>
                <w:tcPr/>
                <w:p>
                  <w:pPr>
                    <w:pStyle w:val="Compact"/>
                    <w:jc w:val="center"/>
                  </w:pPr>
                  <w:r>
                    <w:t xml:space="preserve">Excessive hours</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r>
            <w:tr>
              <w:tc>
                <w:tcPr/>
                <w:p>
                  <w:pPr>
                    <w:pStyle w:val="Compact"/>
                    <w:jc w:val="center"/>
                  </w:pPr>
                  <w:r>
                    <w:t xml:space="preserve">Pay issues</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r>
            <w:tr>
              <w:tc>
                <w:tcPr/>
                <w:p>
                  <w:pPr>
                    <w:pStyle w:val="Compact"/>
                    <w:jc w:val="center"/>
                  </w:pPr>
                  <w:r>
                    <w:t xml:space="preserve">Threats and abuse</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r>
          </w:tbl>
          <w:bookmarkEnd w:id="65"/>
          <w:p/>
        </w:tc>
      </w:tr>
    </w:tbl>
    <w:bookmarkEnd w:id="66"/>
    <w:bookmarkStart w:id="67" w:name="sec-d-incentive"/>
    <w:p>
      <w:pPr>
        <w:pStyle w:val="Heading2"/>
      </w:pPr>
      <w:r>
        <w:t xml:space="preserve">D.7 Survey Incentive Design</w:t>
      </w:r>
    </w:p>
    <w:p>
      <w:pPr>
        <w:pStyle w:val="FirstParagraph"/>
      </w:pPr>
      <w:r>
        <w:t xml:space="preserve">The survey incentive structure followed the recommendations of</w:t>
      </w:r>
      <w:r>
        <w:t xml:space="preserve"> </w:t>
      </w:r>
      <w:r>
        <w:t xml:space="preserve">Cobanoglu &amp; Cobanoglu (2003)</w:t>
      </w:r>
      <w:r>
        <w:t xml:space="preserve">,</w:t>
      </w:r>
      <w:r>
        <w:t xml:space="preserve"> </w:t>
      </w:r>
      <w:r>
        <w:t xml:space="preserve">Brown et al. (2006)</w:t>
      </w:r>
      <w:r>
        <w:t xml:space="preserve">, and</w:t>
      </w:r>
      <w:r>
        <w:t xml:space="preserve"> </w:t>
      </w:r>
      <w:r>
        <w:t xml:space="preserve">Laguilles et al. (2011)</w:t>
      </w:r>
      <w:r>
        <w:t xml:space="preserve">. A lottery entry into a free prize draw for £150 was offered to all respondents completing the questionnaire. Research by</w:t>
      </w:r>
      <w:r>
        <w:t xml:space="preserve"> </w:t>
      </w:r>
      <w:r>
        <w:t xml:space="preserve">Gajic et al. (2012)</w:t>
      </w:r>
      <w:r>
        <w:t xml:space="preserve"> </w:t>
      </w:r>
      <w:r>
        <w:t xml:space="preserve">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w:t>
      </w:r>
      <w:r>
        <w:t xml:space="preserve"> </w:t>
      </w:r>
      <w:r>
        <w:t xml:space="preserve">Semaan et al. (2009)</w:t>
      </w:r>
      <w:r>
        <w:t xml:space="preserve">,</w:t>
      </w:r>
      <w:r>
        <w:t xml:space="preserve"> </w:t>
      </w:r>
      <w:r>
        <w:t xml:space="preserve">DeJong et al. (2009)</w:t>
      </w:r>
      <w:r>
        <w:t xml:space="preserve">, and</w:t>
      </w:r>
      <w:r>
        <w:t xml:space="preserve"> </w:t>
      </w:r>
      <w:r>
        <w:t xml:space="preserve">Singer &amp; Bossarte (2006)</w:t>
      </w:r>
      <w:r>
        <w:t xml:space="preserve">.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bookmarkEnd w:id="67"/>
    <w:bookmarkStart w:id="98" w:name="sec-d-loo"/>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chain contains 12 respondents — seed #55 plus 11 recruits spanning four subsequent recruitment waves — leaving a LOO analysis sample of</w:t>
      </w:r>
      <w:r>
        <w:t xml:space="preserve"> </w:t>
      </w:r>
      <m:oMath>
        <m:r>
          <m:t>n</m:t>
        </m:r>
        <m:r>
          <m:rPr>
            <m:sty m:val="p"/>
          </m:rPr>
          <m:t>=</m:t>
        </m:r>
        <m:r>
          <m:t>73</m:t>
        </m:r>
      </m:oMath>
      <w:r>
        <w:t xml:space="preserve">.</w:t>
      </w:r>
      <w:r>
        <w:t xml:space="preserve"> </w:t>
      </w:r>
      <w:hyperlink w:anchor="tbl-loo-chain">
        <w:r>
          <w:rPr>
            <w:rStyle w:val="Hyperlink"/>
          </w:rPr>
          <w:t xml:space="preserve">Table D.8</w:t>
        </w:r>
      </w:hyperlink>
      <w:r>
        <w:t xml:space="preserve"> </w:t>
      </w:r>
      <w:r>
        <w:t xml:space="preserve">lists the twelve excluded respondents; eleven are Filipino and one is Latinx, and reported network degrees range from 0 to 30 (seed #55 is the highest-degree node in the chain, though not the highest-degree respondent in the whole sample).</w:t>
      </w:r>
    </w:p>
    <w:tbl>
      <w:tblPr>
        <w:tblStyle w:val="Table"/>
        <w:tblW w:type="pct" w:w="5000"/>
        <w:tblLayout w:type="fixed"/>
        <w:tblLook w:firstRow="0" w:lastRow="0" w:firstColumn="0" w:lastColumn="0" w:noHBand="0" w:noVBand="0" w:val="0000"/>
      </w:tblPr>
      <w:tblGrid>
        <w:gridCol w:w="7920"/>
      </w:tblGrid>
      <w:tr>
        <w:tc>
          <w:tcPr/>
          <w:bookmarkStart w:id="68" w:name="tbl-loo-chain"/>
          <w:p>
            <w:pPr>
              <w:jc w:val="center"/>
            </w:pPr>
            <w:pPr>
              <w:jc w:val="start"/>
              <w:spacing w:before="200"/>
              <w:pStyle w:val="ImageCaption"/>
            </w:pPr>
            <w:r>
              <w:t xml:space="preserve">Table D.8: Excluded chain (seed #55). Twelve respondents removed by the LOO analysis, showing recruitment wave (0 = seed), self-reported network degree (Q13), nationality cluster, and count of ILO-aligned binary indicators reported affirmatively (of five). Ordered by wave then by respondent id. Source: Authors’ reconstruction from</w:t>
            </w:r>
            <w:r>
              <w:t xml:space="preserve"> </w:t>
            </w:r>
            <w:r>
              <w:rPr>
                <w:rStyle w:val="VerbatimChar"/>
              </w:rPr>
              <w:t xml:space="preserve">data/processed/prepared_data.csv</w:t>
            </w:r>
            <w:r>
              <w:t xml:space="preserve"> </w:t>
            </w:r>
            <w:r>
              <w:t xml:space="preserve">via breadth-first search on</w:t>
            </w:r>
            <w:r>
              <w:t xml:space="preserve"> </w:t>
            </w:r>
            <w:r>
              <w:rPr>
                <w:rStyle w:val="VerbatimChar"/>
              </w:rPr>
              <w:t xml:space="preserve">recruiter.id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Respondent id</w:t>
                  </w:r>
                </w:p>
              </w:tc>
              <w:tc>
                <w:tcPr/>
                <w:p>
                  <w:pPr>
                    <w:pStyle w:val="Compact"/>
                    <w:jc w:val="center"/>
                  </w:pPr>
                  <w:r>
                    <w:t xml:space="preserve">Wave</w:t>
                  </w:r>
                </w:p>
              </w:tc>
              <w:tc>
                <w:tcPr/>
                <w:p>
                  <w:pPr>
                    <w:pStyle w:val="Compact"/>
                    <w:jc w:val="center"/>
                  </w:pPr>
                  <w:r>
                    <w:t xml:space="preserve">Degree (Q13)</w:t>
                  </w:r>
                </w:p>
              </w:tc>
              <w:tc>
                <w:tcPr/>
                <w:p>
                  <w:pPr>
                    <w:pStyle w:val="Compact"/>
                    <w:jc w:val="center"/>
                  </w:pPr>
                  <w:r>
                    <w:t xml:space="preserve">Nationality</w:t>
                  </w:r>
                </w:p>
              </w:tc>
              <w:tc>
                <w:tcPr/>
                <w:p>
                  <w:pPr>
                    <w:pStyle w:val="Compact"/>
                    <w:jc w:val="center"/>
                  </w:pPr>
                  <w:r>
                    <w:t xml:space="preserve">Indicators affirmed (of 5)</w:t>
                  </w:r>
                </w:p>
              </w:tc>
            </w:tr>
            <w:tr>
              <w:tc>
                <w:tcPr/>
                <w:p>
                  <w:pPr>
                    <w:pStyle w:val="Compact"/>
                    <w:jc w:val="center"/>
                  </w:pPr>
                  <w:r>
                    <w:t xml:space="preserve">55 (seed)</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41</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42</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44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12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18</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Latinx</w:t>
                  </w:r>
                </w:p>
              </w:tc>
              <w:tc>
                <w:tcPr/>
                <w:p>
                  <w:pPr>
                    <w:pStyle w:val="Compact"/>
                    <w:jc w:val="center"/>
                  </w:pPr>
                  <w:r>
                    <w:t xml:space="preserve">1</w:t>
                  </w:r>
                </w:p>
              </w:tc>
            </w:tr>
            <w:tr>
              <w:tc>
                <w:tcPr/>
                <w:p>
                  <w:pPr>
                    <w:pStyle w:val="Compact"/>
                    <w:jc w:val="center"/>
                  </w:pPr>
                  <w:r>
                    <w:t xml:space="preserve">90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45</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64</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bl>
          <w:bookmarkEnd w:id="68"/>
          <w:p/>
        </w:tc>
      </w:tr>
    </w:tbl>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hyperlink w:anchor="tbl-loo-comparison">
        <w:r>
          <w:rPr>
            <w:rStyle w:val="Hyperlink"/>
          </w:rPr>
          <w:t xml:space="preserve">Table D.9</w:t>
        </w:r>
      </w:hyperlink>
      <w:r>
        <w:t xml:space="preserve"> </w:t>
      </w:r>
      <w:r>
        <w:t xml:space="preserve">reports the two sets of estimates side by side;</w:t>
      </w:r>
      <w:r>
        <w:t xml:space="preserve"> </w:t>
      </w:r>
      <w:hyperlink w:anchor="fig-loo">
        <w:r>
          <w:rPr>
            <w:rStyle w:val="Hyperlink"/>
          </w:rPr>
          <w:t xml:space="preserve">Figure D.5</w:t>
        </w:r>
      </w:hyperlink>
      <w:r>
        <w:t xml:space="preserve"> </w:t>
      </w:r>
      <w:r>
        <w:t xml:space="preserve">displays them as a paired forest plot. Point-estimate shifts between the full and LOO samples range from −3.2 to +4.5 percentage points across the five indicators, and every LOO 95% CI overlaps the corresponding full-sample CI. The top and bottom of the ordering are preserved (document withholding lowest and excessive hours highest in both samples), but the middle of the ordering changes:</w:t>
      </w:r>
      <w:r>
        <w:t xml:space="preserve"> </w:t>
      </w:r>
      <w:r>
        <w:rPr>
          <w:i/>
          <w:iCs/>
        </w:rPr>
        <w:t xml:space="preserve">threats and abuse</w:t>
      </w:r>
      <w:r>
        <w:t xml:space="preserve"> </w:t>
      </w:r>
      <w:r>
        <w:t xml:space="preserve">and</w:t>
      </w:r>
      <w:r>
        <w:t xml:space="preserve"> </w:t>
      </w:r>
      <w:r>
        <w:rPr>
          <w:i/>
          <w:iCs/>
        </w:rPr>
        <w:t xml:space="preserve">limited access to help</w:t>
      </w:r>
      <w:r>
        <w:t xml:space="preserve"> </w:t>
      </w:r>
      <w:r>
        <w:t xml:space="preserve">swap adjacent positions when seed #55’s chain is removed (full-sample order: Doc &lt; Pay &lt; Threats &lt; Access &lt; Excessive; LOO order: Doc &lt; Pay &lt; Access &lt; Threats &lt; Excessive). Because the swap sits entirely inside overlapping confidence intervals for both indicators, it does not represent statistical evidence of a rank change; but it does mean the</w:t>
      </w:r>
      <w:r>
        <w:t xml:space="preserve"> </w:t>
      </w:r>
      <w:r>
        <w:t xml:space="preserve">“rank order identical”</w:t>
      </w:r>
      <w:r>
        <w:t xml:space="preserve"> </w:t>
      </w:r>
      <w:r>
        <w:t xml:space="preserve">claim in earlier drafts of this section overstates the robustness of the middle of the ordering. The LOO sensitivity confirms the qualitative substantive claim — that the top-and-bottom prevalence structure is not driven by seed #55’s chain — while making explicit that adjacent-pair ordering in the middle of the range depends on which chains happen to enter the sample.</w:t>
      </w:r>
    </w:p>
    <w:tbl>
      <w:tblPr>
        <w:tblStyle w:val="Table"/>
        <w:tblW w:type="pct" w:w="5000"/>
        <w:tblLayout w:type="fixed"/>
        <w:tblLook w:firstRow="0" w:lastRow="0" w:firstColumn="0" w:lastColumn="0" w:noHBand="0" w:noVBand="0" w:val="0000"/>
      </w:tblPr>
      <w:tblGrid>
        <w:gridCol w:w="7920"/>
      </w:tblGrid>
      <w:tr>
        <w:tc>
          <w:tcPr/>
          <w:bookmarkStart w:id="69" w:name="tbl-loo-comparison"/>
          <w:p>
            <w:pPr>
              <w:jc w:val="center"/>
            </w:pPr>
            <w:pPr>
              <w:jc w:val="start"/>
              <w:spacing w:before="200"/>
              <w:pStyle w:val="ImageCaption"/>
            </w:pPr>
            <w:r>
              <w:t xml:space="preserve">Table D.9: Full-sample vs Leave-One-Out RDS-SS Estimates. Preferred prevalence estimates for the five binary ILO-aligned indicators on the full sample (</w:t>
            </w:r>
            <m:oMath>
              <m:r>
                <m:t>n</m:t>
              </m:r>
              <m:r>
                <m:rPr>
                  <m:sty m:val="p"/>
                </m:rPr>
                <m:t>=</m:t>
              </m:r>
              <m:r>
                <m:t>85</m:t>
              </m:r>
            </m:oMath>
            <w:r>
              <w:t xml:space="preserve">) and on the LOO sample with seed #55’s chain excluded (</w:t>
            </w:r>
            <m:oMath>
              <m:r>
                <m:t>n</m:t>
              </m:r>
              <m:r>
                <m:rPr>
                  <m:sty m:val="p"/>
                </m:rPr>
                <m:t>=</m:t>
              </m:r>
              <m:r>
                <m:t>73</m:t>
              </m:r>
            </m:oMath>
            <w:r>
              <w:t xml:space="preserve">). Neighbourhood-bootstrap 95% confidence intervals in parentheses.</w:t>
            </w:r>
            <w:r>
              <w:t xml:space="preserve"> </w:t>
            </w:r>
            <m:oMath>
              <m:sSub>
                <m:e>
                  <m:r>
                    <m:t>N</m:t>
                  </m:r>
                </m:e>
                <m:sub>
                  <m:r>
                    <m:t>F</m:t>
                  </m:r>
                </m:sub>
              </m:sSub>
              <m:r>
                <m:rPr>
                  <m:sty m:val="p"/>
                </m:rPr>
                <m:t>=</m:t>
              </m:r>
              <m:r>
                <m:t>980</m:t>
              </m:r>
              <m:r>
                <m:rPr>
                  <m:sty m:val="p"/>
                </m:rPr>
                <m:t>,</m:t>
              </m:r>
              <m:r>
                <m:t>000</m:t>
              </m:r>
            </m:oMath>
            <w:r>
              <w:t xml:space="preserve">, SS weights,</w:t>
            </w:r>
            <w:r>
              <w:t xml:space="preserve"> </w:t>
            </w:r>
            <m:oMath>
              <m:r>
                <m:t>B</m:t>
              </m:r>
              <m:r>
                <m:rPr>
                  <m:sty m:val="p"/>
                </m:rPr>
                <m:t>=</m:t>
              </m:r>
              <m:r>
                <m:t>500</m:t>
              </m:r>
            </m:oMath>
            <w:r>
              <w:t xml:space="preserve">. All five full-vs-LOO CI pairs overlap. Source:</w:t>
            </w:r>
            <w:r>
              <w:t xml:space="preserve"> </w:t>
            </w:r>
            <w:r>
              <w:rPr>
                <w:rStyle w:val="VerbatimChar"/>
              </w:rPr>
              <w:t xml:space="preserve">output/tables/loo_chain_sensitivity.csv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Full sample (n = 85)</w:t>
                  </w:r>
                </w:p>
              </w:tc>
              <w:tc>
                <w:tcPr/>
                <w:p>
                  <w:pPr>
                    <w:pStyle w:val="Compact"/>
                    <w:jc w:val="center"/>
                  </w:pPr>
                  <w:r>
                    <w:t xml:space="preserve">LOO sample (n = 73)</w:t>
                  </w:r>
                </w:p>
              </w:tc>
              <w:tc>
                <w:tcPr/>
                <w:p>
                  <w:pPr>
                    <w:pStyle w:val="Compact"/>
                    <w:jc w:val="center"/>
                  </w:pPr>
                  <w:r>
                    <w:t xml:space="preserve">Shift (pp)</w:t>
                  </w:r>
                </w:p>
              </w:tc>
            </w:tr>
            <w:tr>
              <w:tc>
                <w:tcPr/>
                <w:p>
                  <w:pPr>
                    <w:pStyle w:val="Compact"/>
                    <w:jc w:val="center"/>
                  </w:pPr>
                  <w:r>
                    <w:t xml:space="preserve">Document withholding</w:t>
                  </w:r>
                </w:p>
              </w:tc>
              <w:tc>
                <w:tcPr/>
                <w:p>
                  <w:pPr>
                    <w:pStyle w:val="Compact"/>
                    <w:jc w:val="center"/>
                  </w:pPr>
                  <w:r>
                    <w:t xml:space="preserve">35.4% (20.3–48.1%)</w:t>
                  </w:r>
                </w:p>
              </w:tc>
              <w:tc>
                <w:tcPr/>
                <w:p>
                  <w:pPr>
                    <w:pStyle w:val="Compact"/>
                    <w:jc w:val="center"/>
                  </w:pPr>
                  <w:r>
                    <w:t xml:space="preserve">33.4% (17.5–48.8%)</w:t>
                  </w:r>
                </w:p>
              </w:tc>
              <w:tc>
                <w:tcPr/>
                <w:p>
                  <w:pPr>
                    <w:pStyle w:val="Compact"/>
                    <w:jc w:val="center"/>
                  </w:pPr>
                  <w:r>
                    <w:t xml:space="preserve">−2.0</w:t>
                  </w:r>
                </w:p>
              </w:tc>
            </w:tr>
            <w:tr>
              <w:tc>
                <w:tcPr/>
                <w:p>
                  <w:pPr>
                    <w:pStyle w:val="Compact"/>
                    <w:jc w:val="center"/>
                  </w:pPr>
                  <w:r>
                    <w:t xml:space="preserve">Pay/debt issues</w:t>
                  </w:r>
                </w:p>
              </w:tc>
              <w:tc>
                <w:tcPr/>
                <w:p>
                  <w:pPr>
                    <w:pStyle w:val="Compact"/>
                    <w:jc w:val="center"/>
                  </w:pPr>
                  <w:r>
                    <w:t xml:space="preserve">51.6% (37.2–65.9%)</w:t>
                  </w:r>
                </w:p>
              </w:tc>
              <w:tc>
                <w:tcPr/>
                <w:p>
                  <w:pPr>
                    <w:pStyle w:val="Compact"/>
                    <w:jc w:val="center"/>
                  </w:pPr>
                  <w:r>
                    <w:t xml:space="preserve">55.3% (41.0–71.0%)</w:t>
                  </w:r>
                </w:p>
              </w:tc>
              <w:tc>
                <w:tcPr/>
                <w:p>
                  <w:pPr>
                    <w:pStyle w:val="Compact"/>
                    <w:jc w:val="center"/>
                  </w:pPr>
                  <w:r>
                    <w:t xml:space="preserve">+3.8</w:t>
                  </w:r>
                </w:p>
              </w:tc>
            </w:tr>
            <w:tr>
              <w:tc>
                <w:tcPr/>
                <w:p>
                  <w:pPr>
                    <w:pStyle w:val="Compact"/>
                    <w:jc w:val="center"/>
                  </w:pPr>
                  <w:r>
                    <w:t xml:space="preserve">Threats and abuse</w:t>
                  </w:r>
                </w:p>
              </w:tc>
              <w:tc>
                <w:tcPr/>
                <w:p>
                  <w:pPr>
                    <w:pStyle w:val="Compact"/>
                    <w:jc w:val="center"/>
                  </w:pPr>
                  <w:r>
                    <w:t xml:space="preserve">56.9% (41.7–71.3%)</w:t>
                  </w:r>
                </w:p>
              </w:tc>
              <w:tc>
                <w:tcPr/>
                <w:p>
                  <w:pPr>
                    <w:pStyle w:val="Compact"/>
                    <w:jc w:val="center"/>
                  </w:pPr>
                  <w:r>
                    <w:t xml:space="preserve">61.4% (46.5–76.7%)</w:t>
                  </w:r>
                </w:p>
              </w:tc>
              <w:tc>
                <w:tcPr/>
                <w:p>
                  <w:pPr>
                    <w:pStyle w:val="Compact"/>
                    <w:jc w:val="center"/>
                  </w:pPr>
                  <w:r>
                    <w:t xml:space="preserve">+4.5</w:t>
                  </w:r>
                </w:p>
              </w:tc>
            </w:tr>
            <w:tr>
              <w:tc>
                <w:tcPr/>
                <w:p>
                  <w:pPr>
                    <w:pStyle w:val="Compact"/>
                    <w:jc w:val="center"/>
                  </w:pPr>
                  <w:r>
                    <w:t xml:space="preserve">Excessive hours</w:t>
                  </w:r>
                </w:p>
              </w:tc>
              <w:tc>
                <w:tcPr/>
                <w:p>
                  <w:pPr>
                    <w:pStyle w:val="Compact"/>
                    <w:jc w:val="center"/>
                  </w:pPr>
                  <w:r>
                    <w:t xml:space="preserve">84.2% (72.9–94.1%)</w:t>
                  </w:r>
                </w:p>
              </w:tc>
              <w:tc>
                <w:tcPr/>
                <w:p>
                  <w:pPr>
                    <w:pStyle w:val="Compact"/>
                    <w:jc w:val="center"/>
                  </w:pPr>
                  <w:r>
                    <w:t xml:space="preserve">82.5% (69.7–93.7%)</w:t>
                  </w:r>
                </w:p>
              </w:tc>
              <w:tc>
                <w:tcPr/>
                <w:p>
                  <w:pPr>
                    <w:pStyle w:val="Compact"/>
                    <w:jc w:val="center"/>
                  </w:pPr>
                  <w:r>
                    <w:t xml:space="preserve">−1.7</w:t>
                  </w:r>
                </w:p>
              </w:tc>
            </w:tr>
            <w:tr>
              <w:tc>
                <w:tcPr/>
                <w:p>
                  <w:pPr>
                    <w:pStyle w:val="Compact"/>
                    <w:jc w:val="center"/>
                  </w:pPr>
                  <w:r>
                    <w:t xml:space="preserve">Limited access to help</w:t>
                  </w:r>
                </w:p>
              </w:tc>
              <w:tc>
                <w:tcPr/>
                <w:p>
                  <w:pPr>
                    <w:pStyle w:val="Compact"/>
                    <w:jc w:val="center"/>
                  </w:pPr>
                  <w:r>
                    <w:t xml:space="preserve">60.6% (45.4–73.2%)</w:t>
                  </w:r>
                </w:p>
              </w:tc>
              <w:tc>
                <w:tcPr/>
                <w:p>
                  <w:pPr>
                    <w:pStyle w:val="Compact"/>
                    <w:jc w:val="center"/>
                  </w:pPr>
                  <w:r>
                    <w:t xml:space="preserve">57.3% (41.3–72.6%)</w:t>
                  </w:r>
                </w:p>
              </w:tc>
              <w:tc>
                <w:tcPr/>
                <w:p>
                  <w:pPr>
                    <w:pStyle w:val="Compact"/>
                    <w:jc w:val="center"/>
                  </w:pPr>
                  <w:r>
                    <w:t xml:space="preserve">−3.2</w:t>
                  </w:r>
                </w:p>
              </w:tc>
            </w:tr>
          </w:tbl>
          <w:bookmarkEnd w:id="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loo"/>
          <w:p>
            <w:pPr>
              <w:pStyle w:val="Compact"/>
              <w:jc w:val="center"/>
            </w:pPr>
            <w:r>
              <w:drawing>
                <wp:inline>
                  <wp:extent cx="5334000" cy="3200400"/>
                  <wp:effectExtent b="0" l="0" r="0" t="0"/>
                  <wp:docPr descr="" title="" id="71" name="Picture"/>
                  <a:graphic>
                    <a:graphicData uri="http://schemas.openxmlformats.org/drawingml/2006/picture">
                      <pic:pic>
                        <pic:nvPicPr>
                          <pic:cNvPr descr="../figures/figA5_loo_chain.png" id="72" name="Picture"/>
                          <pic:cNvPicPr>
                            <a:picLocks noChangeArrowheads="1" noChangeAspect="1"/>
                          </pic:cNvPicPr>
                        </pic:nvPicPr>
                        <pic:blipFill>
                          <a:blip r:embed="rId7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D.5: Leave-One-Out Chain Sensitivity. RDS-SS point estimates and neighbourhood-bootstrap 95% confidence intervals for the five exploitation indicators in the full sample (n = 85) and in the LOO sample with seed #55’s chain excluded (n = 73). N = 980,000. Source: Authors’ own work.</w:t>
            </w:r>
          </w:p>
          <w:bookmarkEnd w:id="73"/>
        </w:tc>
      </w:tr>
    </w:tbl>
    <w:bookmarkStart w:id="97" w:name="refs"/>
    <w:bookmarkStart w:id="74" w:name="ref-brown_you_2006"/>
    <w:p>
      <w:pPr>
        <w:pStyle w:val="Bibliography"/>
      </w:pPr>
      <w:r>
        <w:t xml:space="preserve">Brown, J. S., Schonfeld, T. L., &amp; Gordon, B. G. (2006). You may have already won...”: An examination of the use of lottery payments in research.</w:t>
      </w:r>
      <w:r>
        <w:t xml:space="preserve"> </w:t>
      </w:r>
      <w:r>
        <w:rPr>
          <w:i/>
          <w:iCs/>
        </w:rPr>
        <w:t xml:space="preserve">IRB</w:t>
      </w:r>
      <w:r>
        <w:rPr>
          <w:i/>
          <w:iCs/>
        </w:rPr>
        <w:t xml:space="preserve">: Ethics &amp; Human Research</w:t>
      </w:r>
      <w:r>
        <w:t xml:space="preserve">,</w:t>
      </w:r>
      <w:r>
        <w:t xml:space="preserve"> </w:t>
      </w:r>
      <w:r>
        <w:rPr>
          <w:i/>
          <w:iCs/>
        </w:rPr>
        <w:t xml:space="preserve">28</w:t>
      </w:r>
      <w:r>
        <w:t xml:space="preserve">(1), 12–16.</w:t>
      </w:r>
    </w:p>
    <w:bookmarkEnd w:id="74"/>
    <w:bookmarkStart w:id="76" w:name="ref-cobanoglu_effect_2003"/>
    <w:p>
      <w:pPr>
        <w:pStyle w:val="Bibliography"/>
      </w:pPr>
      <w:r>
        <w:t xml:space="preserve">Cobanoglu, C., &amp; Cobanoglu, N. (2003). The effect of incentives in web surveys: Application and ethical considerations.</w:t>
      </w:r>
      <w:r>
        <w:t xml:space="preserve"> </w:t>
      </w:r>
      <w:r>
        <w:rPr>
          <w:i/>
          <w:iCs/>
        </w:rPr>
        <w:t xml:space="preserve">International Journal of Market Research</w:t>
      </w:r>
      <w:r>
        <w:t xml:space="preserve">,</w:t>
      </w:r>
      <w:r>
        <w:t xml:space="preserve"> </w:t>
      </w:r>
      <w:r>
        <w:rPr>
          <w:i/>
          <w:iCs/>
        </w:rPr>
        <w:t xml:space="preserve">45</w:t>
      </w:r>
      <w:r>
        <w:t xml:space="preserve">(4), 1–13.</w:t>
      </w:r>
      <w:r>
        <w:t xml:space="preserve"> </w:t>
      </w:r>
      <w:hyperlink r:id="rId75">
        <w:r>
          <w:rPr>
            <w:rStyle w:val="Hyperlink"/>
          </w:rPr>
          <w:t xml:space="preserve">https://doi.org/10.1177/147078530304500406</w:t>
        </w:r>
      </w:hyperlink>
    </w:p>
    <w:bookmarkEnd w:id="76"/>
    <w:bookmarkStart w:id="78" w:name="ref-dejong_ethical_2009"/>
    <w:p>
      <w:pPr>
        <w:pStyle w:val="Bibliography"/>
      </w:pPr>
      <w:r>
        <w:t xml:space="preserve">DeJong, J., Mahfoud, Z., Khoury, D., Barbir, F., &amp; Afifi, R. A. (2009). Ethical considerations in</w:t>
      </w:r>
      <w:r>
        <w:t xml:space="preserve"> </w:t>
      </w:r>
      <w:r>
        <w:t xml:space="preserve">HIV</w:t>
      </w:r>
      <w:r>
        <w:t xml:space="preserve">/</w:t>
      </w:r>
      <w:r>
        <w:t xml:space="preserve">AIDS</w:t>
      </w:r>
      <w:r>
        <w:t xml:space="preserve"> </w:t>
      </w:r>
      <w:r>
        <w:t xml:space="preserve">biobehavioral surveys that use respondent-driven sampling: Illustrations from lebanon.</w:t>
      </w:r>
      <w:r>
        <w:t xml:space="preserve"> </w:t>
      </w:r>
      <w:r>
        <w:rPr>
          <w:i/>
          <w:iCs/>
        </w:rPr>
        <w:t xml:space="preserve">American Journal of Public Health</w:t>
      </w:r>
      <w:r>
        <w:t xml:space="preserve">,</w:t>
      </w:r>
      <w:r>
        <w:t xml:space="preserve"> </w:t>
      </w:r>
      <w:r>
        <w:rPr>
          <w:i/>
          <w:iCs/>
        </w:rPr>
        <w:t xml:space="preserve">99</w:t>
      </w:r>
      <w:r>
        <w:t xml:space="preserve">(9), 1562–1567.</w:t>
      </w:r>
      <w:r>
        <w:t xml:space="preserve"> </w:t>
      </w:r>
      <w:hyperlink r:id="rId77">
        <w:r>
          <w:rPr>
            <w:rStyle w:val="Hyperlink"/>
          </w:rPr>
          <w:t xml:space="preserve">https://doi.org/10.2105/AJPH.2007.130773</w:t>
        </w:r>
      </w:hyperlink>
    </w:p>
    <w:bookmarkEnd w:id="78"/>
    <w:bookmarkStart w:id="79"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9"/>
    <w:bookmarkStart w:id="81" w:name="ref-gajic_cost-effectiveness_2012"/>
    <w:p>
      <w:pPr>
        <w:pStyle w:val="Bibliography"/>
      </w:pPr>
      <w:r>
        <w:t xml:space="preserve">Gajic, A., Cameron, D., &amp; Hurley, J. (2012). The cost-effectiveness of cash versus lottery incentives for a web-based, stated-preference community survey.</w:t>
      </w:r>
      <w:r>
        <w:t xml:space="preserve"> </w:t>
      </w:r>
      <w:r>
        <w:rPr>
          <w:i/>
          <w:iCs/>
        </w:rPr>
        <w:t xml:space="preserve">The European Journal of Health Economics</w:t>
      </w:r>
      <w:r>
        <w:t xml:space="preserve">,</w:t>
      </w:r>
      <w:r>
        <w:t xml:space="preserve"> </w:t>
      </w:r>
      <w:r>
        <w:rPr>
          <w:i/>
          <w:iCs/>
        </w:rPr>
        <w:t xml:space="preserve">13</w:t>
      </w:r>
      <w:r>
        <w:t xml:space="preserve">(6), 789–799.</w:t>
      </w:r>
      <w:r>
        <w:t xml:space="preserve"> </w:t>
      </w:r>
      <w:hyperlink r:id="rId80">
        <w:r>
          <w:rPr>
            <w:rStyle w:val="Hyperlink"/>
          </w:rPr>
          <w:t xml:space="preserve">https://doi.org/10.1007/s10198-011-0332-0</w:t>
        </w:r>
      </w:hyperlink>
    </w:p>
    <w:bookmarkEnd w:id="81"/>
    <w:bookmarkStart w:id="83" w:name="ref-gile_network_2015"/>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82">
        <w:r>
          <w:rPr>
            <w:rStyle w:val="Hyperlink"/>
          </w:rPr>
          <w:t xml:space="preserve">https://doi.org/10.1111/rssa.12091</w:t>
        </w:r>
      </w:hyperlink>
    </w:p>
    <w:bookmarkEnd w:id="83"/>
    <w:bookmarkStart w:id="85"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4">
        <w:r>
          <w:rPr>
            <w:rStyle w:val="Hyperlink"/>
          </w:rPr>
          <w:t xml:space="preserve">https://www.ilo.org/publications/ilo-indicators-forced-labour</w:t>
        </w:r>
      </w:hyperlink>
    </w:p>
    <w:bookmarkEnd w:id="85"/>
    <w:bookmarkStart w:id="87"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6">
        <w:r>
          <w:rPr>
            <w:rStyle w:val="Hyperlink"/>
          </w:rPr>
          <w:t xml:space="preserve">https://www.ilo.org/forcedlabour</w:t>
        </w:r>
      </w:hyperlink>
    </w:p>
    <w:bookmarkEnd w:id="87"/>
    <w:bookmarkStart w:id="88"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6">
        <w:r>
          <w:rPr>
            <w:rStyle w:val="Hyperlink"/>
          </w:rPr>
          <w:t xml:space="preserve">https://www.ilo.org/forcedlabour</w:t>
        </w:r>
      </w:hyperlink>
    </w:p>
    <w:bookmarkEnd w:id="88"/>
    <w:bookmarkStart w:id="90" w:name="ref-laguilles_can_2011"/>
    <w:p>
      <w:pPr>
        <w:pStyle w:val="Bibliography"/>
      </w:pPr>
      <w:r>
        <w:t xml:space="preserve">Laguilles, J. S., Williams, E. A., &amp; Saunders, D. B. (2011). Can lottery incentives boost web survey response rates? Findings from four experiments.</w:t>
      </w:r>
      <w:r>
        <w:t xml:space="preserve"> </w:t>
      </w:r>
      <w:r>
        <w:rPr>
          <w:i/>
          <w:iCs/>
        </w:rPr>
        <w:t xml:space="preserve">Research in Higher Education</w:t>
      </w:r>
      <w:r>
        <w:t xml:space="preserve">,</w:t>
      </w:r>
      <w:r>
        <w:t xml:space="preserve"> </w:t>
      </w:r>
      <w:r>
        <w:rPr>
          <w:i/>
          <w:iCs/>
        </w:rPr>
        <w:t xml:space="preserve">52</w:t>
      </w:r>
      <w:r>
        <w:t xml:space="preserve">(5), 537–553.</w:t>
      </w:r>
      <w:r>
        <w:t xml:space="preserve"> </w:t>
      </w:r>
      <w:hyperlink r:id="rId89">
        <w:r>
          <w:rPr>
            <w:rStyle w:val="Hyperlink"/>
          </w:rPr>
          <w:t xml:space="preserve">https://doi.org/10.1007/s11162-010-9203-2</w:t>
        </w:r>
      </w:hyperlink>
    </w:p>
    <w:bookmarkEnd w:id="90"/>
    <w:bookmarkStart w:id="92" w:name="ref-semaan_ethical_2009"/>
    <w:p>
      <w:pPr>
        <w:pStyle w:val="Bibliography"/>
      </w:pPr>
      <w:r>
        <w:t xml:space="preserve">Semaan, S., Santibanez, S., Garfein, R. S., Heckathorn, D. D., &amp; Jarlais, D. C. (2009). Ethical and regulatory considerations in</w:t>
      </w:r>
      <w:r>
        <w:t xml:space="preserve"> </w:t>
      </w:r>
      <w:r>
        <w:t xml:space="preserve">HIV</w:t>
      </w:r>
      <w:r>
        <w:t xml:space="preserve"> </w:t>
      </w:r>
      <w:r>
        <w:t xml:space="preserve">prevention studies employing respondent-driven sampling.</w:t>
      </w:r>
      <w:r>
        <w:t xml:space="preserve"> </w:t>
      </w:r>
      <w:r>
        <w:rPr>
          <w:i/>
          <w:iCs/>
        </w:rPr>
        <w:t xml:space="preserve">International Journal of Drug Policy</w:t>
      </w:r>
      <w:r>
        <w:t xml:space="preserve">,</w:t>
      </w:r>
      <w:r>
        <w:t xml:space="preserve"> </w:t>
      </w:r>
      <w:r>
        <w:rPr>
          <w:i/>
          <w:iCs/>
        </w:rPr>
        <w:t xml:space="preserve">20</w:t>
      </w:r>
      <w:r>
        <w:t xml:space="preserve">(1), 14–27.</w:t>
      </w:r>
      <w:r>
        <w:t xml:space="preserve"> </w:t>
      </w:r>
      <w:hyperlink r:id="rId91">
        <w:r>
          <w:rPr>
            <w:rStyle w:val="Hyperlink"/>
          </w:rPr>
          <w:t xml:space="preserve">https://doi.org/10.1016/j.drugpo.2007.12.006</w:t>
        </w:r>
      </w:hyperlink>
    </w:p>
    <w:bookmarkEnd w:id="92"/>
    <w:bookmarkStart w:id="94" w:name="ref-singer_incentives_2006"/>
    <w:p>
      <w:pPr>
        <w:pStyle w:val="Bibliography"/>
      </w:pPr>
      <w:r>
        <w:t xml:space="preserve">Singer, E., &amp; Bossarte, R. M. (2006). Incentives for survey participation: When are they</w:t>
      </w:r>
      <w:r>
        <w:t xml:space="preserve"> </w:t>
      </w:r>
      <w:r>
        <w:t xml:space="preserve">“coercive”</w:t>
      </w:r>
      <w:r>
        <w:t xml:space="preserve">?</w:t>
      </w:r>
      <w:r>
        <w:t xml:space="preserve"> </w:t>
      </w:r>
      <w:r>
        <w:rPr>
          <w:i/>
          <w:iCs/>
        </w:rPr>
        <w:t xml:space="preserve">American Journal of Preventive Medicine</w:t>
      </w:r>
      <w:r>
        <w:t xml:space="preserve">,</w:t>
      </w:r>
      <w:r>
        <w:t xml:space="preserve"> </w:t>
      </w:r>
      <w:r>
        <w:rPr>
          <w:i/>
          <w:iCs/>
        </w:rPr>
        <w:t xml:space="preserve">31</w:t>
      </w:r>
      <w:r>
        <w:t xml:space="preserve">(5), 411–418.</w:t>
      </w:r>
      <w:r>
        <w:t xml:space="preserve"> </w:t>
      </w:r>
      <w:hyperlink r:id="rId93">
        <w:r>
          <w:rPr>
            <w:rStyle w:val="Hyperlink"/>
          </w:rPr>
          <w:t xml:space="preserve">https://doi.org/10.1016/j.amepre.2006.07.013</w:t>
        </w:r>
      </w:hyperlink>
    </w:p>
    <w:bookmarkEnd w:id="94"/>
    <w:bookmarkStart w:id="96" w:name="ref-yauck_neighboot_2022"/>
    <w:p>
      <w:pPr>
        <w:pStyle w:val="Bibliography"/>
      </w:pPr>
      <w:r>
        <w:t xml:space="preserve">Yauck, M., &amp; Moodie, E. E. M. (2022).</w:t>
      </w:r>
      <w:r>
        <w:t xml:space="preserve"> </w:t>
      </w:r>
      <w:r>
        <w:rPr>
          <w:i/>
          <w:iCs/>
        </w:rPr>
        <w:t xml:space="preserve">Neighboot: Neighborhood bootstrap method for</w:t>
      </w:r>
      <w:r>
        <w:rPr>
          <w:i/>
          <w:iCs/>
        </w:rPr>
        <w:t xml:space="preserve"> </w:t>
      </w:r>
      <w:r>
        <w:rPr>
          <w:i/>
          <w:iCs/>
        </w:rPr>
        <w:t xml:space="preserve">RDS</w:t>
      </w:r>
      <w:r>
        <w:t xml:space="preserve"> </w:t>
      </w:r>
      <w:r>
        <w:t xml:space="preserve">(Version 1.0.1) [Computer software].</w:t>
      </w:r>
      <w:r>
        <w:t xml:space="preserve"> </w:t>
      </w:r>
      <w:hyperlink r:id="rId95">
        <w:r>
          <w:rPr>
            <w:rStyle w:val="Hyperlink"/>
          </w:rPr>
          <w:t xml:space="preserve">https://cran.r-project.org/web/packages/Neighboot/index.html</w:t>
        </w:r>
      </w:hyperlink>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20" Target="https://osf.io/vf5yb/overview?view_only=becc2db3b49c4b258015b648867bf208"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20" Target="https://osf.io/vf5yb/overview?view_only=becc2db3b49c4b258015b648867bf208"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Caroline Emberson; Scott Moser</dc:creator>
  <cp:keywords/>
  <dcterms:created xsi:type="dcterms:W3CDTF">2026-07-12T10:34:37Z</dcterms:created>
  <dcterms:modified xsi:type="dcterms:W3CDTF">2026-07-12T10:34:37Z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../../references/apa.csl</vt:lpwstr>
  </property>
  <property fmtid="{D5CDD505-2E9C-101B-9397-08002B2CF9AE}" pid="11" name="date">
    <vt:lpwstr>11 July 2026</vt:lpwstr>
  </property>
  <property fmtid="{D5CDD505-2E9C-101B-9397-08002B2CF9AE}" pid="12" name="date-format">
    <vt:lpwstr>DD MMMM YYYY</vt:lpwstr>
  </property>
  <property fmtid="{D5CDD505-2E9C-101B-9397-08002B2CF9AE}" pid="13" name="fig-cap-location">
    <vt:lpwstr>bottom</vt:lpwstr>
  </property>
  <property fmtid="{D5CDD505-2E9C-101B-9397-08002B2CF9AE}" pid="14" name="fontsize">
    <vt:lpwstr>12pt</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subtitle">
    <vt:lpwstr>Online Supplementary Materials for Social Indicators Research Submission</vt:lpwstr>
  </property>
  <property fmtid="{D5CDD505-2E9C-101B-9397-08002B2CF9AE}" pid="21" name="tbl-cap-location">
    <vt:lpwstr>top</vt:lpwstr>
  </property>
  <property fmtid="{D5CDD505-2E9C-101B-9397-08002B2CF9AE}" pid="22" name="template-partials">
    <vt:lpwstr/>
  </property>
  <property fmtid="{D5CDD505-2E9C-101B-9397-08002B2CF9AE}" pid="23" name="toc-title">
    <vt:lpwstr>Table of contents</vt:lpwstr>
  </property>
</Properties>
</file>