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6.png" ContentType="image/png"/>
  <Override PartName="/word/media/rId5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30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defined in UK law as an umbrella term which includes slavery, servitude, forced labour, and human trafficking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International Labour Organization &amp; Walk Free Foundation, 2017;</w:t>
      </w:r>
      <w:r>
        <w:t xml:space="preserve"> </w:t>
      </w:r>
      <w:r>
        <w:rPr>
          <w:b/>
          <w:bCs/>
        </w:rPr>
        <w:t xml:space="preserve">int25-ilo?</w:t>
      </w:r>
      <w:r>
        <w:t xml:space="preserve">)</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w:t>
      </w:r>
      <w:r>
        <w:t xml:space="preserve"> </w:t>
      </w:r>
      <w:r>
        <w:t xml:space="preserve">(International Labour Organization, 2012; International Labour Organization &amp; Walk Free Foundation, 2017;</w:t>
      </w:r>
      <w:r>
        <w:t xml:space="preserve"> </w:t>
      </w:r>
      <w:r>
        <w:rPr>
          <w:b/>
          <w:bCs/>
        </w:rPr>
        <w:t xml:space="preserve">int25-ilo?</w:t>
      </w:r>
      <w:r>
        <w:t xml:space="preserve">)</w:t>
      </w:r>
      <w:r>
        <w:t xml:space="preserve"> </w:t>
      </w:r>
      <w:r>
        <w:t xml:space="preserve">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International Labour Organization &amp; Walk Free Foundation, 2017)</w:t>
      </w:r>
      <w:r>
        <w:t xml:space="preserve"> </w:t>
      </w:r>
      <w:r>
        <w:t xml:space="preserve">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Appendix Table A1,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Appendix Table A1 for per-category weights). It is constructed as a formative additive composite: an individual is exposed to exploitation if any of the indicators is present, and the indicators are constitutive rather than reflective of an underlying severity. Polarity is uniform across categories. Weights are anchored on the ILO medium/strong severity gradation — strong-indicator categories receive larger sub-weights than medium-indicator categories — and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the Appendix, Section A, for full construction).</w:t>
      </w:r>
    </w:p>
    <w:bookmarkEnd w:id="21"/>
    <w:bookmarkEnd w:id="22"/>
    <w:bookmarkStart w:id="38"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the Appendix, Section D.7).</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w:t>
      </w:r>
      <w:r>
        <w:t xml:space="preserve">.</w:t>
      </w:r>
      <w:r>
        <w:t xml:space="preserve"> </w:t>
      </w:r>
      <w:r>
        <w:t xml:space="preserve">The eleven ILO indicators of forced labour</w:t>
      </w:r>
      <w:r>
        <w:t xml:space="preserve"> </w:t>
      </w:r>
      <w:r>
        <w:t xml:space="preserve">(International Labour Organization, 2012; International Labour Organization &amp; Walk Free Foundation, 2017)</w:t>
      </w:r>
      <w:r>
        <w:t xml:space="preserve"> </w:t>
      </w:r>
      <w:r>
        <w:t xml:space="preserve">provide the operational framework for our measurement strategy.</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Appendix Table A1. Source: Authors’ construction following ILO (2012, 2017).</w:t>
            </w:r>
          </w:p>
          <w:tbl>
            <w:tblPr>
              <w:tblStyle w:val="Table"/>
              <w:tblW w:type="pct" w:w="5000"/>
              <w:tblLayout w:type="fixed"/>
              <w:tblLook w:firstRow="1" w:lastRow="0" w:firstColumn="0" w:lastColumn="0" w:noHBand="0" w:noVBand="0" w:val="0020"/>
            </w:tblPr>
            <w:tblGrid>
              <w:gridCol w:w="288"/>
              <w:gridCol w:w="2808"/>
              <w:gridCol w:w="720"/>
              <w:gridCol w:w="1872"/>
              <w:gridCol w:w="792"/>
              <w:gridCol w:w="1440"/>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the Appendix (Sections A and B) for details of these survey questions and the construction of comparable ego- and alter-based indicators.</w:t>
      </w:r>
    </w:p>
    <w:bookmarkEnd w:id="25"/>
    <w:bookmarkStart w:id="31"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sample-char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fig1_recruitment_network.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5" w:name="sec-estimation-framework"/>
    <w:p>
      <w:pPr>
        <w:pStyle w:val="Heading2"/>
      </w:pPr>
      <w:r>
        <w:t xml:space="preserve">3.4 Estimation Framework</w:t>
      </w:r>
    </w:p>
    <w:p>
      <w:pPr>
        <w:pStyle w:val="FirstParagraph"/>
      </w:pPr>
      <w:r>
        <w:t xml:space="preserve">Before describing each estimator in turn,</w:t>
      </w:r>
      <w:r>
        <w:t xml:space="preserve"> </w:t>
      </w:r>
      <w:hyperlink w:anchor="tbl-estimands">
        <w:r>
          <w:rPr>
            <w:rStyle w:val="Hyperlink"/>
          </w:rPr>
          <w:t xml:space="preserve">Table 3</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type="pct" w:w="5000"/>
        <w:tblLayout w:type="fixed"/>
        <w:tblLook w:firstRow="0" w:lastRow="0" w:firstColumn="0" w:lastColumn="0" w:noHBand="0" w:noVBand="0" w:val="0000"/>
      </w:tblPr>
      <w:tblGrid>
        <w:gridCol w:w="7920"/>
      </w:tblGrid>
      <w:tr>
        <w:tc>
          <w:tcPr/>
          <w:bookmarkStart w:id="32"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56"/>
              <w:gridCol w:w="2189"/>
              <w:gridCol w:w="2351"/>
              <w:gridCol w:w="2621"/>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2"/>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the Appendix).</w:t>
      </w:r>
    </w:p>
    <w:p>
      <w:pPr>
        <w:pStyle w:val="BodyText"/>
      </w:pPr>
      <w:r>
        <w:rPr>
          <w:i/>
          <w:iCs/>
        </w:rPr>
        <w:t xml:space="preserve">Within-Population Scale-Up Estimation (NSUM):</w:t>
      </w:r>
      <w:r>
        <w:t xml:space="preserve"> </w:t>
      </w:r>
      <w:r>
        <w:t xml:space="preserve">We employ the Modified Basic Scale-Up (MBSU) logic of</w:t>
      </w:r>
      <w:r>
        <w:t xml:space="preserve"> </w:t>
      </w:r>
      <w:r>
        <w:t xml:space="preserve">Feehan &amp; Salganik (2016)</w:t>
      </w:r>
      <w:r>
        <w:t xml:space="preserve"> </w:t>
      </w:r>
      <w:r>
        <w:t xml:space="preserve">in a non-standard, within-population configuration. In standard NSUM, respondents are usually sampled from a frame population and report how many people they know in a hidden population. Here, by contrast, respondents are themselves UK migrant domestic workers and report on other UK migrant domestic workers they know. We therefore treat the design as a</w:t>
      </w:r>
      <w:r>
        <w:t xml:space="preserve"> </w:t>
      </w:r>
      <w:r>
        <w:rPr>
          <w:i/>
          <w:iCs/>
        </w:rPr>
        <w:t xml:space="preserve">within-population scale-up</w:t>
      </w:r>
      <w:r>
        <w:t xml:space="preserve"> </w:t>
      </w:r>
      <w:r>
        <w:t xml:space="preserve">or</w:t>
      </w:r>
      <w:r>
        <w:t xml:space="preserve"> </w:t>
      </w:r>
      <w:r>
        <w:rPr>
          <w:i/>
          <w:iCs/>
        </w:rPr>
        <w:t xml:space="preserve">alter-report network prevalence</w:t>
      </w:r>
      <w:r>
        <w:t xml:space="preserve"> </w:t>
      </w:r>
      <w:r>
        <w:t xml:space="preserve">design: the target quantity is not the absolute size of the hidden population, but the network-visible prevalence of exploitation indicators among domestic-worker alters in respondents’ personal networks. This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Let</w:t>
      </w:r>
      <w:r>
        <w:t xml:space="preserve"> </w:t>
      </w:r>
      <m:oMath>
        <m:sSub>
          <m:e>
            <m:r>
              <m:t>H</m:t>
            </m:r>
          </m:e>
          <m:sub>
            <m:r>
              <m:t>h</m:t>
            </m:r>
          </m:sub>
        </m:sSub>
      </m:oMath>
      <w:r>
        <w:t xml:space="preserve"> </w:t>
      </w:r>
      <w:r>
        <w:t xml:space="preserve">denote the subset of domestic-worker alters who truly have exploitation indicator</w:t>
      </w:r>
      <w:r>
        <w:t xml:space="preserve"> </w:t>
      </w:r>
      <m:oMath>
        <m:r>
          <m:t>h</m:t>
        </m:r>
      </m:oMath>
      <w:r>
        <w:t xml:space="preserve">, and let</w:t>
      </w:r>
      <w:r>
        <w:t xml:space="preserve"> </w:t>
      </w:r>
      <m:oMath>
        <m:r>
          <m:t>F</m:t>
        </m:r>
      </m:oMath>
      <w:r>
        <w:t xml:space="preserve"> </w:t>
      </w:r>
      <w:r>
        <w:t xml:space="preserve">denote the domestic-worker alter universe induced by the survey’s tie definition (the</w:t>
      </w:r>
      <w:r>
        <w:t xml:space="preserve"> </w:t>
      </w:r>
      <w:r>
        <w:rPr>
          <w:i/>
          <w:iCs/>
        </w:rPr>
        <w:t xml:space="preserve">frame</w:t>
      </w:r>
      <w:r>
        <w:t xml:space="preserve">). For respondent</w:t>
      </w:r>
      <w:r>
        <w:t xml:space="preserve"> </w:t>
      </w:r>
      <m:oMath>
        <m:r>
          <m:t>i</m:t>
        </m:r>
      </m:oMath>
      <w:r>
        <w:t xml:space="preserve">, let</w:t>
      </w:r>
      <w:r>
        <w:t xml:space="preserve"> </w:t>
      </w:r>
      <m:oMath>
        <m:sSub>
          <m:e>
            <m:r>
              <m:t>y</m:t>
            </m:r>
          </m:e>
          <m:sub>
            <m:r>
              <m:t>i</m:t>
            </m:r>
            <m:r>
              <m:t>h</m:t>
            </m:r>
          </m:sub>
        </m:sSub>
      </m:oMath>
      <w:r>
        <w:t xml:space="preserve"> </w:t>
      </w:r>
      <w:r>
        <w:t xml:space="preserve">be the reported number of known domestic-worker alters with indicator</w:t>
      </w:r>
      <w:r>
        <w:t xml:space="preserve"> </w:t>
      </w:r>
      <m:oMath>
        <m:r>
          <m:t>h</m:t>
        </m:r>
      </m:oMath>
      <w:r>
        <w:t xml:space="preserve">, and let</w:t>
      </w:r>
      <w:r>
        <w:t xml:space="preserve"> </w:t>
      </w:r>
      <m:oMath>
        <m:sSubSup>
          <m:e>
            <m:r>
              <m:t>d</m:t>
            </m:r>
          </m:e>
          <m:sub>
            <m:r>
              <m:t>i</m:t>
            </m:r>
          </m:sub>
          <m:sup>
            <m:r>
              <m:t>D</m:t>
            </m:r>
            <m:r>
              <m:t>W</m:t>
            </m:r>
          </m:sup>
        </m:sSubSup>
      </m:oMath>
      <w:r>
        <w:t xml:space="preserve"> </w:t>
      </w:r>
      <w:r>
        <w:t xml:space="preserve">be respondent</w:t>
      </w:r>
      <w:r>
        <w:t xml:space="preserve"> </w:t>
      </w:r>
      <m:oMath>
        <m:r>
          <m:t>i</m:t>
        </m:r>
      </m:oMath>
      <w:r>
        <w:t xml:space="preserve">’s reported number of known UK migrant domestic workers. The quantity</w:t>
      </w:r>
      <w:r>
        <w:t xml:space="preserve"> </w:t>
      </w:r>
      <m:oMath>
        <m:sSubSup>
          <m:e>
            <m:r>
              <m:t>d</m:t>
            </m:r>
          </m:e>
          <m:sub>
            <m:r>
              <m:t>i</m:t>
            </m:r>
          </m:sub>
          <m:sup>
            <m:r>
              <m:t>D</m:t>
            </m:r>
            <m:r>
              <m:t>W</m:t>
            </m:r>
          </m:sup>
        </m:sSubSup>
      </m:oMath>
      <w:r>
        <w:t xml:space="preserve"> </w:t>
      </w:r>
      <w:r>
        <w:t xml:space="preserve">is therefore a domestic-worker alter degree: it is the denominator for the alter reports</w:t>
      </w:r>
      <w:r>
        <w:t xml:space="preserve"> </w:t>
      </w:r>
      <m:oMath>
        <m:sSub>
          <m:e>
            <m:r>
              <m:t>y</m:t>
            </m:r>
          </m:e>
          <m:sub>
            <m:r>
              <m:t>i</m:t>
            </m:r>
            <m:r>
              <m:t>h</m:t>
            </m:r>
          </m:sub>
        </m:sSub>
      </m:oMath>
      <w:r>
        <w:t xml:space="preserve">, not respondent</w:t>
      </w:r>
      <w:r>
        <w:t xml:space="preserve"> </w:t>
      </w:r>
      <m:oMath>
        <m:r>
          <m:t>i</m:t>
        </m:r>
      </m:oMath>
      <w:r>
        <w:t xml:space="preserve">’s total personal network size in the usual NSUM sense.</w:t>
      </w:r>
    </w:p>
    <w:p>
      <w:pPr>
        <w:pStyle w:val="BodyText"/>
      </w:pPr>
      <w:r>
        <w:t xml:space="preserve">The unadjusted within-population NSUM estimator is</w:t>
      </w:r>
    </w:p>
    <w:p>
      <w:pPr>
        <w:pStyle w:val="BodyText"/>
      </w:pPr>
      <w:bookmarkStart w:id="33" w:name="eq-1"/>
      <m:oMathPara>
        <m:oMathParaPr>
          <m:jc m:val="center"/>
        </m:oMathParaPr>
        <m:oMath>
          <m:sSubSup>
            <m:e>
              <m:acc>
                <m:accPr>
                  <m:chr m:val="̂"/>
                </m:accPr>
                <m:e>
                  <m:r>
                    <m:t>p</m:t>
                  </m:r>
                </m:e>
              </m:acc>
            </m:e>
            <m:sub>
              <m:r>
                <m:t>h</m:t>
              </m:r>
            </m:sub>
            <m:sup>
              <m:r>
                <m:t>N</m:t>
              </m:r>
              <m:r>
                <m:t>S</m:t>
              </m:r>
              <m:r>
                <m:t>U</m:t>
              </m:r>
              <m:r>
                <m:t>M</m:t>
              </m:r>
            </m:sup>
          </m:sSubSup>
          <m:r>
            <m:rPr>
              <m:sty m:val="p"/>
            </m:rPr>
            <m:t>=</m:t>
          </m:r>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1</m:t>
              </m:r>
            </m:e>
          </m:d>
        </m:oMath>
      </m:oMathPara>
      <w:bookmarkEnd w:id="33"/>
    </w:p>
    <w:p>
      <w:pPr>
        <w:pStyle w:val="FirstParagraph"/>
      </w:pPr>
      <w:r>
        <w:t xml:space="preserve">where</w:t>
      </w:r>
      <w:r>
        <w:t xml:space="preserve"> </w:t>
      </w:r>
      <m:oMath>
        <m:sSub>
          <m:e>
            <m:r>
              <m:t>w</m:t>
            </m:r>
          </m:e>
          <m:sub>
            <m:r>
              <m:t>i</m:t>
            </m:r>
          </m:sub>
        </m:sSub>
      </m:oMath>
      <w:r>
        <w:t xml:space="preserve"> </w:t>
      </w:r>
      <w:r>
        <w:t xml:space="preserve">is the RDS-derived survey weight. This estimator is a weighted alter-level proportion: it estimates the share of reported domestic-worker alters who are reported to have indicator</w:t>
      </w:r>
      <w:r>
        <w:t xml:space="preserve"> </w:t>
      </w:r>
      <m:oMath>
        <m:r>
          <m:t>h</m:t>
        </m:r>
      </m:oMath>
      <w:r>
        <w:t xml:space="preserve">. It should therefore be interpreted as a measure of</w:t>
      </w:r>
      <w:r>
        <w:t xml:space="preserve"> </w:t>
      </w:r>
      <w:r>
        <w:rPr>
          <w:i/>
          <w:iCs/>
        </w:rPr>
        <w:t xml:space="preserve">network-visible prevalence</w:t>
      </w:r>
      <w:r>
        <w:t xml:space="preserve"> </w:t>
      </w:r>
      <w:r>
        <w:t xml:space="preserve">among domestic-worker alters, rather than as a direct estimate of own-experience prevalence among respondents.</w:t>
      </w:r>
    </w:p>
    <w:p>
      <w:pPr>
        <w:pStyle w:val="BodyText"/>
      </w:pPr>
      <w:r>
        <w:t xml:space="preserve">The MBSU-adjusted prevalence is then</w:t>
      </w:r>
    </w:p>
    <w:p>
      <w:pPr>
        <w:pStyle w:val="BodyText"/>
      </w:pPr>
      <w:bookmarkStart w:id="34" w:name="eq-2"/>
      <m:oMathPara>
        <m:oMathParaPr>
          <m:jc m:val="center"/>
        </m:oMathParaPr>
        <m:oMath>
          <m:sSubSup>
            <m:e>
              <m:acc>
                <m:accPr>
                  <m:chr m:val="̂"/>
                </m:accPr>
                <m:e>
                  <m:r>
                    <m:t>p</m:t>
                  </m:r>
                </m:e>
              </m:acc>
            </m:e>
            <m:sub>
              <m:r>
                <m:t>h</m:t>
              </m:r>
            </m:sub>
            <m:sup>
              <m:r>
                <m:t>M</m:t>
              </m:r>
              <m:r>
                <m:t>B</m:t>
              </m:r>
              <m:r>
                <m:t>S</m:t>
              </m:r>
              <m:r>
                <m:t>U</m:t>
              </m:r>
            </m:sup>
          </m:sSubSup>
          <m:r>
            <m:rPr>
              <m:sty m:val="p"/>
            </m:rPr>
            <m:t>=</m:t>
          </m:r>
          <m:f>
            <m:fPr>
              <m:type m:val="bar"/>
            </m:fPr>
            <m:num>
              <m:r>
                <m:t>1</m:t>
              </m:r>
            </m:num>
            <m:den>
              <m:sSub>
                <m:e>
                  <m:r>
                    <m:t>δ</m:t>
                  </m:r>
                </m:e>
                <m:sub>
                  <m:r>
                    <m:t>h</m:t>
                  </m:r>
                </m:sub>
              </m:sSub>
              <m:sSub>
                <m:e>
                  <m:r>
                    <m:t>τ</m:t>
                  </m:r>
                </m:e>
                <m:sub>
                  <m:r>
                    <m:t>h</m:t>
                  </m:r>
                </m:sub>
              </m:sSub>
            </m:den>
          </m:f>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2</m:t>
              </m:r>
            </m:e>
          </m:d>
        </m:oMath>
      </m:oMathPara>
      <w:bookmarkEnd w:id="34"/>
    </w:p>
    <w:p>
      <w:pPr>
        <w:pStyle w:val="FirstParagraph"/>
      </w:pPr>
      <w:r>
        <w:t xml:space="preserve">Here,</w:t>
      </w:r>
      <w:r>
        <w:t xml:space="preserve"> </w:t>
      </w:r>
      <m:oMath>
        <m:sSub>
          <m:e>
            <m:r>
              <m:t>δ</m:t>
            </m:r>
          </m:e>
          <m:sub>
            <m:r>
              <m:t>h</m:t>
            </m:r>
          </m:sub>
        </m:sSub>
      </m:oMath>
      <w:r>
        <w:t xml:space="preserve"> </w:t>
      </w:r>
      <w:r>
        <w:t xml:space="preserve">is the indicator-specific within-population degree-ratio adjustment: it captures whether domestic workers with indicator</w:t>
      </w:r>
      <w:r>
        <w:t xml:space="preserve"> </w:t>
      </w:r>
      <m:oMath>
        <m:r>
          <m:t>h</m:t>
        </m:r>
      </m:oMath>
      <w:r>
        <w:t xml:space="preserve"> </w:t>
      </w:r>
      <w:r>
        <w:t xml:space="preserve">have, on average, more or fewer within-domestic-worker network ties than domestic workers overall. Values of</w:t>
      </w:r>
      <w:r>
        <w:t xml:space="preserve"> </w:t>
      </w:r>
      <m:oMath>
        <m:sSub>
          <m:e>
            <m:r>
              <m:t>δ</m:t>
            </m:r>
          </m:e>
          <m:sub>
            <m:r>
              <m:t>h</m:t>
            </m:r>
          </m:sub>
        </m:sSub>
        <m:r>
          <m:rPr>
            <m:sty m:val="p"/>
          </m:rPr>
          <m:t>&lt;</m:t>
        </m:r>
        <m:r>
          <m:t>1</m:t>
        </m:r>
      </m:oMath>
      <w:r>
        <w:t xml:space="preserve"> </w:t>
      </w:r>
      <w:r>
        <w:t xml:space="preserve">imply that workers with indicator</w:t>
      </w:r>
      <w:r>
        <w:t xml:space="preserve"> </w:t>
      </w:r>
      <m:oMath>
        <m:r>
          <m:t>h</m:t>
        </m:r>
      </m:oMath>
      <w:r>
        <w:t xml:space="preserve"> </w:t>
      </w:r>
      <w:r>
        <w:t xml:space="preserve">are less connected within the domestic-worker network and would therefore be under-represented in alter reports. The parameter</w:t>
      </w:r>
      <w:r>
        <w:t xml:space="preserve"> </w:t>
      </w:r>
      <m:oMath>
        <m:sSub>
          <m:e>
            <m:r>
              <m:t>τ</m:t>
            </m:r>
          </m:e>
          <m:sub>
            <m:r>
              <m:t>h</m:t>
            </m:r>
          </m:sub>
        </m:sSub>
      </m:oMath>
      <w:r>
        <w:t xml:space="preserve"> </w:t>
      </w:r>
      <w:r>
        <w:t xml:space="preserve">is the indicator-specific true-positive or visibility rate: the probability that an alter who truly has indicator</w:t>
      </w:r>
      <w:r>
        <w:t xml:space="preserve"> </w:t>
      </w:r>
      <m:oMath>
        <m:r>
          <m:t>h</m:t>
        </m:r>
      </m:oMath>
      <w:r>
        <w:t xml:space="preserve"> </w:t>
      </w:r>
      <w:r>
        <w:t xml:space="preserve">is recognised and reported by the respondent as having that indicator. Values of</w:t>
      </w:r>
      <w:r>
        <w:t xml:space="preserve"> </w:t>
      </w:r>
      <m:oMath>
        <m:sSub>
          <m:e>
            <m:r>
              <m:t>τ</m:t>
            </m:r>
          </m:e>
          <m:sub>
            <m:r>
              <m:t>h</m:t>
            </m:r>
          </m:sub>
        </m:sSub>
        <m:r>
          <m:rPr>
            <m:sty m:val="p"/>
          </m:rPr>
          <m:t>&lt;</m:t>
        </m:r>
        <m:r>
          <m:t>1</m:t>
        </m:r>
      </m:oMath>
      <w:r>
        <w:t xml:space="preserve"> </w:t>
      </w:r>
      <w:r>
        <w:t xml:space="preserve">capture under-reporting due to stigma, concealment, limited observability, or social distance.</w:t>
      </w:r>
    </w:p>
    <w:p>
      <w:pPr>
        <w:pStyle w:val="BodyText"/>
      </w:pPr>
      <w:r>
        <w:t xml:space="preserve">Because both the reporting frame and the alter universe are restricted to domestic workers,</w:t>
      </w:r>
      <w:r>
        <w:t xml:space="preserve"> </w:t>
      </w:r>
      <m:oMath>
        <m:sSub>
          <m:e>
            <m:r>
              <m:t>δ</m:t>
            </m:r>
          </m:e>
          <m:sub>
            <m:r>
              <m:t>h</m:t>
            </m:r>
          </m:sub>
        </m:sSub>
      </m:oMath>
      <w:r>
        <w:t xml:space="preserve"> </w:t>
      </w:r>
      <w:r>
        <w:t xml:space="preserve">should not be read as a general-population-to-hidden-population degree ratio. It is instead a within-domestic-worker correction for differential network visibility of workers with indicator</w:t>
      </w:r>
      <w:r>
        <w:t xml:space="preserve"> </w:t>
      </w:r>
      <m:oMath>
        <m:r>
          <m:t>h</m:t>
        </m:r>
      </m:oMath>
      <w:r>
        <w:t xml:space="preserve">. Similarly,</w:t>
      </w:r>
      <w:r>
        <w:t xml:space="preserve"> </w:t>
      </w:r>
      <m:oMath>
        <m:sSub>
          <m:e>
            <m:r>
              <m:t>τ</m:t>
            </m:r>
          </m:e>
          <m:sub>
            <m:r>
              <m:t>h</m:t>
            </m:r>
          </m:sub>
        </m:sSub>
      </m:oMath>
      <w:r>
        <w:t xml:space="preserve"> </w:t>
      </w:r>
      <w:r>
        <w:t xml:space="preserve">captures peer-tie visibility for each exploitation indicator. This distinction is central to the paper’s visibility-gradient diagnostic: when RDS own-experience estimates exceed NSUM alter-report estimates, the difference is interpreted not simply as disagreement between methods, but as evidence that some exploitation behaviours are less visible in peer networks than others (</w:t>
      </w:r>
      <w:hyperlink w:anchor="sec-divergence">
        <w:r>
          <w:rPr>
            <w:rStyle w:val="Hyperlink"/>
          </w:rPr>
          <w:t xml:space="preserve">Section 5.3</w:t>
        </w:r>
      </w:hyperlink>
      <w:r>
        <w:t xml:space="preserve">).</w:t>
      </w:r>
    </w:p>
    <w:p>
      <w:pPr>
        <w:pStyle w:val="BodyText"/>
      </w:pPr>
      <w:r>
        <w:t xml:space="preserve">Our headline NSUM result is the continuous-</w:t>
      </w:r>
      <m:oMath>
        <m:r>
          <m:t>τ</m:t>
        </m:r>
      </m:oMath>
      <w:r>
        <w:t xml:space="preserve"> </w:t>
      </w:r>
      <w:r>
        <w:t xml:space="preserve">sweep: for each indicator, we report prevalence as a function of</w:t>
      </w:r>
      <w:r>
        <w:t xml:space="preserve"> </w:t>
      </w:r>
      <m:oMath>
        <m:sSub>
          <m:e>
            <m:r>
              <m:t>τ</m:t>
            </m:r>
          </m:e>
          <m:sub>
            <m:r>
              <m:t>h</m:t>
            </m:r>
          </m:sub>
        </m:sSub>
        <m:r>
          <m:rPr>
            <m:sty m:val="p"/>
          </m:rPr>
          <m:t>∈</m:t>
        </m:r>
        <m:d>
          <m:dPr>
            <m:begChr m:val="["/>
            <m:sepChr m:val=""/>
            <m:endChr m:val="]"/>
            <m:grow/>
          </m:dPr>
          <m:e>
            <m:r>
              <m:t>0.40</m:t>
            </m:r>
            <m:r>
              <m:rPr>
                <m:sty m:val="p"/>
              </m:rPr>
              <m:t>,</m:t>
            </m:r>
            <m:r>
              <m:t>1.00</m:t>
            </m:r>
          </m:e>
        </m:d>
      </m:oMath>
      <w:r>
        <w:t xml:space="preserve">, in increments of 0.05, with</w:t>
      </w:r>
      <w:r>
        <w:t xml:space="preserve"> </w:t>
      </w:r>
      <m:oMath>
        <m:sSub>
          <m:e>
            <m:r>
              <m:t>δ</m:t>
            </m:r>
          </m:e>
          <m:sub>
            <m:r>
              <m:t>h</m:t>
            </m:r>
          </m:sub>
        </m:sSub>
      </m:oMath>
      <w:r>
        <w:t xml:space="preserve"> </w:t>
      </w:r>
      <w:r>
        <w:t xml:space="preserve">fixed at 0.9 and bootstrap 95% confidence intervals at each value (Appendix Figure A1). For comparison with the discrete-tier NSUM literature</w:t>
      </w:r>
      <w:r>
        <w:t xml:space="preserve"> </w:t>
      </w:r>
      <w:r>
        <w:t xml:space="preserve">(Feehan &amp; Salganik, 2016; Killworth et al., 1998; Maltiel et al., 2015)</w:t>
      </w:r>
      <w:r>
        <w:t xml:space="preserve">, we also report three reference scenarios: Unadjusted</w:t>
      </w:r>
      <w:r>
        <w:t xml:space="preserve"> </w:t>
      </w:r>
      <m:oMath>
        <m:r>
          <m:rPr>
            <m:sty m:val="p"/>
          </m:rPr>
          <m:t>(</m:t>
        </m:r>
        <m:sSub>
          <m:e>
            <m:r>
              <m:t>δ</m:t>
            </m:r>
          </m:e>
          <m:sub>
            <m:r>
              <m:t>h</m:t>
            </m:r>
          </m:sub>
        </m:sSub>
        <m:r>
          <m:rPr>
            <m:sty m:val="p"/>
          </m:rPr>
          <m:t>=</m:t>
        </m:r>
        <m:r>
          <m:t>1.0</m:t>
        </m:r>
        <m:r>
          <m:rPr>
            <m:sty m:val="p"/>
          </m:rPr>
          <m:t>,</m:t>
        </m:r>
        <m:sSub>
          <m:e>
            <m:r>
              <m:t>τ</m:t>
            </m:r>
          </m:e>
          <m:sub>
            <m:r>
              <m:t>h</m:t>
            </m:r>
          </m:sub>
        </m:sSub>
        <m:r>
          <m:rPr>
            <m:sty m:val="p"/>
          </m:rPr>
          <m:t>=</m:t>
        </m:r>
        <m:r>
          <m:t>1.0</m:t>
        </m:r>
      </m:oMath>
      <w:r>
        <w:t xml:space="preserve">), Moderate</w:t>
      </w:r>
      <w:r>
        <w:t xml:space="preserve"> </w:t>
      </w:r>
      <m:oMath>
        <m:d>
          <m:dPr>
            <m:begChr m:val="("/>
            <m:sepChr m:val=""/>
            <m:endChr m:val=")"/>
            <m:grow/>
          </m:dPr>
          <m:e>
            <m:sSub>
              <m:e>
                <m:r>
                  <m:t>δ</m:t>
                </m:r>
              </m:e>
              <m:sub>
                <m:r>
                  <m:t>h</m:t>
                </m:r>
              </m:sub>
            </m:sSub>
            <m:r>
              <m:rPr>
                <m:sty m:val="p"/>
              </m:rPr>
              <m:t>=</m:t>
            </m:r>
            <m:r>
              <m:t>0.9</m:t>
            </m:r>
            <m:r>
              <m:rPr>
                <m:sty m:val="p"/>
              </m:rPr>
              <m:t>,</m:t>
            </m:r>
            <m:sSub>
              <m:e>
                <m:r>
                  <m:t>τ</m:t>
                </m:r>
              </m:e>
              <m:sub>
                <m:r>
                  <m:t>h</m:t>
                </m:r>
              </m:sub>
            </m:sSub>
            <m:r>
              <m:rPr>
                <m:sty m:val="p"/>
              </m:rPr>
              <m:t>=</m:t>
            </m:r>
            <m:r>
              <m:t>0.85</m:t>
            </m:r>
          </m:e>
        </m:d>
      </m:oMath>
      <w:r>
        <w:t xml:space="preserve">, and Conservative</w:t>
      </w:r>
      <w:r>
        <w:t xml:space="preserve"> </w:t>
      </w:r>
      <m:oMath>
        <m:d>
          <m:dPr>
            <m:begChr m:val="("/>
            <m:sepChr m:val=""/>
            <m:endChr m:val=")"/>
            <m:grow/>
          </m:dPr>
          <m:e>
            <m:sSub>
              <m:e>
                <m:r>
                  <m:t>δ</m:t>
                </m:r>
              </m:e>
              <m:sub>
                <m:r>
                  <m:t>h</m:t>
                </m:r>
              </m:sub>
            </m:sSub>
            <m:r>
              <m:rPr>
                <m:sty m:val="p"/>
              </m:rPr>
              <m:t>=</m:t>
            </m:r>
            <m:r>
              <m:t>0.8</m:t>
            </m:r>
            <m:r>
              <m:rPr>
                <m:sty m:val="p"/>
              </m:rPr>
              <m:t>,</m:t>
            </m:r>
            <m:sSub>
              <m:e>
                <m:r>
                  <m:t>τ</m:t>
                </m:r>
              </m:e>
              <m:sub>
                <m:r>
                  <m:t>h</m:t>
                </m:r>
              </m:sub>
            </m:sSub>
            <m:r>
              <m:rPr>
                <m:sty m:val="p"/>
              </m:rPr>
              <m:t>=</m:t>
            </m:r>
            <m:r>
              <m:t>0.70</m:t>
            </m:r>
          </m:e>
        </m:d>
      </m:oMath>
      <w:r>
        <w:t xml:space="preserve">. These scenarios are presented as reference points on the continuous sensitivity curve rather than as separately identified estimates of</w:t>
      </w:r>
      <w:r>
        <w:t xml:space="preserve"> </w:t>
      </w:r>
      <m:oMath>
        <m:sSub>
          <m:e>
            <m:r>
              <m:t>δ</m:t>
            </m:r>
          </m:e>
          <m:sub>
            <m:r>
              <m:t>h</m:t>
            </m:r>
          </m:sub>
        </m:sSub>
      </m:oMath>
      <w:r>
        <w:t xml:space="preserve"> </w:t>
      </w:r>
      <w:r>
        <w:t xml:space="preserve">or</w:t>
      </w:r>
      <w:r>
        <w:t xml:space="preserve"> </w:t>
      </w:r>
      <m:oMath>
        <m:sSub>
          <m:e>
            <m:r>
              <m:t>τ</m:t>
            </m:r>
          </m:e>
          <m:sub>
            <m:r>
              <m:t>h</m:t>
            </m:r>
          </m:sub>
        </m:sSub>
      </m:oMath>
      <w:r>
        <w:t xml:space="preserve">.</w:t>
      </w:r>
    </w:p>
    <w:bookmarkEnd w:id="35"/>
    <w:bookmarkStart w:id="36"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For the prevalence estimates reported here, the assumed total domestic-worker population size</w:t>
      </w:r>
      <w:r>
        <w:t xml:space="preserve"> </w:t>
      </w:r>
      <m:oMath>
        <m:r>
          <m:t>N</m:t>
        </m:r>
      </m:oMath>
      <w:r>
        <w:t xml:space="preserve"> </w:t>
      </w:r>
      <w:r>
        <w:t xml:space="preserve">either cancels algebraically or has a negligible finite-population effect (related to</w:t>
      </w:r>
      <w:r>
        <w:t xml:space="preserve"> </w:t>
      </w:r>
      <m:oMath>
        <m:r>
          <m:t>n</m:t>
        </m:r>
        <m:r>
          <m:rPr>
            <m:sty m:val="p"/>
          </m:rPr>
          <m:t>/</m:t>
        </m:r>
        <m:r>
          <m:t>N</m:t>
        </m:r>
      </m:oMath>
      <w:r>
        <w:t xml:space="preserve"> </w:t>
      </w:r>
      <w:r>
        <w:t xml:space="preserve">which is negligable here) over the range of</w:t>
      </w:r>
      <w:r>
        <w:t xml:space="preserve"> </w:t>
      </w:r>
      <m:oMath>
        <m:r>
          <m:t>N</m:t>
        </m:r>
      </m:oMath>
      <w:r>
        <w:t xml:space="preserve"> </w:t>
      </w:r>
      <w:r>
        <w:t xml:space="preserve">values considered.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the Appendix, Section D.1 (Population Size and the Invariance of Prevalence).</w:t>
      </w:r>
    </w:p>
    <w:bookmarkEnd w:id="36"/>
    <w:bookmarkStart w:id="37"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the Appendix, Section C.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the Appendix.</w:t>
      </w:r>
    </w:p>
    <w:bookmarkEnd w:id="37"/>
    <w:bookmarkEnd w:id="38"/>
    <w:bookmarkStart w:id="59"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Appendix Figure A1);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the Appendix.</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reported quantities in Table 3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5" w:name="sec-descriptive"/>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4"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9" w:name="tbl-rds-diagnostics"/>
          <w:p>
            <w:pPr>
              <w:jc w:val="center"/>
            </w:pPr>
            <w:pPr>
              <w:jc w:val="start"/>
              <w:spacing w:before="200"/>
              <w:pStyle w:val="ImageCaption"/>
            </w:pPr>
            <w:r>
              <w:t xml:space="preserve">Table 4: RDS sampling diagnostics for the analytical sample (n = 85). Computed from the anonymised processed analysis dataset; replication code is available in the OSF repository. See</w:t>
            </w:r>
            <w:r>
              <w:t xml:space="preserve"> </w:t>
            </w:r>
            <w:hyperlink w:anchor="sec-rds-diagnostics">
              <w:r>
                <w:rPr>
                  <w:rStyle w:val="Hyperlink"/>
                </w:rPr>
                <w:t xml:space="preserve">Section 4.1.1</w:t>
              </w:r>
            </w:hyperlink>
            <w:r>
              <w:t xml:space="preserve"> </w:t>
            </w:r>
            <w:r>
              <w:t xml:space="preserve">below and the Appendix (Section D)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rds-diagnostics"/>
          <w:p>
            <w:pPr>
              <w:pStyle w:val="Compact"/>
              <w:jc w:val="center"/>
            </w:pPr>
            <w:r>
              <w:drawing>
                <wp:inline>
                  <wp:extent cx="5334000" cy="1557645"/>
                  <wp:effectExtent b="0" l="0" r="0" t="0"/>
                  <wp:docPr descr="" title="" id="41" name="Picture"/>
                  <a:graphic>
                    <a:graphicData uri="http://schemas.openxmlformats.org/drawingml/2006/picture">
                      <pic:pic>
                        <pic:nvPicPr>
                          <pic:cNvPr descr="figures/rds_diagnostics.png" id="42" name="Picture"/>
                          <pic:cNvPicPr>
                            <a:picLocks noChangeArrowheads="1" noChangeAspect="1"/>
                          </pic:cNvPicPr>
                        </pic:nvPicPr>
                        <pic:blipFill>
                          <a:blip r:embed="rId40"/>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bookmarkEnd w:id="43"/>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(reported in Appendix Section D.8) does not change the rank ordering of indicators.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4"/>
    <w:bookmarkEnd w:id="45"/>
    <w:bookmarkStart w:id="50"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Appendix Table A1).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composite">
        <w:r>
          <w:rPr>
            <w:rStyle w:val="Hyperlink"/>
          </w:rPr>
          <w:t xml:space="preserve">Figure 3</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9" w:name="fig-composite"/>
          <w:p>
            <w:pPr>
              <w:pStyle w:val="Compact"/>
              <w:jc w:val="center"/>
            </w:pPr>
            <w:r>
              <w:drawing>
                <wp:inline>
                  <wp:extent cx="5334000" cy="2370666"/>
                  <wp:effectExtent b="0" l="0" r="0" t="0"/>
                  <wp:docPr descr="" title="" id="47" name="Picture"/>
                  <a:graphic>
                    <a:graphicData uri="http://schemas.openxmlformats.org/drawingml/2006/picture">
                      <pic:pic>
                        <pic:nvPicPr>
                          <pic:cNvPr descr="figures/fig3_composite_risk.png" id="48" name="Picture"/>
                          <pic:cNvPicPr>
                            <a:picLocks noChangeArrowheads="1" noChangeAspect="1"/>
                          </pic:cNvPicPr>
                        </pic:nvPicPr>
                        <pic:blipFill>
                          <a:blip r:embed="rId46"/>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9"/>
        </w:tc>
      </w:tr>
    </w:tbl>
    <w:bookmarkEnd w:id="50"/>
    <w:bookmarkStart w:id="56"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Appendix Figure A2 shows the RDS-SS and RDS-I estimates with per-method bootstrap CIs for visual comparison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0" w:lastRow="0" w:firstColumn="0" w:lastColumn="0" w:noHBand="0" w:noVBand="0" w:val="0000"/>
      </w:tblPr>
      <w:tblGrid>
        <w:gridCol w:w="7920"/>
      </w:tblGrid>
      <w:tr>
        <w:tc>
          <w:tcPr/>
          <w:bookmarkStart w:id="51"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fig-ma-binary"/>
          <w:p>
            <w:pPr>
              <w:pStyle w:val="Compact"/>
              <w:jc w:val="center"/>
            </w:pPr>
            <w:r>
              <w:drawing>
                <wp:inline>
                  <wp:extent cx="5334000" cy="3333750"/>
                  <wp:effectExtent b="0" l="0" r="0" t="0"/>
                  <wp:docPr descr="" title="" id="53" name="Picture"/>
                  <a:graphic>
                    <a:graphicData uri="http://schemas.openxmlformats.org/drawingml/2006/picture">
                      <pic:pic>
                        <pic:nvPicPr>
                          <pic:cNvPr descr="figures/fig4_ma_binary.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5"/>
        </w:tc>
      </w:tr>
    </w:tbl>
    <w:bookmarkEnd w:id="56"/>
    <w:bookmarkStart w:id="57" w:name="sec-supporting-estimates"/>
    <w:p>
      <w:pPr>
        <w:pStyle w:val="Heading2"/>
      </w:pPr>
      <w:r>
        <w:t xml:space="preserve">4.4 Supporting Estimates and Method Comparison</w:t>
      </w:r>
    </w:p>
    <w:p>
      <w:pPr>
        <w:pStyle w:val="FirstParagraph"/>
      </w:pPr>
      <w:r>
        <w:t xml:space="preserve">Three additional families of estimates are reported in full in the Appendix (Section D) for transparency and robustness: (a) The five Bayesian Model-Assisted (MA-RDS) posterior means (Appendix Table A6) range from 34.1% for document withholding to 84.0% for excessive working hours, reproducing the RDS-SS ordering in Table 5. (b) Direct comparison of RDS-I and RDS-SS estimators for each indicator with per-method bootstrap 95% CIs (Appendix Table A4);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Appendix Table A10),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7"/>
    <w:bookmarkStart w:id="58" w:name="sec-sensitivity"/>
    <w:p>
      <w:pPr>
        <w:pStyle w:val="Heading2"/>
      </w:pPr>
      <w:r>
        <w:t xml:space="preserve">4.5 Sensitivity and Robustness</w:t>
      </w:r>
    </w:p>
    <w:p>
      <w:pPr>
        <w:pStyle w:val="FirstParagraph"/>
      </w:pPr>
      <w:r>
        <w:t xml:space="preserve">Three sensitivity analyses are reported in full in the Appendix. First, the continuous-</w:t>
      </w:r>
      <m:oMath>
        <m:r>
          <m:t>τ</m:t>
        </m:r>
      </m:oMath>
      <w:r>
        <w:t xml:space="preserve"> </w:t>
      </w:r>
      <w:r>
        <w:t xml:space="preserve">NSUM sweep (Appendix Figure A1)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(Appendix Figure A4)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8"/>
    <w:bookmarkEnd w:id="59"/>
    <w:bookmarkStart w:id="66" w:name="sec-discussion"/>
    <w:p>
      <w:pPr>
        <w:pStyle w:val="Heading1"/>
      </w:pPr>
      <w:r>
        <w:t xml:space="preserve">5. Discussion</w:t>
      </w:r>
    </w:p>
    <w:bookmarkStart w:id="60"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60"/>
    <w:bookmarkStart w:id="61"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complementary validation channels. (1)</w:t>
      </w:r>
      <w:r>
        <w:t xml:space="preserve"> </w:t>
      </w:r>
      <w:r>
        <w:rPr>
          <w:i/>
          <w:iCs/>
        </w:rPr>
        <w:t xml:space="preserve">Content validity:</w:t>
      </w:r>
      <w:r>
        <w:t xml:space="preserve"> </w:t>
      </w:r>
      <w:r>
        <w:t xml:space="preserve">the indicator set is anchored in the ILO</w:t>
      </w:r>
      <w:r>
        <w:t xml:space="preserve"> </w:t>
      </w:r>
      <w:r>
        <w:t xml:space="preserve">(2012; 2017)</w:t>
      </w:r>
      <w:r>
        <w:t xml:space="preserve"> </w:t>
      </w:r>
      <w:r>
        <w:t xml:space="preserve">framework of forced labour, with the mapping from indicator to survey question documented in</w:t>
      </w:r>
      <w:r>
        <w:t xml:space="preserve"> </w:t>
      </w:r>
      <w:hyperlink w:anchor="sec-survey-instrument">
        <w:r>
          <w:rPr>
            <w:rStyle w:val="Hyperlink"/>
          </w:rPr>
          <w:t xml:space="preserve">Section 3.2</w:t>
        </w:r>
      </w:hyperlink>
      <w:r>
        <w:t xml:space="preserve"> </w:t>
      </w:r>
      <w:r>
        <w:t xml:space="preserve">(</w:t>
      </w:r>
      <w:hyperlink w:anchor="tbl-indicator-mapping">
        <w:r>
          <w:rPr>
            <w:rStyle w:val="Hyperlink"/>
          </w:rPr>
          <w:t xml:space="preserve">Table 1</w:t>
        </w:r>
      </w:hyperlink>
      <w:r>
        <w:t xml:space="preserve">) and the Appendix (Section A). (2)</w:t>
      </w:r>
      <w:r>
        <w:t xml:space="preserve"> </w:t>
      </w:r>
      <w:r>
        <w:rPr>
          <w:i/>
          <w:iCs/>
        </w:rPr>
        <w:t xml:space="preserve">Face validity:</w:t>
      </w:r>
      <w:r>
        <w:t xml:space="preserve"> </w:t>
      </w:r>
      <w:r>
        <w:t xml:space="preserve">the survey instrument was co-developed with the participating civil-society organisations (Kalayaan and the Latin American Women’s Rights Service), whose case-work practice informed item wording and indicator coverage. (3)</w:t>
      </w:r>
      <w:r>
        <w:t xml:space="preserve"> </w:t>
      </w:r>
      <w:r>
        <w:rPr>
          <w:i/>
          <w:iCs/>
        </w:rPr>
        <w:t xml:space="preserve">Convergent and diagnostic validity:</w:t>
      </w:r>
      <w:r>
        <w:t xml:space="preserve"> </w:t>
      </w:r>
      <w:r>
        <w:t xml:space="preserve">the four estimators target related-but-distinct population quantities and nonetheless reproduce the same within-method ordering of indicators across methodologically unrelated approaches (</w:t>
      </w:r>
      <w:hyperlink w:anchor="sec-sensitivity">
        <w:r>
          <w:rPr>
            <w:rStyle w:val="Hyperlink"/>
          </w:rPr>
          <w:t xml:space="preserve">Section 4.5</w:t>
        </w:r>
      </w:hyperlink>
      <w:r>
        <w:t xml:space="preserve">); the order-of-magnitude divergence in absolute level between RDS and NSUM, by contrast, has diagnostic rather than convergent value, telling us about the visibility structure of each behaviour (</w:t>
      </w:r>
      <w:hyperlink w:anchor="sec-divergence">
        <w:r>
          <w:rPr>
            <w:rStyle w:val="Hyperlink"/>
          </w:rPr>
          <w:t xml:space="preserve">Section 5.3</w:t>
        </w:r>
      </w:hyperlink>
      <w:r>
        <w:t xml:space="preserve">). (4)</w:t>
      </w:r>
      <w:r>
        <w:t xml:space="preserve"> </w:t>
      </w:r>
      <w:r>
        <w:rPr>
          <w:i/>
          <w:iCs/>
        </w:rPr>
        <w:t xml:space="preserve">Robustness:</w:t>
      </w:r>
      <w:r>
        <w:t xml:space="preserve"> </w:t>
      </w:r>
      <w:r>
        <w:t xml:space="preserve">the composite-risk ranking is essentially weight-invariant under</w:t>
      </w:r>
      <w:r>
        <w:t xml:space="preserve"> </w:t>
      </w:r>
      <m:oMath>
        <m:r>
          <m:rPr>
            <m:sty m:val="p"/>
          </m:rPr>
          <m:t>±</m:t>
        </m:r>
        <m:r>
          <m:t>50</m:t>
        </m:r>
        <m:r>
          <m:rPr>
            <m:sty m:val="p"/>
          </m:rPr>
          <m:t>%</m:t>
        </m:r>
      </m:oMath>
      <w:r>
        <w:t xml:space="preserve"> </w:t>
      </w:r>
      <w:r>
        <w:t xml:space="preserve">perturbation of the eleven sub-indicator weights (</w:t>
      </w:r>
      <w:hyperlink w:anchor="sec-weights-sensitivity">
        <w:r>
          <w:rPr>
            <w:rStyle w:val="Hyperlink"/>
          </w:rPr>
          <w:t xml:space="preserve">Section 5.5</w:t>
        </w:r>
      </w:hyperlink>
      <w:r>
        <w:t xml:space="preserve">; Spearman</w:t>
      </w:r>
      <w:r>
        <w:t xml:space="preserve"> </w:t>
      </w:r>
      <m:oMath>
        <m:r>
          <m:t>ρ</m:t>
        </m:r>
        <m:r>
          <m:rPr>
            <m:sty m:val="p"/>
          </m:rPr>
          <m:t>=</m:t>
        </m:r>
        <m:r>
          <m:t>0.992</m:t>
        </m:r>
      </m:oMath>
      <w:r>
        <w:t xml:space="preserve">), and the headline NSUM estimates are reported as a continuous function of the unknown true-positive rate</w:t>
      </w:r>
      <w:r>
        <w:t xml:space="preserve"> </w:t>
      </w:r>
      <m:oMath>
        <m:r>
          <m:t>τ</m:t>
        </m:r>
      </m:oMath>
      <w:r>
        <w:t xml:space="preserve"> </w:t>
      </w:r>
      <w:r>
        <w:t xml:space="preserve">rather than committing to a single point (</w:t>
      </w:r>
      <w:hyperlink w:anchor="sec-sensitivity">
        <w:r>
          <w:rPr>
            <w:rStyle w:val="Hyperlink"/>
          </w:rPr>
          <w:t xml:space="preserve">Section 4.5</w:t>
        </w:r>
      </w:hyperlink>
      <w:r>
        <w:t xml:space="preserve">). (5)</w:t>
      </w:r>
      <w:r>
        <w:t xml:space="preserve"> </w:t>
      </w:r>
      <w:r>
        <w:rPr>
          <w:i/>
          <w:iCs/>
        </w:rPr>
        <w:t xml:space="preserve">Limitation:</w:t>
      </w:r>
      <w:r>
        <w:t xml:space="preserve"> </w:t>
      </w:r>
      <w:r>
        <w:t xml:space="preserve">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 xml:space="preserve">Section 5.6</w:t>
        </w:r>
      </w:hyperlink>
      <w:r>
        <w:t xml:space="preserve">).</w:t>
      </w:r>
    </w:p>
    <w:bookmarkEnd w:id="61"/>
    <w:bookmarkStart w:id="62"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a different epistemic status; and on the only one where sample size matters, n = 85 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are less common in this population than less severe forms of abuse (excessive hours, ILO medium). The hierarchy is interpretable, matches the ILO severity gradation, and is reproduced across methods. Collapsing this hierarchy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the Appendix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the Appendix (Section D.5, Figure A1)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2"/>
    <w:bookmarkStart w:id="63"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(Appendix Table A1,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3"/>
    <w:bookmarkStart w:id="64"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the Appendix, Section A).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the Appendix.</w:t>
      </w:r>
    </w:p>
    <w:bookmarkEnd w:id="64"/>
    <w:bookmarkStart w:id="65"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5"/>
    <w:bookmarkEnd w:id="66"/>
    <w:bookmarkStart w:id="67"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7"/>
    <w:bookmarkStart w:id="69" w:name="sec-declarations"/>
    <w:p>
      <w:pPr>
        <w:pStyle w:val="Heading1"/>
      </w:pPr>
      <w:r>
        <w:t xml:space="preserve">7. Declarations</w:t>
      </w:r>
    </w:p>
    <w:p>
      <w:pPr>
        <w:pStyle w:val="FirstParagraph"/>
      </w:pPr>
      <w:r>
        <w:rPr>
          <w:b/>
          <w:bCs/>
        </w:rPr>
        <w:t xml:space="preserve">Funding.</w:t>
      </w:r>
      <w:r>
        <w:t xml:space="preserve"> </w:t>
      </w:r>
      <w:r>
        <w:t xml:space="preserve">The authors received no specific funding for this work.</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68">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9"/>
    <w:bookmarkStart w:id="118" w:name="references"/>
    <w:p>
      <w:pPr>
        <w:pStyle w:val="Heading1"/>
      </w:pPr>
      <w:r>
        <w:t xml:space="preserve">References</w:t>
      </w:r>
    </w:p>
    <w:bookmarkStart w:id="117" w:name="refs"/>
    <w:bookmarkStart w:id="70"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70"/>
    <w:bookmarkStart w:id="71"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1"/>
    <w:bookmarkStart w:id="73"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2">
        <w:r>
          <w:rPr>
            <w:rStyle w:val="Hyperlink"/>
          </w:rPr>
          <w:t xml:space="preserve">https://doi.org/10.1198/jasa.2011.ap09475</w:t>
        </w:r>
      </w:hyperlink>
    </w:p>
    <w:bookmarkEnd w:id="73"/>
    <w:bookmarkStart w:id="75"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4">
        <w:r>
          <w:rPr>
            <w:rStyle w:val="Hyperlink"/>
          </w:rPr>
          <w:t xml:space="preserve">https://doi.org/10.1146/annurev-statistics-031017-100704</w:t>
        </w:r>
      </w:hyperlink>
    </w:p>
    <w:bookmarkEnd w:id="75"/>
    <w:bookmarkStart w:id="76"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6"/>
    <w:bookmarkStart w:id="78"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7">
        <w:r>
          <w:rPr>
            <w:rStyle w:val="Hyperlink"/>
          </w:rPr>
          <w:t xml:space="preserve">https://doi.org/10.1111/rssa.12091</w:t>
        </w:r>
      </w:hyperlink>
    </w:p>
    <w:bookmarkEnd w:id="78"/>
    <w:bookmarkStart w:id="80"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9">
        <w:r>
          <w:rPr>
            <w:rStyle w:val="Hyperlink"/>
          </w:rPr>
          <w:t xml:space="preserve">https://doi.org/10.1073/pnas.1000261107</w:t>
        </w:r>
      </w:hyperlink>
    </w:p>
    <w:bookmarkEnd w:id="80"/>
    <w:bookmarkStart w:id="82"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81">
        <w:r>
          <w:rPr>
            <w:rStyle w:val="Hyperlink"/>
          </w:rPr>
          <w:t xml:space="preserve">https://doi.org/10.1214/14-EJS923</w:t>
        </w:r>
      </w:hyperlink>
    </w:p>
    <w:bookmarkEnd w:id="82"/>
    <w:bookmarkStart w:id="84"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3">
        <w:r>
          <w:rPr>
            <w:rStyle w:val="Hyperlink"/>
          </w:rPr>
          <w:t xml:space="preserve">https://doi.org/10.2307/3096941</w:t>
        </w:r>
      </w:hyperlink>
    </w:p>
    <w:bookmarkEnd w:id="84"/>
    <w:bookmarkStart w:id="85"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5"/>
    <w:bookmarkStart w:id="86"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6"/>
    <w:bookmarkStart w:id="88"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7">
        <w:r>
          <w:rPr>
            <w:rStyle w:val="Hyperlink"/>
          </w:rPr>
          <w:t xml:space="preserve">https://www.ilo.org/publications/ilo-indicators-forced-labour</w:t>
        </w:r>
      </w:hyperlink>
    </w:p>
    <w:bookmarkEnd w:id="88"/>
    <w:bookmarkStart w:id="90" w:name="X4ffa2d6c1ea127ab2e45300f94330b7356d213f"/>
    <w:p>
      <w:pPr>
        <w:pStyle w:val="Bibliography"/>
      </w:pPr>
      <w:r>
        <w:t xml:space="preserve">International Labour Organization, &amp; Walk Free Foundation. (2017).</w:t>
      </w:r>
      <w:r>
        <w:t xml:space="preserve"> </w:t>
      </w:r>
      <w:r>
        <w:rPr>
          <w:i/>
          <w:iCs/>
        </w:rPr>
        <w:t xml:space="preserve">Global estimates of modern slavery: Forced labour and forced marriage</w:t>
      </w:r>
      <w:r>
        <w:t xml:space="preserve">.</w:t>
      </w:r>
      <w:r>
        <w:t xml:space="preserve"> </w:t>
      </w:r>
      <w:hyperlink r:id="rId89">
        <w:r>
          <w:rPr>
            <w:rStyle w:val="Hyperlink"/>
          </w:rPr>
          <w:t xml:space="preserve">https://assets.publishing.service.gov.uk/government/uploads/system/uploads/attachment_data/file/649906/Transparency_in_Supply_Chains_A_Practical_Guide_2017.pdf</w:t>
        </w:r>
      </w:hyperlink>
    </w:p>
    <w:bookmarkEnd w:id="90"/>
    <w:bookmarkStart w:id="91"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91"/>
    <w:bookmarkStart w:id="92"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2"/>
    <w:bookmarkStart w:id="93" w:name="ref-kala08-new"/>
    <w:p>
      <w:pPr>
        <w:pStyle w:val="Bibliography"/>
      </w:pPr>
      <w:r>
        <w:t xml:space="preserve">Kalayaan. (2008).</w:t>
      </w:r>
      <w:r>
        <w:t xml:space="preserve"> </w:t>
      </w:r>
      <w:r>
        <w:rPr>
          <w:i/>
          <w:iCs/>
        </w:rPr>
        <w:t xml:space="preserve">The new bonded labour?</w:t>
      </w:r>
    </w:p>
    <w:bookmarkEnd w:id="93"/>
    <w:bookmarkStart w:id="95"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4">
        <w:r>
          <w:rPr>
            <w:rStyle w:val="Hyperlink"/>
          </w:rPr>
          <w:t xml:space="preserve">https://doi.org/10.1016/S0378-8733(96)00305-X</w:t>
        </w:r>
      </w:hyperlink>
    </w:p>
    <w:bookmarkEnd w:id="95"/>
    <w:bookmarkStart w:id="97"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6">
        <w:r>
          <w:rPr>
            <w:rStyle w:val="Hyperlink"/>
          </w:rPr>
          <w:t xml:space="preserve">https://doi.org/10.1214/15-AOAS827</w:t>
        </w:r>
      </w:hyperlink>
    </w:p>
    <w:bookmarkEnd w:id="97"/>
    <w:bookmarkStart w:id="98"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8"/>
    <w:bookmarkStart w:id="100"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99">
        <w:r>
          <w:rPr>
            <w:rStyle w:val="Hyperlink"/>
          </w:rPr>
          <w:t xml:space="preserve">https://doi.org/10.1097/EDE.0b013e31823ac17c</w:t>
        </w:r>
      </w:hyperlink>
    </w:p>
    <w:bookmarkEnd w:id="100"/>
    <w:bookmarkStart w:id="102"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101">
        <w:r>
          <w:rPr>
            <w:rStyle w:val="Hyperlink"/>
          </w:rPr>
          <w:t xml:space="preserve">https://labourexploitation.org/app/uploads/2025/06/Flex-Report-Blueprint-for-safer-and-fairer-migration-for-low-paid-work_final_30_June-.pdf</w:t>
        </w:r>
      </w:hyperlink>
    </w:p>
    <w:bookmarkEnd w:id="102"/>
    <w:bookmarkStart w:id="103"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3"/>
    <w:bookmarkStart w:id="104"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4"/>
    <w:bookmarkStart w:id="105"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5"/>
    <w:bookmarkStart w:id="106" w:name="ref-thompson_new_2020"/>
    <w:p>
      <w:pPr>
        <w:pStyle w:val="Bibliography"/>
      </w:pPr>
      <w:r>
        <w:t xml:space="preserve">Thompson, S. (2020).</w:t>
      </w:r>
      <w:r>
        <w:t xml:space="preserve"> </w:t>
      </w:r>
      <w:r>
        <w:rPr>
          <w:i/>
          <w:iCs/>
        </w:rPr>
        <w:t xml:space="preserve">New estimates for network sampling</w:t>
      </w:r>
      <w:r>
        <w:t xml:space="preserve">.</w:t>
      </w:r>
    </w:p>
    <w:bookmarkEnd w:id="106"/>
    <w:bookmarkStart w:id="108"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7">
        <w:r>
          <w:rPr>
            <w:rStyle w:val="Hyperlink"/>
          </w:rPr>
          <w:t xml:space="preserve">https://doi.org/10.1080/01621459.2016.1212712</w:t>
        </w:r>
      </w:hyperlink>
    </w:p>
    <w:bookmarkEnd w:id="108"/>
    <w:bookmarkStart w:id="109"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09"/>
    <w:bookmarkStart w:id="110"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10"/>
    <w:bookmarkStart w:id="112"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11">
        <w:r>
          <w:rPr>
            <w:rStyle w:val="Hyperlink"/>
          </w:rPr>
          <w:t xml:space="preserve">https://doi.org/10.1093/jssam/smab057</w:t>
        </w:r>
      </w:hyperlink>
    </w:p>
    <w:bookmarkEnd w:id="112"/>
    <w:bookmarkStart w:id="113"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3"/>
    <w:bookmarkStart w:id="115"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4">
        <w:r>
          <w:rPr>
            <w:rStyle w:val="Hyperlink"/>
          </w:rPr>
          <w:t xml:space="preserve">https://doi.org/10.1007/s10611-012-9363-y</w:t>
        </w:r>
      </w:hyperlink>
    </w:p>
    <w:bookmarkEnd w:id="115"/>
    <w:bookmarkStart w:id="116"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hyperlink" Id="rId89" Target="https://assets.publishing.service.gov.uk/government/uploads/system/uploads/attachment_data/file/649906/Transparency_in_Supply_Chains_A_Practical_Guide_2017.pdf" TargetMode="External" /><Relationship Type="http://schemas.openxmlformats.org/officeDocument/2006/relationships/hyperlink" Id="rId114" Target="https://doi.org/10.1007/s10611-012-9363-y" TargetMode="External" /><Relationship Type="http://schemas.openxmlformats.org/officeDocument/2006/relationships/hyperlink" Id="rId94"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7" Target="https://doi.org/10.1080/01621459.2016.1212712" TargetMode="External" /><Relationship Type="http://schemas.openxmlformats.org/officeDocument/2006/relationships/hyperlink" Id="rId111" Target="https://doi.org/10.1093/jssam/smab057" TargetMode="External" /><Relationship Type="http://schemas.openxmlformats.org/officeDocument/2006/relationships/hyperlink" Id="rId99"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6"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1"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7"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89" Target="https://assets.publishing.service.gov.uk/government/uploads/system/uploads/attachment_data/file/649906/Transparency_in_Supply_Chains_A_Practical_Guide_2017.pdf" TargetMode="External" /><Relationship Type="http://schemas.openxmlformats.org/officeDocument/2006/relationships/hyperlink" Id="rId114" Target="https://doi.org/10.1007/s10611-012-9363-y" TargetMode="External" /><Relationship Type="http://schemas.openxmlformats.org/officeDocument/2006/relationships/hyperlink" Id="rId94"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7" Target="https://doi.org/10.1080/01621459.2016.1212712" TargetMode="External" /><Relationship Type="http://schemas.openxmlformats.org/officeDocument/2006/relationships/hyperlink" Id="rId111" Target="https://doi.org/10.1093/jssam/smab057" TargetMode="External" /><Relationship Type="http://schemas.openxmlformats.org/officeDocument/2006/relationships/hyperlink" Id="rId99"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6"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1"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7"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dcterms:created xsi:type="dcterms:W3CDTF">2026-07-05T13:44:04Z</dcterms:created>
  <dcterms:modified xsi:type="dcterms:W3CDTF">2026-07-05T13:44:04Z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30 June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