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6.png" ContentType="image/png"/>
  <Override PartName="/word/media/rId5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04 July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defined in UK law as an umbrella term which includes slavery, servitude, forced labour, and human trafficking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2025)</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formative indicator framework rather than a binary condition. The ILO’s eleven indicators of forced labour</w:t>
      </w:r>
      <w:r>
        <w:t xml:space="preserve"> </w:t>
      </w:r>
      <w:r>
        <w:t xml:space="preserve">(International Labour Organization, 2012, 2025)</w:t>
      </w:r>
      <w:r>
        <w:t xml:space="preserve"> </w:t>
      </w:r>
      <w:r>
        <w:t xml:space="preserve">provide the operational anchor, and the ILO’s survey-guidelines handbook</w:t>
      </w:r>
      <w:r>
        <w:t xml:space="preserve"> </w:t>
      </w:r>
      <w:r>
        <w:t xml:space="preserve">(International Labour Organization, 2024)</w:t>
      </w:r>
      <w:r>
        <w:t xml:space="preserve"> </w:t>
      </w:r>
      <w:r>
        <w:t xml:space="preserve">distinguishes</w:t>
      </w:r>
      <w:r>
        <w:t xml:space="preserve"> </w:t>
      </w:r>
      <w:r>
        <w:t xml:space="preserve">‘strong’</w:t>
      </w:r>
      <w:r>
        <w:t xml:space="preserve"> </w:t>
      </w:r>
      <w:r>
        <w:t xml:space="preserve">indicators (retention of identity documents, intimidation and threats, physical and sexual violence — any one of which is generally sufficient on its own to identify forced labour in survey settings) from</w:t>
      </w:r>
      <w:r>
        <w:t xml:space="preserve"> </w:t>
      </w:r>
      <w:r>
        <w:t xml:space="preserve">‘medium’</w:t>
      </w:r>
      <w:r>
        <w:t xml:space="preserve"> </w:t>
      </w:r>
      <w:r>
        <w:t xml:space="preserve">indicators (multiple typically required). This severity ordering lets a single survey instrument capture exploitation across the full range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2025)</w:t>
      </w:r>
      <w:r>
        <w:t xml:space="preserve"> </w:t>
      </w:r>
      <w:r>
        <w:t xml:space="preserve">provide the canonical operational framework for measuring modern slavery. The ILO’s own survey-guidelines handbook</w:t>
      </w:r>
      <w:r>
        <w:t xml:space="preserve"> </w:t>
      </w:r>
      <w:r>
        <w:t xml:space="preserve">(International Labour Organization, 2024)</w:t>
      </w:r>
      <w:r>
        <w:t xml:space="preserve"> </w:t>
      </w:r>
      <w:r>
        <w:t xml:space="preserve">distinguishes two operational categories for use in forced-labour surveys:</w:t>
      </w:r>
      <w:r>
        <w:t xml:space="preserve"> </w:t>
      </w:r>
      <w:r>
        <w:t xml:space="preserve">‘strong’</w:t>
      </w:r>
      <w:r>
        <w:t xml:space="preserve"> </w:t>
      </w:r>
      <w:r>
        <w:t xml:space="preserve">indicators (intimidation and threats, physical and sexual violence, retention of identity documents) any one of which is generally sufficient on its own to identify a survey respondent as in forced labour, and</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 whose evidentiary weight for survey-based identification typically requires more than one to be present. We adopt this severity ordering — as it appears in the ILO survey-guidelines handbook rather than the shorter operational-indicators publications</w:t>
      </w:r>
      <w:r>
        <w:t xml:space="preserve"> </w:t>
      </w:r>
      <w:r>
        <w:t xml:space="preserve">(International Labour Organization, 2012, 2025)</w:t>
      </w:r>
      <w:r>
        <w:t xml:space="preserve">, which list the eleven without ranking them — to organise the reporting of the five binary indicators below and to structure the reporting of the composite risk index. We measure five indicators across the ordering,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specific bundling of ILO indicators into these five binary measures (e.g., combining intimidation/threats with physical and sexual violence into a single</w:t>
      </w:r>
      <w:r>
        <w:t xml:space="preserve"> </w:t>
      </w:r>
      <w:r>
        <w:t xml:space="preserve">‘threats and abuse’</w:t>
      </w:r>
      <w:r>
        <w:t xml:space="preserve"> </w:t>
      </w:r>
      <w:r>
        <w:t xml:space="preserve">indicator) is our analytical choice, informed by the qualitative and civil-society literature on UK migrant domestic workers</w:t>
      </w:r>
      <w:r>
        <w:t xml:space="preserve"> </w:t>
      </w:r>
      <w:r>
        <w:t xml:space="preserve">(Kalayaan, 2008; Mantouvalou, 2016; Service, 2023; Yilmaz &amp; Emberson, 2023)</w:t>
      </w:r>
      <w:r>
        <w:t xml:space="preserve">, not a mapping the ILO itself publishes.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Appendix Table A1,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Appendix Table A1 for per-category weights). It is constructed as a formative additive composite: an individual is exposed to exploitation if any of the indicators is present, and the indicators are constitutive rather than reflective of an underlying severity. Polarity is uniform across categories.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the Appendix, Section A, for full construction).</w:t>
      </w:r>
    </w:p>
    <w:bookmarkEnd w:id="21"/>
    <w:bookmarkEnd w:id="22"/>
    <w:bookmarkStart w:id="38"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the Appendix, Section D.7).</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 2025)</w:t>
      </w:r>
      <w:r>
        <w:t xml:space="preserve"> </w:t>
      </w:r>
      <w:r>
        <w:t xml:space="preserve">and the associated survey-guidelines handbook</w:t>
      </w:r>
      <w:r>
        <w:t xml:space="preserve"> </w:t>
      </w:r>
      <w:r>
        <w:t xml:space="preserve">(International Labour Organization, 2024)</w:t>
      </w:r>
      <w:r>
        <w:t xml:space="preserve">.</w:t>
      </w:r>
      <w:r>
        <w:t xml:space="preserve"> </w:t>
      </w:r>
      <w:r>
        <w:t xml:space="preserve">The eleven ILO indicators of forced labour</w:t>
      </w:r>
      <w:r>
        <w:t xml:space="preserve"> </w:t>
      </w:r>
      <w:r>
        <w:t xml:space="preserve">(International Labour Organization, 2012, 2025)</w:t>
      </w:r>
      <w:r>
        <w:t xml:space="preserve"> </w:t>
      </w:r>
      <w:r>
        <w:t xml:space="preserve">provide the operational framework for our measurement strategy; the medium/strong severity ordering used to organise the indicators follows the ILO handbook on forced-labour surveys</w:t>
      </w:r>
      <w:r>
        <w:t xml:space="preserve"> </w:t>
      </w:r>
      <w:r>
        <w:t xml:space="preserve">(International Labour Organization, 2024)</w:t>
      </w:r>
      <w:r>
        <w:t xml:space="preserve">.</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The medium/strong severity classification in column 2 follows the ILO handbook on forced-labour surveys</w:t>
            </w:r>
            <w:r>
              <w:t xml:space="preserve"> </w:t>
            </w:r>
            <w:r>
              <w:t xml:space="preserve">(International Labour Organization, 2024)</w:t>
            </w:r>
            <w:r>
              <w:t xml:space="preserve">; the shorter operational-indicators publications</w:t>
            </w:r>
            <w:r>
              <w:t xml:space="preserve"> </w:t>
            </w:r>
            <w:r>
              <w:t xml:space="preserve">(International Labour Organization, 2012, 2025)</w:t>
            </w:r>
            <w:r>
              <w:t xml:space="preserve"> </w:t>
            </w:r>
            <w:r>
              <w:t xml:space="preserve">list the eleven indicators without publishing this severity ranking. Full per-category weight values are given in Appendix Table A1. Source: Authors’ construction following ILO</w:t>
            </w:r>
            <w:r>
              <w:t xml:space="preserve"> </w:t>
            </w:r>
            <w:r>
              <w:t xml:space="preserve">(2012, 2024, 2025)</w:t>
            </w:r>
            <w:r>
              <w:t xml:space="preserve">.</w:t>
            </w:r>
          </w:p>
          <w:tbl>
            <w:tblPr>
              <w:tblStyle w:val="Table"/>
              <w:tblW w:type="pct" w:w="5000"/>
              <w:tblLayout w:type="fixed"/>
              <w:tblLook w:firstRow="1" w:lastRow="0" w:firstColumn="0" w:lastColumn="0" w:noHBand="0" w:noVBand="0" w:val="0020"/>
            </w:tblPr>
            <w:tblGrid>
              <w:gridCol w:w="288"/>
              <w:gridCol w:w="2808"/>
              <w:gridCol w:w="720"/>
              <w:gridCol w:w="1872"/>
              <w:gridCol w:w="792"/>
              <w:gridCol w:w="1440"/>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the Appendix (Sections A and B) for details of these survey questions and the construction of comparable ego- and alter-based indicators.</w:t>
      </w:r>
    </w:p>
    <w:bookmarkEnd w:id="25"/>
    <w:bookmarkStart w:id="31"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sample-char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fig1_recruitment_network.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5" w:name="sec-estimation-framework"/>
    <w:p>
      <w:pPr>
        <w:pStyle w:val="Heading2"/>
      </w:pPr>
      <w:r>
        <w:t xml:space="preserve">3.4 Estimation Framework</w:t>
      </w:r>
    </w:p>
    <w:p>
      <w:pPr>
        <w:pStyle w:val="FirstParagraph"/>
      </w:pPr>
      <w:r>
        <w:t xml:space="preserve">Before describing each estimator in turn,</w:t>
      </w:r>
      <w:r>
        <w:t xml:space="preserve"> </w:t>
      </w:r>
      <w:hyperlink w:anchor="tbl-estimands">
        <w:r>
          <w:rPr>
            <w:rStyle w:val="Hyperlink"/>
          </w:rPr>
          <w:t xml:space="preserve">Table 3</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type="pct" w:w="5000"/>
        <w:tblLayout w:type="fixed"/>
        <w:tblLook w:firstRow="0" w:lastRow="0" w:firstColumn="0" w:lastColumn="0" w:noHBand="0" w:noVBand="0" w:val="0000"/>
      </w:tblPr>
      <w:tblGrid>
        <w:gridCol w:w="7920"/>
      </w:tblGrid>
      <w:tr>
        <w:tc>
          <w:tcPr/>
          <w:bookmarkStart w:id="32"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56"/>
              <w:gridCol w:w="2189"/>
              <w:gridCol w:w="2351"/>
              <w:gridCol w:w="2621"/>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2"/>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the Appendix).</w:t>
      </w:r>
    </w:p>
    <w:p>
      <w:pPr>
        <w:pStyle w:val="BodyText"/>
      </w:pPr>
      <w:r>
        <w:rPr>
          <w:i/>
          <w:iCs/>
        </w:rPr>
        <w:t xml:space="preserve">Within-Population Scale-Up Estimation (NSUM):</w:t>
      </w:r>
      <w:r>
        <w:t xml:space="preserve"> </w:t>
      </w:r>
      <w:r>
        <w:t xml:space="preserve">We employ the Modified Basic Scale-Up (MBSU) logic of</w:t>
      </w:r>
      <w:r>
        <w:t xml:space="preserve"> </w:t>
      </w:r>
      <w:r>
        <w:t xml:space="preserve">Feehan &amp; Salganik (2016)</w:t>
      </w:r>
      <w:r>
        <w:t xml:space="preserve"> </w:t>
      </w:r>
      <w:r>
        <w:t xml:space="preserve">in a non-standard, within-population configuration. In standard NSUM, respondents are usually sampled from a frame population and report how many people they know in a hidden population. Here, by contrast, respondents are themselves UK migrant domestic workers and report on other UK migrant domestic workers they know. We therefore treat the design as a</w:t>
      </w:r>
      <w:r>
        <w:t xml:space="preserve"> </w:t>
      </w:r>
      <w:r>
        <w:rPr>
          <w:i/>
          <w:iCs/>
        </w:rPr>
        <w:t xml:space="preserve">within-population scale-up</w:t>
      </w:r>
      <w:r>
        <w:t xml:space="preserve"> </w:t>
      </w:r>
      <w:r>
        <w:t xml:space="preserve">or</w:t>
      </w:r>
      <w:r>
        <w:t xml:space="preserve"> </w:t>
      </w:r>
      <w:r>
        <w:rPr>
          <w:i/>
          <w:iCs/>
        </w:rPr>
        <w:t xml:space="preserve">alter-report network prevalence</w:t>
      </w:r>
      <w:r>
        <w:t xml:space="preserve"> </w:t>
      </w:r>
      <w:r>
        <w:t xml:space="preserve">design: the target quantity is not the absolute size of the hidden population, but the network-visible prevalence of exploitation indicators among domestic-worker alters in respondents’ personal networks. This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Let</w:t>
      </w:r>
      <w:r>
        <w:t xml:space="preserve"> </w:t>
      </w:r>
      <m:oMath>
        <m:sSub>
          <m:e>
            <m:r>
              <m:t>H</m:t>
            </m:r>
          </m:e>
          <m:sub>
            <m:r>
              <m:t>h</m:t>
            </m:r>
          </m:sub>
        </m:sSub>
      </m:oMath>
      <w:r>
        <w:t xml:space="preserve"> </w:t>
      </w:r>
      <w:r>
        <w:t xml:space="preserve">denote the subset of domestic-worker alters who truly have exploitation indicator</w:t>
      </w:r>
      <w:r>
        <w:t xml:space="preserve"> </w:t>
      </w:r>
      <m:oMath>
        <m:r>
          <m:t>h</m:t>
        </m:r>
      </m:oMath>
      <w:r>
        <w:t xml:space="preserve">, and let</w:t>
      </w:r>
      <w:r>
        <w:t xml:space="preserve"> </w:t>
      </w:r>
      <m:oMath>
        <m:r>
          <m:t>F</m:t>
        </m:r>
      </m:oMath>
      <w:r>
        <w:t xml:space="preserve"> </w:t>
      </w:r>
      <w:r>
        <w:t xml:space="preserve">denote the domestic-worker alter universe induced by the survey’s tie definition (the</w:t>
      </w:r>
      <w:r>
        <w:t xml:space="preserve"> </w:t>
      </w:r>
      <w:r>
        <w:rPr>
          <w:i/>
          <w:iCs/>
        </w:rPr>
        <w:t xml:space="preserve">frame</w:t>
      </w:r>
      <w:r>
        <w:t xml:space="preserve">). For respondent</w:t>
      </w:r>
      <w:r>
        <w:t xml:space="preserve"> </w:t>
      </w:r>
      <m:oMath>
        <m:r>
          <m:t>i</m:t>
        </m:r>
      </m:oMath>
      <w:r>
        <w:t xml:space="preserve">, let</w:t>
      </w:r>
      <w:r>
        <w:t xml:space="preserve"> </w:t>
      </w:r>
      <m:oMath>
        <m:sSub>
          <m:e>
            <m:r>
              <m:t>y</m:t>
            </m:r>
          </m:e>
          <m:sub>
            <m:r>
              <m:t>i</m:t>
            </m:r>
            <m:r>
              <m:t>h</m:t>
            </m:r>
          </m:sub>
        </m:sSub>
      </m:oMath>
      <w:r>
        <w:t xml:space="preserve"> </w:t>
      </w:r>
      <w:r>
        <w:t xml:space="preserve">be the reported number of known domestic-worker alters with indicator</w:t>
      </w:r>
      <w:r>
        <w:t xml:space="preserve"> </w:t>
      </w:r>
      <m:oMath>
        <m:r>
          <m:t>h</m:t>
        </m:r>
      </m:oMath>
      <w:r>
        <w:t xml:space="preserve">, and let</w:t>
      </w:r>
      <w:r>
        <w:t xml:space="preserve"> </w:t>
      </w:r>
      <m:oMath>
        <m:sSubSup>
          <m:e>
            <m:r>
              <m:t>d</m:t>
            </m:r>
          </m:e>
          <m:sub>
            <m:r>
              <m:t>i</m:t>
            </m:r>
          </m:sub>
          <m:sup>
            <m:r>
              <m:t>D</m:t>
            </m:r>
            <m:r>
              <m:t>W</m:t>
            </m:r>
          </m:sup>
        </m:sSubSup>
      </m:oMath>
      <w:r>
        <w:t xml:space="preserve"> </w:t>
      </w:r>
      <w:r>
        <w:t xml:space="preserve">be respondent</w:t>
      </w:r>
      <w:r>
        <w:t xml:space="preserve"> </w:t>
      </w:r>
      <m:oMath>
        <m:r>
          <m:t>i</m:t>
        </m:r>
      </m:oMath>
      <w:r>
        <w:t xml:space="preserve">’s reported number of known UK migrant domestic workers. The quantity</w:t>
      </w:r>
      <w:r>
        <w:t xml:space="preserve"> </w:t>
      </w:r>
      <m:oMath>
        <m:sSubSup>
          <m:e>
            <m:r>
              <m:t>d</m:t>
            </m:r>
          </m:e>
          <m:sub>
            <m:r>
              <m:t>i</m:t>
            </m:r>
          </m:sub>
          <m:sup>
            <m:r>
              <m:t>D</m:t>
            </m:r>
            <m:r>
              <m:t>W</m:t>
            </m:r>
          </m:sup>
        </m:sSubSup>
      </m:oMath>
      <w:r>
        <w:t xml:space="preserve"> </w:t>
      </w:r>
      <w:r>
        <w:t xml:space="preserve">is therefore a domestic-worker alter degree: it is the denominator for the alter reports</w:t>
      </w:r>
      <w:r>
        <w:t xml:space="preserve"> </w:t>
      </w:r>
      <m:oMath>
        <m:sSub>
          <m:e>
            <m:r>
              <m:t>y</m:t>
            </m:r>
          </m:e>
          <m:sub>
            <m:r>
              <m:t>i</m:t>
            </m:r>
            <m:r>
              <m:t>h</m:t>
            </m:r>
          </m:sub>
        </m:sSub>
      </m:oMath>
      <w:r>
        <w:t xml:space="preserve">, not respondent</w:t>
      </w:r>
      <w:r>
        <w:t xml:space="preserve"> </w:t>
      </w:r>
      <m:oMath>
        <m:r>
          <m:t>i</m:t>
        </m:r>
      </m:oMath>
      <w:r>
        <w:t xml:space="preserve">’s total personal network size in the usual NSUM sense.</w:t>
      </w:r>
    </w:p>
    <w:p>
      <w:pPr>
        <w:pStyle w:val="BodyText"/>
      </w:pPr>
      <w:r>
        <w:t xml:space="preserve">The unadjusted within-population NSUM estimator is</w:t>
      </w:r>
    </w:p>
    <w:p>
      <w:pPr>
        <w:pStyle w:val="BodyText"/>
      </w:pPr>
      <w:bookmarkStart w:id="33" w:name="eq-1"/>
      <m:oMathPara>
        <m:oMathParaPr>
          <m:jc m:val="center"/>
        </m:oMathParaPr>
        <m:oMath>
          <m:sSubSup>
            <m:e>
              <m:acc>
                <m:accPr>
                  <m:chr m:val="̂"/>
                </m:accPr>
                <m:e>
                  <m:r>
                    <m:t>p</m:t>
                  </m:r>
                </m:e>
              </m:acc>
            </m:e>
            <m:sub>
              <m:r>
                <m:t>h</m:t>
              </m:r>
            </m:sub>
            <m:sup>
              <m:r>
                <m:t>N</m:t>
              </m:r>
              <m:r>
                <m:t>S</m:t>
              </m:r>
              <m:r>
                <m:t>U</m:t>
              </m:r>
              <m:r>
                <m:t>M</m:t>
              </m:r>
            </m:sup>
          </m:sSubSup>
          <m:r>
            <m:rPr>
              <m:sty m:val="p"/>
            </m:rPr>
            <m:t>=</m:t>
          </m:r>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1</m:t>
              </m:r>
            </m:e>
          </m:d>
        </m:oMath>
      </m:oMathPara>
      <w:bookmarkEnd w:id="33"/>
    </w:p>
    <w:p>
      <w:pPr>
        <w:pStyle w:val="FirstParagraph"/>
      </w:pPr>
      <w:r>
        <w:t xml:space="preserve">where</w:t>
      </w:r>
      <w:r>
        <w:t xml:space="preserve"> </w:t>
      </w:r>
      <m:oMath>
        <m:sSub>
          <m:e>
            <m:r>
              <m:t>w</m:t>
            </m:r>
          </m:e>
          <m:sub>
            <m:r>
              <m:t>i</m:t>
            </m:r>
          </m:sub>
        </m:sSub>
      </m:oMath>
      <w:r>
        <w:t xml:space="preserve"> </w:t>
      </w:r>
      <w:r>
        <w:t xml:space="preserve">is the RDS-derived survey weight. This estimator is a weighted alter-level proportion: it estimates the share of reported domestic-worker alters who are reported to have indicator</w:t>
      </w:r>
      <w:r>
        <w:t xml:space="preserve"> </w:t>
      </w:r>
      <m:oMath>
        <m:r>
          <m:t>h</m:t>
        </m:r>
      </m:oMath>
      <w:r>
        <w:t xml:space="preserve">. It should therefore be interpreted as a measure of</w:t>
      </w:r>
      <w:r>
        <w:t xml:space="preserve"> </w:t>
      </w:r>
      <w:r>
        <w:rPr>
          <w:i/>
          <w:iCs/>
        </w:rPr>
        <w:t xml:space="preserve">network-visible prevalence</w:t>
      </w:r>
      <w:r>
        <w:t xml:space="preserve"> </w:t>
      </w:r>
      <w:r>
        <w:t xml:space="preserve">among domestic-worker alters, rather than as a direct estimate of own-experience prevalence among respondents.</w:t>
      </w:r>
    </w:p>
    <w:p>
      <w:pPr>
        <w:pStyle w:val="BodyText"/>
      </w:pPr>
      <w:r>
        <w:t xml:space="preserve">The MBSU-adjusted prevalence is then</w:t>
      </w:r>
    </w:p>
    <w:p>
      <w:pPr>
        <w:pStyle w:val="BodyText"/>
      </w:pPr>
      <w:bookmarkStart w:id="34" w:name="eq-2"/>
      <m:oMathPara>
        <m:oMathParaPr>
          <m:jc m:val="center"/>
        </m:oMathParaPr>
        <m:oMath>
          <m:sSubSup>
            <m:e>
              <m:acc>
                <m:accPr>
                  <m:chr m:val="̂"/>
                </m:accPr>
                <m:e>
                  <m:r>
                    <m:t>p</m:t>
                  </m:r>
                </m:e>
              </m:acc>
            </m:e>
            <m:sub>
              <m:r>
                <m:t>h</m:t>
              </m:r>
            </m:sub>
            <m:sup>
              <m:r>
                <m:t>M</m:t>
              </m:r>
              <m:r>
                <m:t>B</m:t>
              </m:r>
              <m:r>
                <m:t>S</m:t>
              </m:r>
              <m:r>
                <m:t>U</m:t>
              </m:r>
            </m:sup>
          </m:sSubSup>
          <m:r>
            <m:rPr>
              <m:sty m:val="p"/>
            </m:rPr>
            <m:t>=</m:t>
          </m:r>
          <m:f>
            <m:fPr>
              <m:type m:val="bar"/>
            </m:fPr>
            <m:num>
              <m:r>
                <m:t>1</m:t>
              </m:r>
            </m:num>
            <m:den>
              <m:sSub>
                <m:e>
                  <m:r>
                    <m:t>δ</m:t>
                  </m:r>
                </m:e>
                <m:sub>
                  <m:r>
                    <m:t>h</m:t>
                  </m:r>
                </m:sub>
              </m:sSub>
              <m:sSub>
                <m:e>
                  <m:r>
                    <m:t>τ</m:t>
                  </m:r>
                </m:e>
                <m:sub>
                  <m:r>
                    <m:t>h</m:t>
                  </m:r>
                </m:sub>
              </m:sSub>
            </m:den>
          </m:f>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2</m:t>
              </m:r>
            </m:e>
          </m:d>
        </m:oMath>
      </m:oMathPara>
      <w:bookmarkEnd w:id="34"/>
    </w:p>
    <w:p>
      <w:pPr>
        <w:pStyle w:val="FirstParagraph"/>
      </w:pPr>
      <w:r>
        <w:t xml:space="preserve">Here,</w:t>
      </w:r>
      <w:r>
        <w:t xml:space="preserve"> </w:t>
      </w:r>
      <m:oMath>
        <m:sSub>
          <m:e>
            <m:r>
              <m:t>δ</m:t>
            </m:r>
          </m:e>
          <m:sub>
            <m:r>
              <m:t>h</m:t>
            </m:r>
          </m:sub>
        </m:sSub>
      </m:oMath>
      <w:r>
        <w:t xml:space="preserve"> </w:t>
      </w:r>
      <w:r>
        <w:t xml:space="preserve">is the indicator-specific within-population degree-ratio adjustment: it captures whether domestic workers with indicator</w:t>
      </w:r>
      <w:r>
        <w:t xml:space="preserve"> </w:t>
      </w:r>
      <m:oMath>
        <m:r>
          <m:t>h</m:t>
        </m:r>
      </m:oMath>
      <w:r>
        <w:t xml:space="preserve"> </w:t>
      </w:r>
      <w:r>
        <w:t xml:space="preserve">have, on average, more or fewer within-domestic-worker network ties than domestic workers overall. Values of</w:t>
      </w:r>
      <w:r>
        <w:t xml:space="preserve"> </w:t>
      </w:r>
      <m:oMath>
        <m:sSub>
          <m:e>
            <m:r>
              <m:t>δ</m:t>
            </m:r>
          </m:e>
          <m:sub>
            <m:r>
              <m:t>h</m:t>
            </m:r>
          </m:sub>
        </m:sSub>
        <m:r>
          <m:rPr>
            <m:sty m:val="p"/>
          </m:rPr>
          <m:t>&lt;</m:t>
        </m:r>
        <m:r>
          <m:t>1</m:t>
        </m:r>
      </m:oMath>
      <w:r>
        <w:t xml:space="preserve"> </w:t>
      </w:r>
      <w:r>
        <w:t xml:space="preserve">imply that workers with indicator</w:t>
      </w:r>
      <w:r>
        <w:t xml:space="preserve"> </w:t>
      </w:r>
      <m:oMath>
        <m:r>
          <m:t>h</m:t>
        </m:r>
      </m:oMath>
      <w:r>
        <w:t xml:space="preserve"> </w:t>
      </w:r>
      <w:r>
        <w:t xml:space="preserve">are less connected within the domestic-worker network and would therefore be under-represented in alter reports. The parameter</w:t>
      </w:r>
      <w:r>
        <w:t xml:space="preserve"> </w:t>
      </w:r>
      <m:oMath>
        <m:sSub>
          <m:e>
            <m:r>
              <m:t>τ</m:t>
            </m:r>
          </m:e>
          <m:sub>
            <m:r>
              <m:t>h</m:t>
            </m:r>
          </m:sub>
        </m:sSub>
      </m:oMath>
      <w:r>
        <w:t xml:space="preserve"> </w:t>
      </w:r>
      <w:r>
        <w:t xml:space="preserve">is the indicator-specific true-positive or visibility rate: the probability that an alter who truly has indicator</w:t>
      </w:r>
      <w:r>
        <w:t xml:space="preserve"> </w:t>
      </w:r>
      <m:oMath>
        <m:r>
          <m:t>h</m:t>
        </m:r>
      </m:oMath>
      <w:r>
        <w:t xml:space="preserve"> </w:t>
      </w:r>
      <w:r>
        <w:t xml:space="preserve">is recognised and reported by the respondent as having that indicator. Values of</w:t>
      </w:r>
      <w:r>
        <w:t xml:space="preserve"> </w:t>
      </w:r>
      <m:oMath>
        <m:sSub>
          <m:e>
            <m:r>
              <m:t>τ</m:t>
            </m:r>
          </m:e>
          <m:sub>
            <m:r>
              <m:t>h</m:t>
            </m:r>
          </m:sub>
        </m:sSub>
        <m:r>
          <m:rPr>
            <m:sty m:val="p"/>
          </m:rPr>
          <m:t>&lt;</m:t>
        </m:r>
        <m:r>
          <m:t>1</m:t>
        </m:r>
      </m:oMath>
      <w:r>
        <w:t xml:space="preserve"> </w:t>
      </w:r>
      <w:r>
        <w:t xml:space="preserve">capture under-reporting due to stigma, concealment, limited observability, or social distance.</w:t>
      </w:r>
    </w:p>
    <w:p>
      <w:pPr>
        <w:pStyle w:val="BodyText"/>
      </w:pPr>
      <w:r>
        <w:t xml:space="preserve">Because both the reporting frame and the alter universe are restricted to domestic workers,</w:t>
      </w:r>
      <w:r>
        <w:t xml:space="preserve"> </w:t>
      </w:r>
      <m:oMath>
        <m:sSub>
          <m:e>
            <m:r>
              <m:t>δ</m:t>
            </m:r>
          </m:e>
          <m:sub>
            <m:r>
              <m:t>h</m:t>
            </m:r>
          </m:sub>
        </m:sSub>
      </m:oMath>
      <w:r>
        <w:t xml:space="preserve"> </w:t>
      </w:r>
      <w:r>
        <w:t xml:space="preserve">should not be read as a general-population-to-hidden-population degree ratio. It is instead a within-domestic-worker correction for differential network visibility of workers with indicator</w:t>
      </w:r>
      <w:r>
        <w:t xml:space="preserve"> </w:t>
      </w:r>
      <m:oMath>
        <m:r>
          <m:t>h</m:t>
        </m:r>
      </m:oMath>
      <w:r>
        <w:t xml:space="preserve">. Similarly,</w:t>
      </w:r>
      <w:r>
        <w:t xml:space="preserve"> </w:t>
      </w:r>
      <m:oMath>
        <m:sSub>
          <m:e>
            <m:r>
              <m:t>τ</m:t>
            </m:r>
          </m:e>
          <m:sub>
            <m:r>
              <m:t>h</m:t>
            </m:r>
          </m:sub>
        </m:sSub>
      </m:oMath>
      <w:r>
        <w:t xml:space="preserve"> </w:t>
      </w:r>
      <w:r>
        <w:t xml:space="preserve">captures peer-tie visibility for each exploitation indicator. This distinction is central to the paper’s visibility-gradient diagnostic: when RDS own-experience estimates exceed NSUM alter-report estimates, the difference is interpreted not simply as disagreement between methods, but as evidence that some exploitation behaviours are less visible in peer networks than others (</w:t>
      </w:r>
      <w:hyperlink w:anchor="sec-divergence">
        <w:r>
          <w:rPr>
            <w:rStyle w:val="Hyperlink"/>
          </w:rPr>
          <w:t xml:space="preserve">Section 5.3</w:t>
        </w:r>
      </w:hyperlink>
      <w:r>
        <w:t xml:space="preserve">).</w:t>
      </w:r>
    </w:p>
    <w:p>
      <w:pPr>
        <w:pStyle w:val="BodyText"/>
      </w:pPr>
      <w:r>
        <w:t xml:space="preserve">Our headline NSUM result is the continuous-</w:t>
      </w:r>
      <m:oMath>
        <m:r>
          <m:t>τ</m:t>
        </m:r>
      </m:oMath>
      <w:r>
        <w:t xml:space="preserve"> </w:t>
      </w:r>
      <w:r>
        <w:t xml:space="preserve">sweep: for each indicator, we report prevalence as a function of</w:t>
      </w:r>
      <w:r>
        <w:t xml:space="preserve"> </w:t>
      </w:r>
      <m:oMath>
        <m:sSub>
          <m:e>
            <m:r>
              <m:t>τ</m:t>
            </m:r>
          </m:e>
          <m:sub>
            <m:r>
              <m:t>h</m:t>
            </m:r>
          </m:sub>
        </m:sSub>
        <m:r>
          <m:rPr>
            <m:sty m:val="p"/>
          </m:rPr>
          <m:t>∈</m:t>
        </m:r>
        <m:d>
          <m:dPr>
            <m:begChr m:val="["/>
            <m:sepChr m:val=""/>
            <m:endChr m:val="]"/>
            <m:grow/>
          </m:dPr>
          <m:e>
            <m:r>
              <m:t>0.40</m:t>
            </m:r>
            <m:r>
              <m:rPr>
                <m:sty m:val="p"/>
              </m:rPr>
              <m:t>,</m:t>
            </m:r>
            <m:r>
              <m:t>1.00</m:t>
            </m:r>
          </m:e>
        </m:d>
      </m:oMath>
      <w:r>
        <w:t xml:space="preserve">, in increments of 0.05, with</w:t>
      </w:r>
      <w:r>
        <w:t xml:space="preserve"> </w:t>
      </w:r>
      <m:oMath>
        <m:sSub>
          <m:e>
            <m:r>
              <m:t>δ</m:t>
            </m:r>
          </m:e>
          <m:sub>
            <m:r>
              <m:t>h</m:t>
            </m:r>
          </m:sub>
        </m:sSub>
      </m:oMath>
      <w:r>
        <w:t xml:space="preserve"> </w:t>
      </w:r>
      <w:r>
        <w:t xml:space="preserve">fixed at 0.9 and bootstrap 95% confidence intervals at each value (Appendix Figure A1). For comparison with the discrete-tier NSUM literature</w:t>
      </w:r>
      <w:r>
        <w:t xml:space="preserve"> </w:t>
      </w:r>
      <w:r>
        <w:t xml:space="preserve">(Feehan &amp; Salganik, 2016; Killworth et al., 1998; Maltiel et al., 2015)</w:t>
      </w:r>
      <w:r>
        <w:t xml:space="preserve">, we also report three reference scenarios: Unadjusted</w:t>
      </w:r>
      <w:r>
        <w:t xml:space="preserve"> </w:t>
      </w:r>
      <m:oMath>
        <m:r>
          <m:rPr>
            <m:sty m:val="p"/>
          </m:rPr>
          <m:t>(</m:t>
        </m:r>
        <m:sSub>
          <m:e>
            <m:r>
              <m:t>δ</m:t>
            </m:r>
          </m:e>
          <m:sub>
            <m:r>
              <m:t>h</m:t>
            </m:r>
          </m:sub>
        </m:sSub>
        <m:r>
          <m:rPr>
            <m:sty m:val="p"/>
          </m:rPr>
          <m:t>=</m:t>
        </m:r>
        <m:r>
          <m:t>1.0</m:t>
        </m:r>
        <m:r>
          <m:rPr>
            <m:sty m:val="p"/>
          </m:rPr>
          <m:t>,</m:t>
        </m:r>
        <m:sSub>
          <m:e>
            <m:r>
              <m:t>τ</m:t>
            </m:r>
          </m:e>
          <m:sub>
            <m:r>
              <m:t>h</m:t>
            </m:r>
          </m:sub>
        </m:sSub>
        <m:r>
          <m:rPr>
            <m:sty m:val="p"/>
          </m:rPr>
          <m:t>=</m:t>
        </m:r>
        <m:r>
          <m:t>1.0</m:t>
        </m:r>
      </m:oMath>
      <w:r>
        <w:t xml:space="preserve">), Moderate</w:t>
      </w:r>
      <w:r>
        <w:t xml:space="preserve"> </w:t>
      </w:r>
      <m:oMath>
        <m:d>
          <m:dPr>
            <m:begChr m:val="("/>
            <m:sepChr m:val=""/>
            <m:endChr m:val=")"/>
            <m:grow/>
          </m:dPr>
          <m:e>
            <m:sSub>
              <m:e>
                <m:r>
                  <m:t>δ</m:t>
                </m:r>
              </m:e>
              <m:sub>
                <m:r>
                  <m:t>h</m:t>
                </m:r>
              </m:sub>
            </m:sSub>
            <m:r>
              <m:rPr>
                <m:sty m:val="p"/>
              </m:rPr>
              <m:t>=</m:t>
            </m:r>
            <m:r>
              <m:t>0.9</m:t>
            </m:r>
            <m:r>
              <m:rPr>
                <m:sty m:val="p"/>
              </m:rPr>
              <m:t>,</m:t>
            </m:r>
            <m:sSub>
              <m:e>
                <m:r>
                  <m:t>τ</m:t>
                </m:r>
              </m:e>
              <m:sub>
                <m:r>
                  <m:t>h</m:t>
                </m:r>
              </m:sub>
            </m:sSub>
            <m:r>
              <m:rPr>
                <m:sty m:val="p"/>
              </m:rPr>
              <m:t>=</m:t>
            </m:r>
            <m:r>
              <m:t>0.85</m:t>
            </m:r>
          </m:e>
        </m:d>
      </m:oMath>
      <w:r>
        <w:t xml:space="preserve">, and Conservative</w:t>
      </w:r>
      <w:r>
        <w:t xml:space="preserve"> </w:t>
      </w:r>
      <m:oMath>
        <m:d>
          <m:dPr>
            <m:begChr m:val="("/>
            <m:sepChr m:val=""/>
            <m:endChr m:val=")"/>
            <m:grow/>
          </m:dPr>
          <m:e>
            <m:sSub>
              <m:e>
                <m:r>
                  <m:t>δ</m:t>
                </m:r>
              </m:e>
              <m:sub>
                <m:r>
                  <m:t>h</m:t>
                </m:r>
              </m:sub>
            </m:sSub>
            <m:r>
              <m:rPr>
                <m:sty m:val="p"/>
              </m:rPr>
              <m:t>=</m:t>
            </m:r>
            <m:r>
              <m:t>0.8</m:t>
            </m:r>
            <m:r>
              <m:rPr>
                <m:sty m:val="p"/>
              </m:rPr>
              <m:t>,</m:t>
            </m:r>
            <m:sSub>
              <m:e>
                <m:r>
                  <m:t>τ</m:t>
                </m:r>
              </m:e>
              <m:sub>
                <m:r>
                  <m:t>h</m:t>
                </m:r>
              </m:sub>
            </m:sSub>
            <m:r>
              <m:rPr>
                <m:sty m:val="p"/>
              </m:rPr>
              <m:t>=</m:t>
            </m:r>
            <m:r>
              <m:t>0.70</m:t>
            </m:r>
          </m:e>
        </m:d>
      </m:oMath>
      <w:r>
        <w:t xml:space="preserve">. These scenarios are presented as reference points on the continuous sensitivity curve rather than as separately identified estimates of</w:t>
      </w:r>
      <w:r>
        <w:t xml:space="preserve"> </w:t>
      </w:r>
      <m:oMath>
        <m:sSub>
          <m:e>
            <m:r>
              <m:t>δ</m:t>
            </m:r>
          </m:e>
          <m:sub>
            <m:r>
              <m:t>h</m:t>
            </m:r>
          </m:sub>
        </m:sSub>
      </m:oMath>
      <w:r>
        <w:t xml:space="preserve"> </w:t>
      </w:r>
      <w:r>
        <w:t xml:space="preserve">or</w:t>
      </w:r>
      <w:r>
        <w:t xml:space="preserve"> </w:t>
      </w:r>
      <m:oMath>
        <m:sSub>
          <m:e>
            <m:r>
              <m:t>τ</m:t>
            </m:r>
          </m:e>
          <m:sub>
            <m:r>
              <m:t>h</m:t>
            </m:r>
          </m:sub>
        </m:sSub>
      </m:oMath>
      <w:r>
        <w:t xml:space="preserve">.</w:t>
      </w:r>
    </w:p>
    <w:bookmarkEnd w:id="35"/>
    <w:bookmarkStart w:id="36"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For the prevalence estimates reported here, the assumed total domestic-worker population size</w:t>
      </w:r>
      <w:r>
        <w:t xml:space="preserve"> </w:t>
      </w:r>
      <m:oMath>
        <m:r>
          <m:t>N</m:t>
        </m:r>
      </m:oMath>
      <w:r>
        <w:t xml:space="preserve"> </w:t>
      </w:r>
      <w:r>
        <w:t xml:space="preserve">either cancels algebraically or has a negligible finite-population effect (related to</w:t>
      </w:r>
      <w:r>
        <w:t xml:space="preserve"> </w:t>
      </w:r>
      <m:oMath>
        <m:r>
          <m:t>n</m:t>
        </m:r>
        <m:r>
          <m:rPr>
            <m:sty m:val="p"/>
          </m:rPr>
          <m:t>/</m:t>
        </m:r>
        <m:r>
          <m:t>N</m:t>
        </m:r>
      </m:oMath>
      <w:r>
        <w:t xml:space="preserve"> </w:t>
      </w:r>
      <w:r>
        <w:t xml:space="preserve">which is negligable here) over the range of</w:t>
      </w:r>
      <w:r>
        <w:t xml:space="preserve"> </w:t>
      </w:r>
      <m:oMath>
        <m:r>
          <m:t>N</m:t>
        </m:r>
      </m:oMath>
      <w:r>
        <w:t xml:space="preserve"> </w:t>
      </w:r>
      <w:r>
        <w:t xml:space="preserve">values considered.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the Appendix, Section D.1 (Population Size and the Invariance of Prevalence).</w:t>
      </w:r>
    </w:p>
    <w:bookmarkEnd w:id="36"/>
    <w:bookmarkStart w:id="37"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the Appendix, Section C.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the Appendix.</w:t>
      </w:r>
    </w:p>
    <w:bookmarkEnd w:id="37"/>
    <w:bookmarkEnd w:id="38"/>
    <w:bookmarkStart w:id="59"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Appendix Figure A1);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the Appendix.</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reported quantities in Table 3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5" w:name="sec-descriptive"/>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4"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9" w:name="tbl-rds-diagnostics"/>
          <w:p>
            <w:pPr>
              <w:jc w:val="center"/>
            </w:pPr>
            <w:pPr>
              <w:jc w:val="start"/>
              <w:spacing w:before="200"/>
              <w:pStyle w:val="ImageCaption"/>
            </w:pPr>
            <w:r>
              <w:t xml:space="preserve">Table 4: RDS sampling diagnostics for the analytical sample (n = 85). Computed from the anonymised processed analysis dataset; replication code is available in the OSF repository. See</w:t>
            </w:r>
            <w:r>
              <w:t xml:space="preserve"> </w:t>
            </w:r>
            <w:hyperlink w:anchor="sec-rds-diagnostics">
              <w:r>
                <w:rPr>
                  <w:rStyle w:val="Hyperlink"/>
                </w:rPr>
                <w:t xml:space="preserve">Section 4.1.1</w:t>
              </w:r>
            </w:hyperlink>
            <w:r>
              <w:t xml:space="preserve"> </w:t>
            </w:r>
            <w:r>
              <w:t xml:space="preserve">below and the Appendix (Section D)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rds-diagnostics"/>
          <w:p>
            <w:pPr>
              <w:pStyle w:val="Compact"/>
              <w:jc w:val="center"/>
            </w:pPr>
            <w:r>
              <w:drawing>
                <wp:inline>
                  <wp:extent cx="5334000" cy="1557645"/>
                  <wp:effectExtent b="0" l="0" r="0" t="0"/>
                  <wp:docPr descr="" title="" id="41" name="Picture"/>
                  <a:graphic>
                    <a:graphicData uri="http://schemas.openxmlformats.org/drawingml/2006/picture">
                      <pic:pic>
                        <pic:nvPicPr>
                          <pic:cNvPr descr="figures/rds_diagnostics.png" id="42" name="Picture"/>
                          <pic:cNvPicPr>
                            <a:picLocks noChangeArrowheads="1" noChangeAspect="1"/>
                          </pic:cNvPicPr>
                        </pic:nvPicPr>
                        <pic:blipFill>
                          <a:blip r:embed="rId40"/>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bookmarkEnd w:id="43"/>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(reported in Appendix Section D.8) does not change the rank ordering of indicators.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4"/>
    <w:bookmarkEnd w:id="45"/>
    <w:bookmarkStart w:id="50"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Each of the eleven ILO indicator categories contributes equally to the composite (maximum 0.09 per category, giving a total maximum score of 0.99); within a category, weight is distributed evenly across the sub-questions used to code it. The composite is therefore uniform-weighted at the ILO-category level and does not itself impose the medium/strong severity ordering, though we use that ordering (Section 2) to organise reporting and interpretation. The weight-perturbation robustness check reported in</w:t>
      </w:r>
      <w:r>
        <w:t xml:space="preserve"> </w:t>
      </w:r>
      <w:hyperlink w:anchor="sec-weights-sensitivity">
        <w:r>
          <w:rPr>
            <w:rStyle w:val="Hyperlink"/>
          </w:rPr>
          <w:t xml:space="preserve">Section 5.5</w:t>
        </w:r>
      </w:hyperlink>
      <w:r>
        <w:t xml:space="preserve"> </w:t>
      </w:r>
      <w:r>
        <w:t xml:space="preserve">confirms that the ranking of respondents by composite risk is essentially invariant to the specific weight choice.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Appendix Table A1).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composite">
        <w:r>
          <w:rPr>
            <w:rStyle w:val="Hyperlink"/>
          </w:rPr>
          <w:t xml:space="preserve">Figure 3</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9" w:name="fig-composite"/>
          <w:p>
            <w:pPr>
              <w:pStyle w:val="Compact"/>
              <w:jc w:val="center"/>
            </w:pPr>
            <w:r>
              <w:drawing>
                <wp:inline>
                  <wp:extent cx="5334000" cy="2370666"/>
                  <wp:effectExtent b="0" l="0" r="0" t="0"/>
                  <wp:docPr descr="" title="" id="47" name="Picture"/>
                  <a:graphic>
                    <a:graphicData uri="http://schemas.openxmlformats.org/drawingml/2006/picture">
                      <pic:pic>
                        <pic:nvPicPr>
                          <pic:cNvPr descr="figures/fig3_composite_risk.png" id="48" name="Picture"/>
                          <pic:cNvPicPr>
                            <a:picLocks noChangeArrowheads="1" noChangeAspect="1"/>
                          </pic:cNvPicPr>
                        </pic:nvPicPr>
                        <pic:blipFill>
                          <a:blip r:embed="rId46"/>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9"/>
        </w:tc>
      </w:tr>
    </w:tbl>
    <w:bookmarkEnd w:id="50"/>
    <w:bookmarkStart w:id="56"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Appendix Figure A2 shows the RDS-SS and RDS-I estimates with per-method bootstrap CIs for visual comparison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ordering of the indicators.</w:t>
      </w:r>
    </w:p>
    <w:tbl>
      <w:tblPr>
        <w:tblStyle w:val="Table"/>
        <w:tblW w:type="pct" w:w="5000"/>
        <w:tblLayout w:type="fixed"/>
        <w:tblLook w:firstRow="0" w:lastRow="0" w:firstColumn="0" w:lastColumn="0" w:noHBand="0" w:noVBand="0" w:val="0000"/>
      </w:tblPr>
      <w:tblGrid>
        <w:gridCol w:w="7920"/>
      </w:tblGrid>
      <w:tr>
        <w:tc>
          <w:tcPr/>
          <w:bookmarkStart w:id="51"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fig-ma-binary"/>
          <w:p>
            <w:pPr>
              <w:pStyle w:val="Compact"/>
              <w:jc w:val="center"/>
            </w:pPr>
            <w:r>
              <w:drawing>
                <wp:inline>
                  <wp:extent cx="5334000" cy="3333750"/>
                  <wp:effectExtent b="0" l="0" r="0" t="0"/>
                  <wp:docPr descr="" title="" id="53" name="Picture"/>
                  <a:graphic>
                    <a:graphicData uri="http://schemas.openxmlformats.org/drawingml/2006/picture">
                      <pic:pic>
                        <pic:nvPicPr>
                          <pic:cNvPr descr="figures/fig4_ma_binary.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5"/>
        </w:tc>
      </w:tr>
    </w:tbl>
    <w:bookmarkEnd w:id="56"/>
    <w:bookmarkStart w:id="57" w:name="sec-supporting-estimates"/>
    <w:p>
      <w:pPr>
        <w:pStyle w:val="Heading2"/>
      </w:pPr>
      <w:r>
        <w:t xml:space="preserve">4.4 Supporting Estimates and Method Comparison</w:t>
      </w:r>
    </w:p>
    <w:p>
      <w:pPr>
        <w:pStyle w:val="FirstParagraph"/>
      </w:pPr>
      <w:r>
        <w:t xml:space="preserve">Three additional families of estimates are reported in full in the Appendix (Section D) for transparency and robustness: (a) The five Bayesian Model-Assisted (MA-RDS) posterior means (Appendix Table A6) range from 34.1% for document withholding to 84.0% for excessive working hours, reproducing the RDS-SS ordering in Table 5. (b) Direct comparison of RDS-I and RDS-SS estimators for each indicator with per-method bootstrap 95% CIs (Appendix Table A4);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Appendix Table A10),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7"/>
    <w:bookmarkStart w:id="58" w:name="sec-sensitivity"/>
    <w:p>
      <w:pPr>
        <w:pStyle w:val="Heading2"/>
      </w:pPr>
      <w:r>
        <w:t xml:space="preserve">4.5 Sensitivity and Robustness</w:t>
      </w:r>
    </w:p>
    <w:p>
      <w:pPr>
        <w:pStyle w:val="FirstParagraph"/>
      </w:pPr>
      <w:r>
        <w:t xml:space="preserve">Three sensitivity analyses are reported in full in the Appendix. First, the continuous-</w:t>
      </w:r>
      <m:oMath>
        <m:r>
          <m:t>τ</m:t>
        </m:r>
      </m:oMath>
      <w:r>
        <w:t xml:space="preserve"> </w:t>
      </w:r>
      <w:r>
        <w:t xml:space="preserve">NSUM sweep (Appendix Figure A1)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(Appendix Figure A4)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8"/>
    <w:bookmarkEnd w:id="59"/>
    <w:bookmarkStart w:id="66" w:name="sec-discussion"/>
    <w:p>
      <w:pPr>
        <w:pStyle w:val="Heading1"/>
      </w:pPr>
      <w:r>
        <w:t xml:space="preserve">5. Discussion</w:t>
      </w:r>
    </w:p>
    <w:bookmarkStart w:id="60"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60"/>
    <w:bookmarkStart w:id="61"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complementary validation channels. (1)</w:t>
      </w:r>
      <w:r>
        <w:t xml:space="preserve"> </w:t>
      </w:r>
      <w:r>
        <w:rPr>
          <w:i/>
          <w:iCs/>
        </w:rPr>
        <w:t xml:space="preserve">Content validity:</w:t>
      </w:r>
      <w:r>
        <w:t xml:space="preserve"> </w:t>
      </w:r>
      <w:r>
        <w:t xml:space="preserve">the indicator set is anchored in the ILO</w:t>
      </w:r>
      <w:r>
        <w:t xml:space="preserve"> </w:t>
      </w:r>
      <w:r>
        <w:t xml:space="preserve">(2012, 2024, 2025)</w:t>
      </w:r>
      <w:r>
        <w:t xml:space="preserve"> </w:t>
      </w:r>
      <w:r>
        <w:t xml:space="preserve">framework of forced labour, with the mapping from indicator to survey question documented in</w:t>
      </w:r>
      <w:r>
        <w:t xml:space="preserve"> </w:t>
      </w:r>
      <w:hyperlink w:anchor="sec-survey-instrument">
        <w:r>
          <w:rPr>
            <w:rStyle w:val="Hyperlink"/>
          </w:rPr>
          <w:t xml:space="preserve">Section 3.2</w:t>
        </w:r>
      </w:hyperlink>
      <w:r>
        <w:t xml:space="preserve"> </w:t>
      </w:r>
      <w:r>
        <w:t xml:space="preserve">(</w:t>
      </w:r>
      <w:hyperlink w:anchor="tbl-indicator-mapping">
        <w:r>
          <w:rPr>
            <w:rStyle w:val="Hyperlink"/>
          </w:rPr>
          <w:t xml:space="preserve">Table 1</w:t>
        </w:r>
      </w:hyperlink>
      <w:r>
        <w:t xml:space="preserve">) and the Appendix (Section A). (2)</w:t>
      </w:r>
      <w:r>
        <w:t xml:space="preserve"> </w:t>
      </w:r>
      <w:r>
        <w:rPr>
          <w:i/>
          <w:iCs/>
        </w:rPr>
        <w:t xml:space="preserve">Face validity:</w:t>
      </w:r>
      <w:r>
        <w:t xml:space="preserve"> </w:t>
      </w:r>
      <w:r>
        <w:t xml:space="preserve">the survey instrument was co-developed with the participating civil-society organisations (Kalayaan, Voice of Domestic Workers, and the Latin American Women’s Rights Service), whose case-work practice informed item wording and indicator coverage. (3)</w:t>
      </w:r>
      <w:r>
        <w:t xml:space="preserve"> </w:t>
      </w:r>
      <w:r>
        <w:rPr>
          <w:i/>
          <w:iCs/>
        </w:rPr>
        <w:t xml:space="preserve">Convergent and diagnostic validity:</w:t>
      </w:r>
      <w:r>
        <w:t xml:space="preserve"> </w:t>
      </w:r>
      <w:r>
        <w:t xml:space="preserve">the four estimators target related-but-distinct population quantities and nonetheless reproduce the same within-method ordering of indicators across methodologically unrelated approaches (</w:t>
      </w:r>
      <w:hyperlink w:anchor="sec-sensitivity">
        <w:r>
          <w:rPr>
            <w:rStyle w:val="Hyperlink"/>
          </w:rPr>
          <w:t xml:space="preserve">Section 4.5</w:t>
        </w:r>
      </w:hyperlink>
      <w:r>
        <w:t xml:space="preserve">); the order-of-magnitude divergence in absolute level between RDS and NSUM, by contrast, has diagnostic rather than convergent value, telling us about the visibility structure of each behaviour (</w:t>
      </w:r>
      <w:hyperlink w:anchor="sec-divergence">
        <w:r>
          <w:rPr>
            <w:rStyle w:val="Hyperlink"/>
          </w:rPr>
          <w:t xml:space="preserve">Section 5.3</w:t>
        </w:r>
      </w:hyperlink>
      <w:r>
        <w:t xml:space="preserve">). (4)</w:t>
      </w:r>
      <w:r>
        <w:t xml:space="preserve"> </w:t>
      </w:r>
      <w:r>
        <w:rPr>
          <w:i/>
          <w:iCs/>
        </w:rPr>
        <w:t xml:space="preserve">Robustness:</w:t>
      </w:r>
      <w:r>
        <w:t xml:space="preserve"> </w:t>
      </w:r>
      <w:r>
        <w:t xml:space="preserve">the composite-risk ranking is essentially weight-invariant under</w:t>
      </w:r>
      <w:r>
        <w:t xml:space="preserve"> </w:t>
      </w:r>
      <m:oMath>
        <m:r>
          <m:rPr>
            <m:sty m:val="p"/>
          </m:rPr>
          <m:t>±</m:t>
        </m:r>
        <m:r>
          <m:t>50</m:t>
        </m:r>
        <m:r>
          <m:rPr>
            <m:sty m:val="p"/>
          </m:rPr>
          <m:t>%</m:t>
        </m:r>
      </m:oMath>
      <w:r>
        <w:t xml:space="preserve"> </w:t>
      </w:r>
      <w:r>
        <w:t xml:space="preserve">perturbation of the eleven sub-indicator weights (</w:t>
      </w:r>
      <w:hyperlink w:anchor="sec-weights-sensitivity">
        <w:r>
          <w:rPr>
            <w:rStyle w:val="Hyperlink"/>
          </w:rPr>
          <w:t xml:space="preserve">Section 5.5</w:t>
        </w:r>
      </w:hyperlink>
      <w:r>
        <w:t xml:space="preserve">; Spearman</w:t>
      </w:r>
      <w:r>
        <w:t xml:space="preserve"> </w:t>
      </w:r>
      <m:oMath>
        <m:r>
          <m:t>ρ</m:t>
        </m:r>
        <m:r>
          <m:rPr>
            <m:sty m:val="p"/>
          </m:rPr>
          <m:t>=</m:t>
        </m:r>
        <m:r>
          <m:t>0.992</m:t>
        </m:r>
      </m:oMath>
      <w:r>
        <w:t xml:space="preserve">), and the headline NSUM estimates are reported as a continuous function of the unknown true-positive rate</w:t>
      </w:r>
      <w:r>
        <w:t xml:space="preserve"> </w:t>
      </w:r>
      <m:oMath>
        <m:r>
          <m:t>τ</m:t>
        </m:r>
      </m:oMath>
      <w:r>
        <w:t xml:space="preserve"> </w:t>
      </w:r>
      <w:r>
        <w:t xml:space="preserve">rather than committing to a single point (</w:t>
      </w:r>
      <w:hyperlink w:anchor="sec-sensitivity">
        <w:r>
          <w:rPr>
            <w:rStyle w:val="Hyperlink"/>
          </w:rPr>
          <w:t xml:space="preserve">Section 4.5</w:t>
        </w:r>
      </w:hyperlink>
      <w:r>
        <w:t xml:space="preserve">). (5)</w:t>
      </w:r>
      <w:r>
        <w:t xml:space="preserve"> </w:t>
      </w:r>
      <w:r>
        <w:rPr>
          <w:i/>
          <w:iCs/>
        </w:rPr>
        <w:t xml:space="preserve">Limitation:</w:t>
      </w:r>
      <w:r>
        <w:t xml:space="preserve"> </w:t>
      </w:r>
      <w:r>
        <w:t xml:space="preserve">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 xml:space="preserve">Section 5.6</w:t>
        </w:r>
      </w:hyperlink>
      <w:r>
        <w:t xml:space="preserve">).</w:t>
      </w:r>
    </w:p>
    <w:bookmarkEnd w:id="61"/>
    <w:bookmarkStart w:id="62"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a different epistemic status; and on the only one where sample size matters, n = 85 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in</w:t>
      </w:r>
      <w:r>
        <w:t xml:space="preserve"> </w:t>
      </w:r>
      <w:r>
        <w:t xml:space="preserve">(International Labour Organization, 2024)</w:t>
      </w:r>
      <w:r>
        <w:t xml:space="preserve">) are less common in this population than less severe forms of abuse (excessive hours, an ILO medium indicator). The ordering is interpretable, matches the ILO severity ordering documented in the ILO survey-guidelines handbook</w:t>
      </w:r>
      <w:r>
        <w:t xml:space="preserve"> </w:t>
      </w:r>
      <w:r>
        <w:t xml:space="preserve">(International Labour Organization, 2024)</w:t>
      </w:r>
      <w:r>
        <w:t xml:space="preserve">, and is reproduced across methods. Collapsing this ordering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the Appendix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the Appendix (Section D.5, Figure A1)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2"/>
    <w:bookmarkStart w:id="63"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(Appendix Table A1,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3"/>
    <w:bookmarkStart w:id="64"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the Appendix, Section A).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the Appendix.</w:t>
      </w:r>
    </w:p>
    <w:bookmarkEnd w:id="64"/>
    <w:bookmarkStart w:id="65"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5"/>
    <w:bookmarkEnd w:id="66"/>
    <w:bookmarkStart w:id="67"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three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that gives equal weight to each of the ILO’s eleven indicators of forced labour and is organised for reporting by the ILO’s medium/strong severity ordering</w:t>
      </w:r>
      <w:r>
        <w:t xml:space="preserve"> </w:t>
      </w:r>
      <w:r>
        <w:t xml:space="preserve">(International Labour Organization, 2024)</w:t>
      </w:r>
      <w:r>
        <w:t xml:space="preserve">.</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7"/>
    <w:bookmarkStart w:id="69" w:name="sec-declarations"/>
    <w:p>
      <w:pPr>
        <w:pStyle w:val="Heading1"/>
      </w:pPr>
      <w:r>
        <w:t xml:space="preserve">7. Declarations</w:t>
      </w:r>
    </w:p>
    <w:p>
      <w:pPr>
        <w:pStyle w:val="FirstParagraph"/>
      </w:pPr>
      <w:r>
        <w:rPr>
          <w:b/>
          <w:bCs/>
        </w:rPr>
        <w:t xml:space="preserve">Funding.</w:t>
      </w:r>
      <w:r>
        <w:t xml:space="preserve"> </w:t>
      </w:r>
      <w:r>
        <w:t xml:space="preserve">CE received funding from the University of Nottingham under its Nottingham Research Fellowship scheme.</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(Ethics Review Application number 202223021).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68">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9"/>
    <w:bookmarkStart w:id="119" w:name="references"/>
    <w:p>
      <w:pPr>
        <w:pStyle w:val="Heading1"/>
      </w:pPr>
      <w:r>
        <w:t xml:space="preserve">References</w:t>
      </w:r>
    </w:p>
    <w:bookmarkStart w:id="118" w:name="refs"/>
    <w:bookmarkStart w:id="70"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70"/>
    <w:bookmarkStart w:id="71"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1"/>
    <w:bookmarkStart w:id="73"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2">
        <w:r>
          <w:rPr>
            <w:rStyle w:val="Hyperlink"/>
          </w:rPr>
          <w:t xml:space="preserve">https://doi.org/10.1198/jasa.2011.ap09475</w:t>
        </w:r>
      </w:hyperlink>
    </w:p>
    <w:bookmarkEnd w:id="73"/>
    <w:bookmarkStart w:id="75"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4">
        <w:r>
          <w:rPr>
            <w:rStyle w:val="Hyperlink"/>
          </w:rPr>
          <w:t xml:space="preserve">https://doi.org/10.1146/annurev-statistics-031017-100704</w:t>
        </w:r>
      </w:hyperlink>
    </w:p>
    <w:bookmarkEnd w:id="75"/>
    <w:bookmarkStart w:id="76"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6"/>
    <w:bookmarkStart w:id="78"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7">
        <w:r>
          <w:rPr>
            <w:rStyle w:val="Hyperlink"/>
          </w:rPr>
          <w:t xml:space="preserve">https://doi.org/10.1111/rssa.12091</w:t>
        </w:r>
      </w:hyperlink>
    </w:p>
    <w:bookmarkEnd w:id="78"/>
    <w:bookmarkStart w:id="80"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9">
        <w:r>
          <w:rPr>
            <w:rStyle w:val="Hyperlink"/>
          </w:rPr>
          <w:t xml:space="preserve">https://doi.org/10.1073/pnas.1000261107</w:t>
        </w:r>
      </w:hyperlink>
    </w:p>
    <w:bookmarkEnd w:id="80"/>
    <w:bookmarkStart w:id="82"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81">
        <w:r>
          <w:rPr>
            <w:rStyle w:val="Hyperlink"/>
          </w:rPr>
          <w:t xml:space="preserve">https://doi.org/10.1214/14-EJS923</w:t>
        </w:r>
      </w:hyperlink>
    </w:p>
    <w:bookmarkEnd w:id="82"/>
    <w:bookmarkStart w:id="84"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3">
        <w:r>
          <w:rPr>
            <w:rStyle w:val="Hyperlink"/>
          </w:rPr>
          <w:t xml:space="preserve">https://doi.org/10.2307/3096941</w:t>
        </w:r>
      </w:hyperlink>
    </w:p>
    <w:bookmarkEnd w:id="84"/>
    <w:bookmarkStart w:id="85"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5"/>
    <w:bookmarkStart w:id="86"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6"/>
    <w:bookmarkStart w:id="88"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7">
        <w:r>
          <w:rPr>
            <w:rStyle w:val="Hyperlink"/>
          </w:rPr>
          <w:t xml:space="preserve">https://www.ilo.org/publications/ilo-indicators-forced-labour</w:t>
        </w:r>
      </w:hyperlink>
    </w:p>
    <w:bookmarkEnd w:id="88"/>
    <w:bookmarkStart w:id="90"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89">
        <w:r>
          <w:rPr>
            <w:rStyle w:val="Hyperlink"/>
          </w:rPr>
          <w:t xml:space="preserve">https://www.ilo.org/forcedlabour</w:t>
        </w:r>
      </w:hyperlink>
    </w:p>
    <w:bookmarkEnd w:id="90"/>
    <w:bookmarkStart w:id="91"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89">
        <w:r>
          <w:rPr>
            <w:rStyle w:val="Hyperlink"/>
          </w:rPr>
          <w:t xml:space="preserve">https://www.ilo.org/forcedlabour</w:t>
        </w:r>
      </w:hyperlink>
    </w:p>
    <w:bookmarkEnd w:id="91"/>
    <w:bookmarkStart w:id="92"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92"/>
    <w:bookmarkStart w:id="93"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3"/>
    <w:bookmarkStart w:id="94" w:name="ref-kala08-new"/>
    <w:p>
      <w:pPr>
        <w:pStyle w:val="Bibliography"/>
      </w:pPr>
      <w:r>
        <w:t xml:space="preserve">Kalayaan. (2008).</w:t>
      </w:r>
      <w:r>
        <w:t xml:space="preserve"> </w:t>
      </w:r>
      <w:r>
        <w:rPr>
          <w:i/>
          <w:iCs/>
        </w:rPr>
        <w:t xml:space="preserve">The new bonded labour?</w:t>
      </w:r>
    </w:p>
    <w:bookmarkEnd w:id="94"/>
    <w:bookmarkStart w:id="96"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5">
        <w:r>
          <w:rPr>
            <w:rStyle w:val="Hyperlink"/>
          </w:rPr>
          <w:t xml:space="preserve">https://doi.org/10.1016/S0378-8733(96)00305-X</w:t>
        </w:r>
      </w:hyperlink>
    </w:p>
    <w:bookmarkEnd w:id="96"/>
    <w:bookmarkStart w:id="98"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7">
        <w:r>
          <w:rPr>
            <w:rStyle w:val="Hyperlink"/>
          </w:rPr>
          <w:t xml:space="preserve">https://doi.org/10.1214/15-AOAS827</w:t>
        </w:r>
      </w:hyperlink>
    </w:p>
    <w:bookmarkEnd w:id="98"/>
    <w:bookmarkStart w:id="99"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9"/>
    <w:bookmarkStart w:id="101"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100">
        <w:r>
          <w:rPr>
            <w:rStyle w:val="Hyperlink"/>
          </w:rPr>
          <w:t xml:space="preserve">https://doi.org/10.1097/EDE.0b013e31823ac17c</w:t>
        </w:r>
      </w:hyperlink>
    </w:p>
    <w:bookmarkEnd w:id="101"/>
    <w:bookmarkStart w:id="103"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102">
        <w:r>
          <w:rPr>
            <w:rStyle w:val="Hyperlink"/>
          </w:rPr>
          <w:t xml:space="preserve">https://labourexploitation.org/app/uploads/2025/06/Flex-Report-Blueprint-for-safer-and-fairer-migration-for-low-paid-work_final_30_June-.pdf</w:t>
        </w:r>
      </w:hyperlink>
    </w:p>
    <w:bookmarkEnd w:id="103"/>
    <w:bookmarkStart w:id="104"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4"/>
    <w:bookmarkStart w:id="105"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5"/>
    <w:bookmarkStart w:id="106"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6"/>
    <w:bookmarkStart w:id="107" w:name="ref-thompson_new_2020"/>
    <w:p>
      <w:pPr>
        <w:pStyle w:val="Bibliography"/>
      </w:pPr>
      <w:r>
        <w:t xml:space="preserve">Thompson, S. (2020).</w:t>
      </w:r>
      <w:r>
        <w:t xml:space="preserve"> </w:t>
      </w:r>
      <w:r>
        <w:rPr>
          <w:i/>
          <w:iCs/>
        </w:rPr>
        <w:t xml:space="preserve">New estimates for network sampling</w:t>
      </w:r>
      <w:r>
        <w:t xml:space="preserve">.</w:t>
      </w:r>
    </w:p>
    <w:bookmarkEnd w:id="107"/>
    <w:bookmarkStart w:id="109"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8">
        <w:r>
          <w:rPr>
            <w:rStyle w:val="Hyperlink"/>
          </w:rPr>
          <w:t xml:space="preserve">https://doi.org/10.1080/01621459.2016.1212712</w:t>
        </w:r>
      </w:hyperlink>
    </w:p>
    <w:bookmarkEnd w:id="109"/>
    <w:bookmarkStart w:id="110"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10"/>
    <w:bookmarkStart w:id="111"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11"/>
    <w:bookmarkStart w:id="113"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12">
        <w:r>
          <w:rPr>
            <w:rStyle w:val="Hyperlink"/>
          </w:rPr>
          <w:t xml:space="preserve">https://doi.org/10.1093/jssam/smab057</w:t>
        </w:r>
      </w:hyperlink>
    </w:p>
    <w:bookmarkEnd w:id="113"/>
    <w:bookmarkStart w:id="114"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4"/>
    <w:bookmarkStart w:id="116"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5">
        <w:r>
          <w:rPr>
            <w:rStyle w:val="Hyperlink"/>
          </w:rPr>
          <w:t xml:space="preserve">https://doi.org/10.1007/s10611-012-9363-y</w:t>
        </w:r>
      </w:hyperlink>
    </w:p>
    <w:bookmarkEnd w:id="116"/>
    <w:bookmarkStart w:id="117"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hyperlink" Id="rId115" Target="https://doi.org/10.1007/s10611-012-9363-y" TargetMode="External" /><Relationship Type="http://schemas.openxmlformats.org/officeDocument/2006/relationships/hyperlink" Id="rId95"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8" Target="https://doi.org/10.1080/01621459.2016.1212712" TargetMode="External" /><Relationship Type="http://schemas.openxmlformats.org/officeDocument/2006/relationships/hyperlink" Id="rId112" Target="https://doi.org/10.1093/jssam/smab057" TargetMode="External" /><Relationship Type="http://schemas.openxmlformats.org/officeDocument/2006/relationships/hyperlink" Id="rId100"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7"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2"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9" Target="https://www.ilo.org/forcedlabour" TargetMode="External" /><Relationship Type="http://schemas.openxmlformats.org/officeDocument/2006/relationships/hyperlink" Id="rId87"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7/s10611-012-9363-y" TargetMode="External" /><Relationship Type="http://schemas.openxmlformats.org/officeDocument/2006/relationships/hyperlink" Id="rId95"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8" Target="https://doi.org/10.1080/01621459.2016.1212712" TargetMode="External" /><Relationship Type="http://schemas.openxmlformats.org/officeDocument/2006/relationships/hyperlink" Id="rId112" Target="https://doi.org/10.1093/jssam/smab057" TargetMode="External" /><Relationship Type="http://schemas.openxmlformats.org/officeDocument/2006/relationships/hyperlink" Id="rId100"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7"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2"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9" Target="https://www.ilo.org/forcedlabour" TargetMode="External" /><Relationship Type="http://schemas.openxmlformats.org/officeDocument/2006/relationships/hyperlink" Id="rId87"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dcterms:created xsi:type="dcterms:W3CDTF">2026-07-05T15:57:37Z</dcterms:created>
  <dcterms:modified xsi:type="dcterms:W3CDTF">2026-07-05T15:57:37Z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04 July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