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63E21" w14:textId="692F3199" w:rsidR="0085171F" w:rsidRDefault="0085171F">
      <w:pPr>
        <w:rPr>
          <w:b/>
          <w:bCs/>
        </w:rPr>
      </w:pPr>
      <w:r>
        <w:rPr>
          <w:b/>
          <w:bCs/>
        </w:rPr>
        <w:t>[draft section of planned article – still needs editing for conciseness]</w:t>
      </w:r>
    </w:p>
    <w:p w14:paraId="157607D4" w14:textId="77777777" w:rsidR="0085171F" w:rsidRDefault="0085171F">
      <w:pPr>
        <w:rPr>
          <w:b/>
          <w:bCs/>
        </w:rPr>
      </w:pPr>
    </w:p>
    <w:p w14:paraId="679B00B7" w14:textId="7C6A4F6D" w:rsidR="00EB398C" w:rsidRDefault="00EB398C">
      <w:pPr>
        <w:rPr>
          <w:b/>
          <w:bCs/>
        </w:rPr>
      </w:pPr>
      <w:r w:rsidRPr="00EB398C">
        <w:rPr>
          <w:b/>
          <w:bCs/>
        </w:rPr>
        <w:t>Determinants of shrinking bounds</w:t>
      </w:r>
    </w:p>
    <w:p w14:paraId="695B09D2" w14:textId="135B9F7A" w:rsidR="00EB398C" w:rsidRDefault="00EB398C">
      <w:r>
        <w:t xml:space="preserve">The degree to which the minimum and maximum boundaries of r are shrunk (compared to the theoretical boundaries of </w:t>
      </w:r>
      <w:r w:rsidR="0085171F">
        <w:t>[-</w:t>
      </w:r>
      <w:r>
        <w:t>1</w:t>
      </w:r>
      <w:r w:rsidR="0085171F">
        <w:t xml:space="preserve">, </w:t>
      </w:r>
      <w:r>
        <w:t>+1</w:t>
      </w:r>
      <w:r w:rsidR="0085171F">
        <w:t>]</w:t>
      </w:r>
      <w:r>
        <w:t xml:space="preserve"> is generally specific for which variables are paired. This raises the question which conditions affect the extent of this shrinkage. </w:t>
      </w:r>
      <w:r w:rsidR="00E9158A">
        <w:t>We address this question using data from the British Election Study 2024 (Fieldhouse et al. 202?), which is a typical example of the kind of social science mass-surveys that make frequent use of Likert-type (ordinal-categorical) items</w:t>
      </w:r>
      <w:r w:rsidR="00F17BE3">
        <w:t xml:space="preserve">. 123 such items from this study were used, which give rise to 7503 different pairs of items. For each of these we calculated their correlation, as well as the minimum and maximum values that those correlations can attain given the marginal distributions of the items. </w:t>
      </w:r>
      <w:commentRangeStart w:id="0"/>
      <w:r w:rsidR="00F17BE3">
        <w:t xml:space="preserve">Appendix </w:t>
      </w:r>
      <w:commentRangeEnd w:id="0"/>
      <w:r w:rsidR="00F17BE3">
        <w:rPr>
          <w:rStyle w:val="CommentReference"/>
          <w:sz w:val="24"/>
          <w:szCs w:val="24"/>
        </w:rPr>
        <w:commentReference w:id="0"/>
      </w:r>
      <w:r w:rsidR="00F17BE3">
        <w:t xml:space="preserve">X </w:t>
      </w:r>
      <w:r w:rsidR="0085171F">
        <w:t>provides</w:t>
      </w:r>
      <w:r w:rsidR="00F17BE3">
        <w:t xml:space="preserve"> further information about these data. </w:t>
      </w:r>
    </w:p>
    <w:p w14:paraId="1C17D2C6" w14:textId="6E75F349" w:rsidR="00A951ED" w:rsidRDefault="0085171F">
      <w:r>
        <w:t xml:space="preserve">In this study we </w:t>
      </w:r>
      <w:r w:rsidR="00A951ED">
        <w:t xml:space="preserve">quantify </w:t>
      </w:r>
      <w:r>
        <w:t xml:space="preserve">the </w:t>
      </w:r>
      <w:r w:rsidR="00A951ED">
        <w:t xml:space="preserve">shrinkage of the boundaries of r </w:t>
      </w:r>
      <w:r>
        <w:t xml:space="preserve">as follows: </w:t>
      </w:r>
    </w:p>
    <w:p w14:paraId="614FE33D" w14:textId="77777777" w:rsidR="0085171F" w:rsidRDefault="00A951ED">
      <w:r>
        <w:tab/>
        <w:t xml:space="preserve">s = </w:t>
      </w:r>
      <w:r w:rsidR="0085171F" w:rsidRPr="0085171F">
        <w:t>(|rmax| + |rmin|)/2</w:t>
      </w:r>
      <w:r>
        <w:tab/>
      </w:r>
    </w:p>
    <w:p w14:paraId="5C1A9C9F" w14:textId="666AF760" w:rsidR="0085171F" w:rsidRDefault="00A951ED">
      <w:r>
        <w:t>This expresses on a 0</w:t>
      </w:r>
      <w:r w:rsidR="007A7387">
        <w:t>-1 scale the proportion of the -1 to +1 range that is covered by the interval between rmin and rmax.</w:t>
      </w:r>
      <w:commentRangeStart w:id="1"/>
      <w:r w:rsidR="0085171F">
        <w:rPr>
          <w:rStyle w:val="FootnoteReference"/>
        </w:rPr>
        <w:footnoteReference w:id="1"/>
      </w:r>
      <w:commentRangeEnd w:id="1"/>
      <w:r w:rsidR="0085171F">
        <w:rPr>
          <w:rStyle w:val="CommentReference"/>
          <w:sz w:val="24"/>
          <w:szCs w:val="24"/>
        </w:rPr>
        <w:commentReference w:id="1"/>
      </w:r>
      <w:r w:rsidR="000E3A02">
        <w:t xml:space="preserve"> Interpreted in this way, s has a bounded range and falls strictly within [0, 1]. </w:t>
      </w:r>
      <w:r w:rsidR="0085171F">
        <w:rPr>
          <w:rStyle w:val="FootnoteReference"/>
        </w:rPr>
        <w:footnoteReference w:id="2"/>
      </w:r>
      <w:r w:rsidR="0085171F">
        <w:t xml:space="preserve"> A few distributional characteristics of s in our data (see Appendix XX) are reported in Table XX.</w:t>
      </w:r>
      <w:r w:rsidR="00FE4D8C">
        <w:t xml:space="preserve"> They demonstrate considerable variation in the values of s, thereby raising the question what conditions contribute to higher or lower values. In this section we address this question by regressing s on potentially relevant predictors. </w:t>
      </w:r>
    </w:p>
    <w:p w14:paraId="79324888" w14:textId="77777777" w:rsidR="0085171F" w:rsidRDefault="0085171F"/>
    <w:p w14:paraId="680E1148" w14:textId="6B32BC5F" w:rsidR="0085171F" w:rsidRDefault="0085171F">
      <w:pPr>
        <w:rPr>
          <w:b/>
          <w:bCs/>
        </w:rPr>
      </w:pPr>
      <w:r w:rsidRPr="0085171F">
        <w:rPr>
          <w:b/>
          <w:bCs/>
        </w:rPr>
        <w:t xml:space="preserve">Table XX Distributional characteristics of shrinkage coefficient </w:t>
      </w:r>
      <w:r w:rsidR="00E0192D">
        <w:rPr>
          <w:b/>
          <w:bCs/>
        </w:rPr>
        <w:t>S</w:t>
      </w:r>
      <w:r w:rsidRPr="0085171F">
        <w:rPr>
          <w:b/>
          <w:bCs/>
        </w:rPr>
        <w:t xml:space="preserve"> (N=7503)</w:t>
      </w:r>
      <w:r w:rsidR="00E0192D">
        <w:rPr>
          <w:b/>
          <w:bCs/>
        </w:rPr>
        <w:t>. Data from British Election Study 20</w:t>
      </w:r>
      <w:r w:rsidR="00B42EA1">
        <w:rPr>
          <w:b/>
          <w:bCs/>
        </w:rPr>
        <w:t>24 (see Appendix XX)</w:t>
      </w:r>
    </w:p>
    <w:tbl>
      <w:tblPr>
        <w:tblStyle w:val="TableGrid"/>
        <w:tblW w:w="0" w:type="auto"/>
        <w:tblLook w:val="04A0" w:firstRow="1" w:lastRow="0" w:firstColumn="1" w:lastColumn="0" w:noHBand="0" w:noVBand="1"/>
      </w:tblPr>
      <w:tblGrid>
        <w:gridCol w:w="3114"/>
        <w:gridCol w:w="1843"/>
      </w:tblGrid>
      <w:tr w:rsidR="0085171F" w14:paraId="18BB7274" w14:textId="77777777" w:rsidTr="00FE4D8C">
        <w:tc>
          <w:tcPr>
            <w:tcW w:w="3114" w:type="dxa"/>
          </w:tcPr>
          <w:p w14:paraId="713360EC" w14:textId="3B162C60" w:rsidR="0085171F" w:rsidRPr="0085171F" w:rsidRDefault="0085171F">
            <w:r w:rsidRPr="0085171F">
              <w:t>Minimum observed value</w:t>
            </w:r>
          </w:p>
        </w:tc>
        <w:tc>
          <w:tcPr>
            <w:tcW w:w="1843" w:type="dxa"/>
          </w:tcPr>
          <w:p w14:paraId="5B1A3DA3" w14:textId="6E62CE4D" w:rsidR="0085171F" w:rsidRPr="00FE4D8C" w:rsidRDefault="00F8251B" w:rsidP="00FE4D8C">
            <w:pPr>
              <w:jc w:val="center"/>
            </w:pPr>
            <w:r w:rsidRPr="00FE4D8C">
              <w:t>.516</w:t>
            </w:r>
          </w:p>
        </w:tc>
      </w:tr>
      <w:tr w:rsidR="0085171F" w14:paraId="2E75625D" w14:textId="77777777" w:rsidTr="00FE4D8C">
        <w:tc>
          <w:tcPr>
            <w:tcW w:w="3114" w:type="dxa"/>
          </w:tcPr>
          <w:p w14:paraId="6A22969E" w14:textId="74475916" w:rsidR="0085171F" w:rsidRPr="0085171F" w:rsidRDefault="0085171F">
            <w:r w:rsidRPr="0085171F">
              <w:t>Maximum observed value</w:t>
            </w:r>
          </w:p>
        </w:tc>
        <w:tc>
          <w:tcPr>
            <w:tcW w:w="1843" w:type="dxa"/>
          </w:tcPr>
          <w:p w14:paraId="4BF91A5E" w14:textId="101BB15A" w:rsidR="0085171F" w:rsidRPr="00FE4D8C" w:rsidRDefault="00F8251B" w:rsidP="00FE4D8C">
            <w:pPr>
              <w:jc w:val="center"/>
            </w:pPr>
            <w:r w:rsidRPr="00FE4D8C">
              <w:t>.991</w:t>
            </w:r>
          </w:p>
        </w:tc>
      </w:tr>
      <w:tr w:rsidR="0085171F" w14:paraId="230A5E8F" w14:textId="77777777" w:rsidTr="00FE4D8C">
        <w:tc>
          <w:tcPr>
            <w:tcW w:w="3114" w:type="dxa"/>
          </w:tcPr>
          <w:p w14:paraId="684B57EF" w14:textId="340C0E82" w:rsidR="0085171F" w:rsidRPr="0085171F" w:rsidRDefault="0085171F">
            <w:r w:rsidRPr="0085171F">
              <w:t>Average value</w:t>
            </w:r>
          </w:p>
        </w:tc>
        <w:tc>
          <w:tcPr>
            <w:tcW w:w="1843" w:type="dxa"/>
          </w:tcPr>
          <w:p w14:paraId="2D7956F9" w14:textId="02075C88" w:rsidR="0085171F" w:rsidRPr="00FE4D8C" w:rsidRDefault="00E23B70" w:rsidP="00FE4D8C">
            <w:pPr>
              <w:jc w:val="center"/>
            </w:pPr>
            <w:r w:rsidRPr="00FE4D8C">
              <w:t>.885</w:t>
            </w:r>
          </w:p>
        </w:tc>
      </w:tr>
      <w:tr w:rsidR="0085171F" w14:paraId="00BFEABB" w14:textId="77777777" w:rsidTr="00FE4D8C">
        <w:tc>
          <w:tcPr>
            <w:tcW w:w="3114" w:type="dxa"/>
          </w:tcPr>
          <w:p w14:paraId="5FDA4E18" w14:textId="3AE2C716" w:rsidR="0085171F" w:rsidRPr="0085171F" w:rsidRDefault="0085171F">
            <w:r w:rsidRPr="0085171F">
              <w:t>Standard deviation</w:t>
            </w:r>
          </w:p>
        </w:tc>
        <w:tc>
          <w:tcPr>
            <w:tcW w:w="1843" w:type="dxa"/>
          </w:tcPr>
          <w:p w14:paraId="54F2C6C2" w14:textId="5B8107FA" w:rsidR="0085171F" w:rsidRPr="00FE4D8C" w:rsidRDefault="007123AB" w:rsidP="00FE4D8C">
            <w:pPr>
              <w:jc w:val="center"/>
            </w:pPr>
            <w:r w:rsidRPr="00FE4D8C">
              <w:t>.060</w:t>
            </w:r>
          </w:p>
        </w:tc>
      </w:tr>
      <w:tr w:rsidR="0085171F" w14:paraId="4B876F0D" w14:textId="77777777" w:rsidTr="00FE4D8C">
        <w:tc>
          <w:tcPr>
            <w:tcW w:w="3114" w:type="dxa"/>
          </w:tcPr>
          <w:p w14:paraId="5D9CAAC6" w14:textId="01E1E7D6" w:rsidR="0085171F" w:rsidRPr="0085171F" w:rsidRDefault="0085171F">
            <w:r w:rsidRPr="0085171F">
              <w:t>5% percentile</w:t>
            </w:r>
          </w:p>
        </w:tc>
        <w:tc>
          <w:tcPr>
            <w:tcW w:w="1843" w:type="dxa"/>
          </w:tcPr>
          <w:p w14:paraId="5E505987" w14:textId="12775C78" w:rsidR="0085171F" w:rsidRPr="00FE4D8C" w:rsidRDefault="00FE4D8C" w:rsidP="00FE4D8C">
            <w:pPr>
              <w:jc w:val="center"/>
            </w:pPr>
            <w:r w:rsidRPr="00FE4D8C">
              <w:t>.764</w:t>
            </w:r>
          </w:p>
        </w:tc>
      </w:tr>
      <w:tr w:rsidR="0085171F" w14:paraId="5B627B01" w14:textId="77777777" w:rsidTr="00FE4D8C">
        <w:tc>
          <w:tcPr>
            <w:tcW w:w="3114" w:type="dxa"/>
          </w:tcPr>
          <w:p w14:paraId="25BC2BDA" w14:textId="4368D1BA" w:rsidR="0085171F" w:rsidRPr="0085171F" w:rsidRDefault="0085171F">
            <w:r w:rsidRPr="0085171F">
              <w:t>95% percentile</w:t>
            </w:r>
          </w:p>
        </w:tc>
        <w:tc>
          <w:tcPr>
            <w:tcW w:w="1843" w:type="dxa"/>
          </w:tcPr>
          <w:p w14:paraId="3EEB13C6" w14:textId="7B115846" w:rsidR="0085171F" w:rsidRPr="00FE4D8C" w:rsidRDefault="00FE4D8C" w:rsidP="00FE4D8C">
            <w:pPr>
              <w:jc w:val="center"/>
            </w:pPr>
            <w:r w:rsidRPr="00FE4D8C">
              <w:t>.954</w:t>
            </w:r>
          </w:p>
        </w:tc>
      </w:tr>
    </w:tbl>
    <w:p w14:paraId="5D146672" w14:textId="325C7E9B" w:rsidR="0085171F" w:rsidRPr="0085171F" w:rsidRDefault="0085171F">
      <w:pPr>
        <w:rPr>
          <w:b/>
          <w:bCs/>
        </w:rPr>
      </w:pPr>
    </w:p>
    <w:p w14:paraId="11CAACC4" w14:textId="5D2DB187" w:rsidR="00403491" w:rsidRDefault="00F7720E" w:rsidP="00331F07">
      <w:r>
        <w:lastRenderedPageBreak/>
        <w:t xml:space="preserve">As </w:t>
      </w:r>
      <w:r w:rsidR="00EC136A">
        <w:t>the values of</w:t>
      </w:r>
      <w:r>
        <w:t xml:space="preserve"> the dependent variable </w:t>
      </w:r>
      <w:r w:rsidR="00C951AD">
        <w:t xml:space="preserve">is strictly contained within [0, 1] </w:t>
      </w:r>
      <w:r w:rsidR="00FA65BE">
        <w:t>we use</w:t>
      </w:r>
      <w:r w:rsidR="00C951AD">
        <w:t xml:space="preserve"> beta-regression</w:t>
      </w:r>
      <w:r w:rsidR="00FA65BE">
        <w:t xml:space="preserve"> as the most appropriate analytical procedure</w:t>
      </w:r>
      <w:r w:rsidR="00C951AD">
        <w:t xml:space="preserve">. </w:t>
      </w:r>
      <w:r w:rsidR="00D41A3C">
        <w:t>I</w:t>
      </w:r>
      <w:r w:rsidR="003D48EA">
        <w:t>n addition to avoiding its predict</w:t>
      </w:r>
      <w:r w:rsidR="00B42EA1">
        <w:t>ed values</w:t>
      </w:r>
      <w:r w:rsidR="003D48EA">
        <w:t xml:space="preserve"> be</w:t>
      </w:r>
      <w:r w:rsidR="00FA65BE">
        <w:t>ing</w:t>
      </w:r>
      <w:r w:rsidR="003D48EA">
        <w:t xml:space="preserve"> outside the [0, 1] range, </w:t>
      </w:r>
      <w:r w:rsidR="00D41A3C">
        <w:t>t</w:t>
      </w:r>
      <w:r w:rsidR="003D48EA">
        <w:t>his procedure</w:t>
      </w:r>
      <w:r w:rsidR="00D41A3C">
        <w:t xml:space="preserve"> has the additional advantage that </w:t>
      </w:r>
      <w:r w:rsidR="009F0E5A">
        <w:t>skew</w:t>
      </w:r>
      <w:r w:rsidR="00906B9F">
        <w:t xml:space="preserve">ed </w:t>
      </w:r>
      <w:r w:rsidR="009F0E5A">
        <w:t>data</w:t>
      </w:r>
      <w:r w:rsidR="007865E0">
        <w:t xml:space="preserve">, </w:t>
      </w:r>
      <w:r w:rsidR="009F0E5A">
        <w:t xml:space="preserve">non-constant variance </w:t>
      </w:r>
      <w:r w:rsidR="007865E0">
        <w:t xml:space="preserve">and </w:t>
      </w:r>
      <w:r w:rsidR="00FA65BE">
        <w:t>non-normal error patterns</w:t>
      </w:r>
      <w:r w:rsidR="003D48EA">
        <w:t xml:space="preserve"> </w:t>
      </w:r>
      <w:r w:rsidR="00F014F6">
        <w:t xml:space="preserve">–all of which are prevalent in our data– </w:t>
      </w:r>
      <w:r w:rsidR="007865E0">
        <w:t>do not violate its assumptions</w:t>
      </w:r>
      <w:r w:rsidR="00FA65BE">
        <w:t>.</w:t>
      </w:r>
      <w:commentRangeStart w:id="2"/>
      <w:r w:rsidR="00597135">
        <w:rPr>
          <w:rStyle w:val="FootnoteReference"/>
        </w:rPr>
        <w:footnoteReference w:id="3"/>
      </w:r>
      <w:r w:rsidR="00FA65BE">
        <w:t xml:space="preserve"> </w:t>
      </w:r>
      <w:commentRangeEnd w:id="2"/>
      <w:r w:rsidR="00A52922">
        <w:rPr>
          <w:rStyle w:val="CommentReference"/>
          <w:sz w:val="24"/>
          <w:szCs w:val="24"/>
        </w:rPr>
        <w:commentReference w:id="2"/>
      </w:r>
    </w:p>
    <w:p w14:paraId="0CB63D67" w14:textId="77777777" w:rsidR="00F014F6" w:rsidRDefault="00F014F6" w:rsidP="00331F07"/>
    <w:p w14:paraId="7E7FB307" w14:textId="42AEC7ED" w:rsidR="00F014F6" w:rsidRDefault="00F014F6" w:rsidP="00331F07">
      <w:r>
        <w:t>As the dependent variable</w:t>
      </w:r>
      <w:r w:rsidR="00A52922">
        <w:t xml:space="preserve"> </w:t>
      </w:r>
      <w:r>
        <w:t xml:space="preserve"> </w:t>
      </w:r>
      <w:r w:rsidR="00A52922">
        <w:t>–shrinkage of the interval of attainable values of r</w:t>
      </w:r>
      <w:r w:rsidR="00A52922">
        <w:t>–</w:t>
      </w:r>
      <w:r w:rsidR="00A52922">
        <w:t xml:space="preserve"> </w:t>
      </w:r>
      <w:r>
        <w:t xml:space="preserve">pertains to pairs of variables, the most obvious independent variables do so as well. </w:t>
      </w:r>
    </w:p>
    <w:p w14:paraId="2A6D038C" w14:textId="476C2D7C" w:rsidR="00F014F6" w:rsidRDefault="00F014F6" w:rsidP="00D67771">
      <w:r>
        <w:t xml:space="preserve">A first category of independent variables </w:t>
      </w:r>
      <w:r w:rsidR="00A52922">
        <w:t>reflects</w:t>
      </w:r>
      <w:r>
        <w:t xml:space="preserve"> </w:t>
      </w:r>
      <w:r w:rsidR="00A52922" w:rsidRPr="00A52922">
        <w:rPr>
          <w:i/>
          <w:iCs/>
        </w:rPr>
        <w:t>differences between</w:t>
      </w:r>
      <w:r w:rsidR="00A52922">
        <w:t xml:space="preserve"> </w:t>
      </w:r>
      <w:r w:rsidRPr="00D440E7">
        <w:rPr>
          <w:i/>
          <w:iCs/>
        </w:rPr>
        <w:t>distribution</w:t>
      </w:r>
      <w:r w:rsidR="004F02C0" w:rsidRPr="00D440E7">
        <w:rPr>
          <w:i/>
          <w:iCs/>
        </w:rPr>
        <w:t>al characteristics</w:t>
      </w:r>
      <w:r>
        <w:t xml:space="preserve"> of the two variables involved. </w:t>
      </w:r>
      <w:r w:rsidR="00A52922">
        <w:t xml:space="preserve">Such </w:t>
      </w:r>
      <w:r w:rsidR="004F02C0">
        <w:t xml:space="preserve">differences </w:t>
      </w:r>
      <w:r w:rsidR="00A52922">
        <w:t xml:space="preserve">are reflected in </w:t>
      </w:r>
      <w:r w:rsidR="004F02C0">
        <w:t>the means, the (interpolated) medians, the standard deviations, the skew, and the kurtosis</w:t>
      </w:r>
      <w:r w:rsidR="00A52922">
        <w:t xml:space="preserve"> (</w:t>
      </w:r>
      <w:r w:rsidR="00642310">
        <w:t xml:space="preserve">as well as </w:t>
      </w:r>
      <w:r w:rsidR="00A52922">
        <w:t xml:space="preserve">higher </w:t>
      </w:r>
      <w:r w:rsidR="00642310">
        <w:t>comparisons of higher moments of the two distributions, which we will not pursue here)</w:t>
      </w:r>
      <w:r w:rsidR="004F02C0">
        <w:t xml:space="preserve">. Additionally, the Wasserstein distance (aka </w:t>
      </w:r>
      <w:r w:rsidR="00D67771">
        <w:t xml:space="preserve">Kantorovich-Rubinstein distance, or </w:t>
      </w:r>
      <w:r w:rsidR="004F02C0">
        <w:t xml:space="preserve">earthmover distance) </w:t>
      </w:r>
      <w:r w:rsidR="00642310">
        <w:t>i</w:t>
      </w:r>
      <w:r w:rsidR="004F02C0">
        <w:t>s a</w:t>
      </w:r>
      <w:r w:rsidR="00D440E7">
        <w:t>n overall</w:t>
      </w:r>
      <w:r w:rsidR="004F02C0">
        <w:t xml:space="preserve"> measure of distributional </w:t>
      </w:r>
      <w:r w:rsidR="00642310">
        <w:t>difference</w:t>
      </w:r>
      <w:r w:rsidR="004F02C0">
        <w:t xml:space="preserve"> of the two variables involved</w:t>
      </w:r>
      <w:r w:rsidR="00D440E7">
        <w:t xml:space="preserve"> (cf. </w:t>
      </w:r>
      <w:commentRangeStart w:id="3"/>
      <w:r w:rsidR="00866AA0">
        <w:t xml:space="preserve">Linden </w:t>
      </w:r>
      <w:commentRangeEnd w:id="3"/>
      <w:r w:rsidR="00866AA0">
        <w:rPr>
          <w:rStyle w:val="CommentReference"/>
          <w:sz w:val="24"/>
          <w:szCs w:val="24"/>
        </w:rPr>
        <w:commentReference w:id="3"/>
      </w:r>
      <w:r w:rsidR="00866AA0">
        <w:t>2025</w:t>
      </w:r>
      <w:r w:rsidR="00D440E7">
        <w:t xml:space="preserve">). </w:t>
      </w:r>
      <w:commentRangeStart w:id="4"/>
      <w:r w:rsidR="00D440E7">
        <w:t xml:space="preserve">Our expectation </w:t>
      </w:r>
      <w:commentRangeEnd w:id="4"/>
      <w:r w:rsidR="00866AA0">
        <w:rPr>
          <w:rStyle w:val="CommentReference"/>
          <w:sz w:val="24"/>
          <w:szCs w:val="24"/>
        </w:rPr>
        <w:commentReference w:id="4"/>
      </w:r>
      <w:r w:rsidR="00D440E7">
        <w:t xml:space="preserve">is that larger differences between distributions engender stronger shrinkage of </w:t>
      </w:r>
      <w:r w:rsidR="00642310">
        <w:t xml:space="preserve">the interval of attainable values of r </w:t>
      </w:r>
      <w:r w:rsidR="00D440E7">
        <w:t xml:space="preserve">(when compared to </w:t>
      </w:r>
      <w:r w:rsidR="00574E61">
        <w:t>[</w:t>
      </w:r>
      <w:r w:rsidR="00D440E7">
        <w:t>-1</w:t>
      </w:r>
      <w:r w:rsidR="00574E61">
        <w:t xml:space="preserve">, </w:t>
      </w:r>
      <w:r w:rsidR="00D440E7">
        <w:t>+1</w:t>
      </w:r>
      <w:r w:rsidR="00574E61">
        <w:t>]</w:t>
      </w:r>
      <w:r w:rsidR="00D440E7">
        <w:t xml:space="preserve">). A second category of independent variables relates to </w:t>
      </w:r>
      <w:r w:rsidR="00D440E7" w:rsidRPr="00642310">
        <w:rPr>
          <w:i/>
          <w:iCs/>
        </w:rPr>
        <w:t xml:space="preserve">the </w:t>
      </w:r>
      <w:r w:rsidR="00642310" w:rsidRPr="00642310">
        <w:rPr>
          <w:i/>
          <w:iCs/>
        </w:rPr>
        <w:t xml:space="preserve">formats </w:t>
      </w:r>
      <w:r w:rsidR="00642310" w:rsidRPr="00642310">
        <w:rPr>
          <w:i/>
          <w:iCs/>
        </w:rPr>
        <w:t>of the two ordered-categorical variables</w:t>
      </w:r>
      <w:r w:rsidR="00642310" w:rsidRPr="00642310">
        <w:rPr>
          <w:i/>
          <w:iCs/>
        </w:rPr>
        <w:t xml:space="preserve"> involved</w:t>
      </w:r>
      <w:r w:rsidR="00642310">
        <w:t xml:space="preserve">: their </w:t>
      </w:r>
      <w:r w:rsidR="00D440E7">
        <w:t xml:space="preserve">number of categories. </w:t>
      </w:r>
      <w:r w:rsidR="00866AA0">
        <w:t>Not all Likert-style items included in a questionnaire are necessarily the same in this respect. The most common formats in the literature, and in single questionnaires are 4-, 5-, 7-, 10- and 11-category items.</w:t>
      </w:r>
      <w:r w:rsidR="00642310" w:rsidRPr="00642310">
        <w:rPr>
          <w:rStyle w:val="FootnoteReference"/>
        </w:rPr>
        <w:t xml:space="preserve"> </w:t>
      </w:r>
      <w:r w:rsidR="00642310">
        <w:rPr>
          <w:rStyle w:val="FootnoteReference"/>
        </w:rPr>
        <w:footnoteReference w:id="4"/>
      </w:r>
      <w:r w:rsidR="00D12FF5">
        <w:rPr>
          <w:rStyle w:val="FootnoteReference"/>
        </w:rPr>
        <w:footnoteReference w:id="5"/>
      </w:r>
      <w:r w:rsidR="00866AA0">
        <w:t xml:space="preserve"> </w:t>
      </w:r>
      <w:r w:rsidR="00F10C62">
        <w:t xml:space="preserve">One independent variable is </w:t>
      </w:r>
      <w:r w:rsidR="00866AA0">
        <w:t xml:space="preserve">whether or not the number of categories is the same (which we refer to as ‘square’) or different (‘rectangular’). Second, the </w:t>
      </w:r>
      <w:r w:rsidR="00642310">
        <w:t xml:space="preserve">product of the </w:t>
      </w:r>
      <w:r w:rsidR="00866AA0">
        <w:t xml:space="preserve">number of categories </w:t>
      </w:r>
      <w:r w:rsidR="00642310">
        <w:t>of</w:t>
      </w:r>
      <w:r w:rsidR="00866AA0">
        <w:t xml:space="preserve"> the two variables</w:t>
      </w:r>
      <w:r w:rsidR="00642310">
        <w:t xml:space="preserve"> may be relevant, or in other words, the size (number of cells) of the crosstabulation of the two variables. T</w:t>
      </w:r>
      <w:r w:rsidR="00D12FF5">
        <w:t xml:space="preserve">his was included in our analysis by </w:t>
      </w:r>
      <w:r w:rsidR="00642310">
        <w:t>the</w:t>
      </w:r>
      <w:r w:rsidR="00DC5716">
        <w:t xml:space="preserve"> </w:t>
      </w:r>
      <w:r w:rsidR="00D12FF5">
        <w:t xml:space="preserve">square root of the product of </w:t>
      </w:r>
      <w:r w:rsidR="00F10C62">
        <w:t xml:space="preserve">the </w:t>
      </w:r>
      <w:r w:rsidR="00D12FF5">
        <w:t xml:space="preserve">number of categories of each </w:t>
      </w:r>
      <w:r w:rsidR="00642310">
        <w:t>variable</w:t>
      </w:r>
      <w:r w:rsidR="00D12FF5">
        <w:t>.</w:t>
      </w:r>
      <w:r w:rsidR="00642310">
        <w:rPr>
          <w:rStyle w:val="FootnoteReference"/>
        </w:rPr>
        <w:footnoteReference w:id="6"/>
      </w:r>
      <w:r w:rsidR="00C70426">
        <w:t xml:space="preserve"> </w:t>
      </w:r>
      <w:r w:rsidR="00DC5716">
        <w:t xml:space="preserve">We </w:t>
      </w:r>
      <w:commentRangeStart w:id="5"/>
      <w:r w:rsidR="00DC5716">
        <w:t>expect</w:t>
      </w:r>
      <w:commentRangeEnd w:id="5"/>
      <w:r w:rsidR="00642310">
        <w:rPr>
          <w:rStyle w:val="CommentReference"/>
          <w:sz w:val="24"/>
          <w:szCs w:val="24"/>
        </w:rPr>
        <w:commentReference w:id="5"/>
      </w:r>
      <w:r w:rsidR="00DC5716">
        <w:t xml:space="preserve"> that whether the pair of variables is square or rectangular has no systematic effect on the extent of shrinkage of rmax and rmin, while the size of their combined categories has a </w:t>
      </w:r>
      <w:r w:rsidR="00DC5716">
        <w:lastRenderedPageBreak/>
        <w:t xml:space="preserve">positive effect on it, as the marginals are less stringently constraining </w:t>
      </w:r>
      <w:r w:rsidR="00642310">
        <w:t xml:space="preserve">attainable values of </w:t>
      </w:r>
      <w:r w:rsidR="00DC5716">
        <w:t xml:space="preserve">r with a larger combined size.  </w:t>
      </w:r>
    </w:p>
    <w:p w14:paraId="5DAA5EDA" w14:textId="025BEF68" w:rsidR="00DC5716" w:rsidRDefault="00DC5716" w:rsidP="00D67771">
      <w:commentRangeStart w:id="6"/>
      <w:r>
        <w:t xml:space="preserve">Summarising: our data consists of 7503 cases, with each case being a pair of </w:t>
      </w:r>
      <w:r w:rsidR="00642310">
        <w:t xml:space="preserve">ordered-categorical </w:t>
      </w:r>
      <w:r>
        <w:t xml:space="preserve">variables (Likert-type items). For each case we have the empirically observed correlation, as well as its maximum and minimum attainable values given the marginals of the two variables. This information is used to define </w:t>
      </w:r>
      <w:r w:rsidR="00642310">
        <w:t>a quantified</w:t>
      </w:r>
      <w:r>
        <w:t xml:space="preserve"> operationalisations of the dependent variable</w:t>
      </w:r>
      <w:r w:rsidR="00642310">
        <w:t xml:space="preserve"> (the</w:t>
      </w:r>
      <w:r>
        <w:t xml:space="preserve"> shrinkage of </w:t>
      </w:r>
      <w:r w:rsidR="00642310">
        <w:t xml:space="preserve">the interval of attainable values </w:t>
      </w:r>
      <w:r>
        <w:t>in comparison to the classic [-1, +1] range</w:t>
      </w:r>
      <w:r w:rsidR="00642310">
        <w:t>). As</w:t>
      </w:r>
      <w:r>
        <w:t xml:space="preserve"> independent variables we have 7 variables each of which reflects an aspect of distributional difference between the two variables of the pair. We have also two </w:t>
      </w:r>
      <w:r w:rsidR="00642310">
        <w:t xml:space="preserve">format-related </w:t>
      </w:r>
      <w:r>
        <w:t>variables</w:t>
      </w:r>
      <w:r w:rsidR="00642310">
        <w:t>: whether or not the two variables</w:t>
      </w:r>
      <w:r>
        <w:t xml:space="preserve"> have the same number of categories (square vs rectangular), and the size of the </w:t>
      </w:r>
      <w:r w:rsidR="00642310">
        <w:t xml:space="preserve">Cartesian product of the two sets of categories of the </w:t>
      </w:r>
      <w:r>
        <w:t xml:space="preserve">two variables. Finally, we have chosen an analytical procedure –beta regression– that guarantees that </w:t>
      </w:r>
      <w:r w:rsidR="002C5CE7">
        <w:t xml:space="preserve">predicted values </w:t>
      </w:r>
      <w:r>
        <w:t xml:space="preserve">are contained in the [0, 1] interval of the dependent variable and that is not troubled by skew, heteroskedasticity and other aspects of the data that would be cumbersome for other regression procedures. </w:t>
      </w:r>
      <w:commentRangeEnd w:id="6"/>
      <w:r w:rsidR="00642310">
        <w:rPr>
          <w:rStyle w:val="CommentReference"/>
          <w:sz w:val="24"/>
          <w:szCs w:val="24"/>
        </w:rPr>
        <w:commentReference w:id="6"/>
      </w:r>
    </w:p>
    <w:p w14:paraId="0DFD0BE0" w14:textId="77777777" w:rsidR="004F1B0D" w:rsidRDefault="004F1B0D" w:rsidP="00A951ED"/>
    <w:p w14:paraId="3A62A0FD" w14:textId="35005913" w:rsidR="00286B5E" w:rsidRDefault="002C5CE7" w:rsidP="00A951ED">
      <w:r>
        <w:t xml:space="preserve">A few complicating factors have to be kept in mind when analysing the data. First, the independent variables </w:t>
      </w:r>
      <w:r w:rsidR="00D05692">
        <w:t xml:space="preserve">pertaining to distributional differences </w:t>
      </w:r>
      <w:r>
        <w:t>are clearly and strongly correlated with each other</w:t>
      </w:r>
      <w:r w:rsidR="00286B5E">
        <w:t>, as documented in Table X</w:t>
      </w:r>
      <w:r>
        <w:t xml:space="preserve">. This </w:t>
      </w:r>
      <w:r w:rsidR="00406B88">
        <w:t xml:space="preserve">reflects partly that </w:t>
      </w:r>
      <w:r>
        <w:t>different distributional characteristics are by necessity correlated in the case of ordered-categorical variables.</w:t>
      </w:r>
      <w:r w:rsidR="00406B88">
        <w:rPr>
          <w:rStyle w:val="FootnoteReference"/>
        </w:rPr>
        <w:footnoteReference w:id="7"/>
      </w:r>
      <w:r>
        <w:t xml:space="preserve"> </w:t>
      </w:r>
      <w:r w:rsidR="00D05692">
        <w:t xml:space="preserve">The two format-related variables are </w:t>
      </w:r>
      <w:r w:rsidR="00642310">
        <w:t xml:space="preserve">only </w:t>
      </w:r>
      <w:r w:rsidR="00D05692">
        <w:t>weakly related to the other variables, and also only weakly to each other.</w:t>
      </w:r>
    </w:p>
    <w:p w14:paraId="7D9C40EF" w14:textId="77777777" w:rsidR="00642310" w:rsidRDefault="00642310" w:rsidP="00A951ED"/>
    <w:p w14:paraId="6CA35DB0" w14:textId="77777777" w:rsidR="00642310" w:rsidRDefault="00642310">
      <w:pPr>
        <w:rPr>
          <w:b/>
          <w:bCs/>
        </w:rPr>
      </w:pPr>
      <w:r>
        <w:rPr>
          <w:b/>
          <w:bCs/>
        </w:rPr>
        <w:br w:type="page"/>
      </w:r>
    </w:p>
    <w:p w14:paraId="72E9ABE1" w14:textId="56E14BA1" w:rsidR="00642310" w:rsidRDefault="00642310" w:rsidP="00A951ED">
      <w:r w:rsidRPr="00642310">
        <w:rPr>
          <w:b/>
          <w:bCs/>
        </w:rPr>
        <w:lastRenderedPageBreak/>
        <w:t>Table X: Correlations between variables expression distributional differences and item-format differences between the two variables involved in a correlation coefficient. N=7503.</w:t>
      </w:r>
      <w:r>
        <w:t xml:space="preserve"> </w:t>
      </w:r>
    </w:p>
    <w:p w14:paraId="0B616257" w14:textId="35834C17" w:rsidR="00286B5E" w:rsidRDefault="008E6846" w:rsidP="00A951ED">
      <w:r w:rsidRPr="008E6846">
        <w:rPr>
          <w:noProof/>
        </w:rPr>
        <w:drawing>
          <wp:inline distT="0" distB="0" distL="0" distR="0" wp14:anchorId="090ADE15" wp14:editId="16C19713">
            <wp:extent cx="5731510" cy="1638300"/>
            <wp:effectExtent l="0" t="0" r="2540" b="0"/>
            <wp:docPr id="146079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91506" name=""/>
                    <pic:cNvPicPr/>
                  </pic:nvPicPr>
                  <pic:blipFill>
                    <a:blip r:embed="rId12"/>
                    <a:stretch>
                      <a:fillRect/>
                    </a:stretch>
                  </pic:blipFill>
                  <pic:spPr>
                    <a:xfrm>
                      <a:off x="0" y="0"/>
                      <a:ext cx="5731510" cy="1638300"/>
                    </a:xfrm>
                    <a:prstGeom prst="rect">
                      <a:avLst/>
                    </a:prstGeom>
                  </pic:spPr>
                </pic:pic>
              </a:graphicData>
            </a:graphic>
          </wp:inline>
        </w:drawing>
      </w:r>
    </w:p>
    <w:p w14:paraId="07B98E2B" w14:textId="5987A57C" w:rsidR="00286B5E" w:rsidRDefault="00642310" w:rsidP="00A951ED">
      <w:r>
        <w:t xml:space="preserve">[Note: in the following order the variables reflect differences between the two means / differences between the two interpolated medians / differences between the two standard deviations / difference between the two skews / differences between the two kurtoses / Wasserstein distance / square root of product of the numbers of categories / whether the two variables have the same number of categories.]  </w:t>
      </w:r>
    </w:p>
    <w:p w14:paraId="2897D82B" w14:textId="77777777" w:rsidR="00642310" w:rsidRDefault="00642310" w:rsidP="00A951ED"/>
    <w:p w14:paraId="2F11991A" w14:textId="0BC073C1" w:rsidR="00D42936" w:rsidRDefault="00406B88" w:rsidP="00A951ED">
      <w:r>
        <w:t>Th</w:t>
      </w:r>
      <w:r w:rsidR="00642310">
        <w:t xml:space="preserve">e strong intercorrelations of the differences in distribution variables </w:t>
      </w:r>
      <w:r>
        <w:t>impl</w:t>
      </w:r>
      <w:r w:rsidR="00642310">
        <w:t xml:space="preserve">y </w:t>
      </w:r>
      <w:r>
        <w:t>that inclusion or exclusion of a particular variable may have a considerable effect on the coefficients of the other variables, thereby complicating model comparisons. Second, many of the relationships between the variables we analyse deviate from linearity, and defy easy linearisation via Box-Cox or similar transformations (cf</w:t>
      </w:r>
      <w:commentRangeStart w:id="7"/>
      <w:r>
        <w:t xml:space="preserve">. </w:t>
      </w:r>
      <w:r w:rsidR="006A2583">
        <w:t>Box and Cox 1964</w:t>
      </w:r>
      <w:commentRangeEnd w:id="7"/>
      <w:r w:rsidR="006A2583">
        <w:rPr>
          <w:rStyle w:val="CommentReference"/>
          <w:sz w:val="24"/>
          <w:szCs w:val="24"/>
        </w:rPr>
        <w:commentReference w:id="7"/>
      </w:r>
      <w:r>
        <w:t>). That is not a problem for applying beta regression as this procedure is renowned for its flexibility and lenient assumptions</w:t>
      </w:r>
      <w:r w:rsidR="00CD69AF">
        <w:t xml:space="preserve"> (cf. </w:t>
      </w:r>
      <w:commentRangeStart w:id="8"/>
      <w:r w:rsidR="00815E52">
        <w:t>Ferrari and Cribari-Neto 2004</w:t>
      </w:r>
      <w:commentRangeEnd w:id="8"/>
      <w:r w:rsidR="00815E52">
        <w:rPr>
          <w:rStyle w:val="CommentReference"/>
          <w:sz w:val="24"/>
          <w:szCs w:val="24"/>
        </w:rPr>
        <w:commentReference w:id="8"/>
      </w:r>
      <w:r w:rsidR="00815E52">
        <w:t>)</w:t>
      </w:r>
      <w:r>
        <w:t xml:space="preserve">. But it implies </w:t>
      </w:r>
      <w:r w:rsidR="00815E52">
        <w:t xml:space="preserve">that the interpretation of estimated model parameters is less than straightforward because of these non-linearities. </w:t>
      </w:r>
      <w:r>
        <w:t xml:space="preserve">We focus therefore in our reporting on the average marginal effects of the components of our model rather than on their coefficients, reporting the latter in Appendix X. </w:t>
      </w:r>
      <w:r w:rsidR="007B5ABA">
        <w:t xml:space="preserve">A third complication concerns the specification of link functions. Beta regression models are characterised by two link functions, one for the </w:t>
      </w:r>
      <w:r w:rsidR="00334829">
        <w:t xml:space="preserve">conditional mean of the dependent variable, and one for </w:t>
      </w:r>
      <w:r w:rsidR="00CD5448">
        <w:t>the conditional scale</w:t>
      </w:r>
      <w:r w:rsidR="00F61761">
        <w:t xml:space="preserve"> or precision parameter (known as </w:t>
      </w:r>
      <w:r w:rsidR="00503660">
        <w:t>phi</w:t>
      </w:r>
      <w:r w:rsidR="007E4E9F">
        <w:t xml:space="preserve">, which reflects the variance </w:t>
      </w:r>
      <w:r w:rsidR="00691E87">
        <w:t>of the conditional mean of the dependent variable</w:t>
      </w:r>
      <w:r w:rsidR="00503660">
        <w:t>)</w:t>
      </w:r>
      <w:r w:rsidR="00CD5448">
        <w:t>. Depending on the software</w:t>
      </w:r>
      <w:r w:rsidR="00815E52">
        <w:t xml:space="preserve"> used</w:t>
      </w:r>
      <w:r w:rsidR="00CD5448">
        <w:t xml:space="preserve">, multiple options exist for this specification. In Stata (the software used for these analyses) the link function for the conditional mean can be set to any of four options: logit, probit, </w:t>
      </w:r>
      <w:r w:rsidR="00E747BE">
        <w:t>complementary</w:t>
      </w:r>
      <w:r w:rsidR="00CD5448">
        <w:t xml:space="preserve"> loglog, or loglog. The link function for the conditional scale can be either log, or root, or identity</w:t>
      </w:r>
      <w:r w:rsidR="00DA5E51">
        <w:t xml:space="preserve"> (i.e., a di</w:t>
      </w:r>
      <w:r w:rsidR="003710BD">
        <w:t>r</w:t>
      </w:r>
      <w:r w:rsidR="00DA5E51">
        <w:t>ect linear interpretation</w:t>
      </w:r>
      <w:r w:rsidR="003710BD">
        <w:t>)</w:t>
      </w:r>
      <w:r w:rsidR="00E747BE">
        <w:t xml:space="preserve">. Together this provides </w:t>
      </w:r>
      <w:r w:rsidR="00815E52">
        <w:t>a large number of</w:t>
      </w:r>
      <w:r w:rsidR="00E747BE">
        <w:t xml:space="preserve"> different options for specifying link functions. Which of these options is optimal for modelling the data can generally not be determined on substantive or theoretical grounds. It is common </w:t>
      </w:r>
      <w:r w:rsidR="006B2F90">
        <w:t>t</w:t>
      </w:r>
      <w:r w:rsidR="00E747BE">
        <w:t xml:space="preserve">o make </w:t>
      </w:r>
      <w:r w:rsidR="006B2F90">
        <w:t>this</w:t>
      </w:r>
      <w:r w:rsidR="00E747BE">
        <w:t xml:space="preserve"> choice on the basis of</w:t>
      </w:r>
      <w:r w:rsidR="006B2F90">
        <w:t xml:space="preserve"> </w:t>
      </w:r>
      <w:r w:rsidR="00B85B7B">
        <w:t>a</w:t>
      </w:r>
      <w:r w:rsidR="00E56C38">
        <w:t xml:space="preserve"> </w:t>
      </w:r>
      <w:r w:rsidR="00AB6851">
        <w:t>models’ Bayesian information crit</w:t>
      </w:r>
      <w:r w:rsidR="00674324">
        <w:t>e</w:t>
      </w:r>
      <w:r w:rsidR="00AB6851">
        <w:t xml:space="preserve">rion </w:t>
      </w:r>
      <w:r w:rsidR="00674324">
        <w:lastRenderedPageBreak/>
        <w:t>(BIC)</w:t>
      </w:r>
      <w:r w:rsidR="00815E52">
        <w:t xml:space="preserve"> </w:t>
      </w:r>
      <w:r w:rsidR="00674324">
        <w:t xml:space="preserve">(see </w:t>
      </w:r>
      <w:commentRangeStart w:id="9"/>
      <w:r w:rsidR="003A23CE">
        <w:t>Smithson and Verkuilen 2006</w:t>
      </w:r>
      <w:commentRangeEnd w:id="9"/>
      <w:r w:rsidR="00B85B7B">
        <w:rPr>
          <w:rStyle w:val="CommentReference"/>
          <w:sz w:val="24"/>
          <w:szCs w:val="24"/>
        </w:rPr>
        <w:commentReference w:id="9"/>
      </w:r>
      <w:r w:rsidR="003A23CE">
        <w:t>).</w:t>
      </w:r>
      <w:r w:rsidR="00B85B7B">
        <w:t xml:space="preserve"> The implication of this is that a preliminary analysis is required to arrive at a specification of the link functions, after which the substantive modelling takes place using this link specification. </w:t>
      </w:r>
      <w:r w:rsidR="00691E87">
        <w:t>A fourth choice concerns the substantive character of the model, as is reflected in the choice of independent variables. These covariates are an essential part of the conditional-mean</w:t>
      </w:r>
      <w:r w:rsidR="0043643C">
        <w:t>s</w:t>
      </w:r>
      <w:r w:rsidR="00691E87">
        <w:t xml:space="preserve"> model in beta regression </w:t>
      </w:r>
      <w:r w:rsidR="00D74907">
        <w:t>and</w:t>
      </w:r>
      <w:r w:rsidR="00691E87">
        <w:t xml:space="preserve"> may also be used in the conditional scale modelling. </w:t>
      </w:r>
    </w:p>
    <w:p w14:paraId="6C5D36C5" w14:textId="1D64DC1C" w:rsidR="0043643C" w:rsidRDefault="0043643C" w:rsidP="00A951ED">
      <w:r>
        <w:t>Given these complicating factors, our modelling strategy consists of the following steps. We start with a preliminary model that is estimated for all possible specifications of the two link functions. We compare the BIC values of th</w:t>
      </w:r>
      <w:r w:rsidR="00744DED">
        <w:t>e</w:t>
      </w:r>
      <w:r>
        <w:t xml:space="preserve">se models and chose the </w:t>
      </w:r>
      <w:r w:rsidR="00744DED">
        <w:t xml:space="preserve">link function </w:t>
      </w:r>
      <w:r>
        <w:t>specification</w:t>
      </w:r>
      <w:r w:rsidR="00815E52">
        <w:t>s</w:t>
      </w:r>
      <w:r>
        <w:t xml:space="preserve"> that result in the lowest BIC value. </w:t>
      </w:r>
      <w:r w:rsidR="00EC34AF">
        <w:t xml:space="preserve">Subsequently we develop the preliminary model to a final one, </w:t>
      </w:r>
      <w:r w:rsidR="006900C1">
        <w:t>using likelihood ratio tests</w:t>
      </w:r>
      <w:r w:rsidR="00815E52">
        <w:t xml:space="preserve"> and</w:t>
      </w:r>
      <w:r w:rsidR="006900C1">
        <w:t xml:space="preserve"> BIC</w:t>
      </w:r>
      <w:r w:rsidR="00815E52">
        <w:t xml:space="preserve"> to decide on in/exclusion of regressors</w:t>
      </w:r>
      <w:r w:rsidR="006900C1">
        <w:t>. Finally</w:t>
      </w:r>
      <w:r w:rsidR="00D74907">
        <w:t>,</w:t>
      </w:r>
      <w:r w:rsidR="006900C1">
        <w:t xml:space="preserve"> we assess the overall explanatory power of the final model, and the average </w:t>
      </w:r>
      <w:r w:rsidR="00790AB1">
        <w:t xml:space="preserve">marginal effects of the regressors. </w:t>
      </w:r>
    </w:p>
    <w:p w14:paraId="3202E479" w14:textId="5D2A7F82" w:rsidR="00790AB1" w:rsidRDefault="0054314B" w:rsidP="00A951ED">
      <w:r>
        <w:t>We chose for t</w:t>
      </w:r>
      <w:r w:rsidR="00E02CAA">
        <w:t>he preliminary</w:t>
      </w:r>
      <w:r w:rsidR="00354962">
        <w:t xml:space="preserve"> model to be used </w:t>
      </w:r>
      <w:r w:rsidR="002E35D9">
        <w:t xml:space="preserve">a simple model that contains only 2 independent variables, one from each of the two categories of independent variables mentioned earlier. From the category of differences between the distributional characteristics of the two </w:t>
      </w:r>
      <w:r w:rsidR="00E35E48">
        <w:t>variables,</w:t>
      </w:r>
      <w:r w:rsidR="002E35D9">
        <w:t xml:space="preserve"> we chose the </w:t>
      </w:r>
      <w:r w:rsidR="00E35E48">
        <w:t>difference between the means of the two variables involved</w:t>
      </w:r>
      <w:r w:rsidR="002E35D9">
        <w:t xml:space="preserve">. </w:t>
      </w:r>
      <w:r w:rsidR="00E35E48">
        <w:t>Of all variables reflecting distributional differences, this one is most strongly related to all the other ones.</w:t>
      </w:r>
      <w:r w:rsidR="00E35E48">
        <w:rPr>
          <w:rStyle w:val="FootnoteReference"/>
        </w:rPr>
        <w:footnoteReference w:id="8"/>
      </w:r>
      <w:r w:rsidR="00E35E48">
        <w:t xml:space="preserve"> </w:t>
      </w:r>
      <w:r w:rsidR="00F10C62">
        <w:t>From the category of the format of the two Likert items we chose the variable of the square root of the product of the number of categories of each, as it provides more discrimination tha</w:t>
      </w:r>
      <w:r w:rsidR="00D74907">
        <w:t>n</w:t>
      </w:r>
      <w:r w:rsidR="00F10C62">
        <w:t xml:space="preserve"> the square/rectangular dichotomy. </w:t>
      </w:r>
    </w:p>
    <w:p w14:paraId="7066D8CC" w14:textId="55BC1873" w:rsidR="00D74907" w:rsidRDefault="00D74907" w:rsidP="00A951ED">
      <w:r>
        <w:t xml:space="preserve">These preliminary stages of modelling lead to the conclusion that a loglog link function of the conditional mean, in combination with a square root link function for the scale model (while using the difference of means as a covariate in the scale model) fits the data better than any other combination, </w:t>
      </w:r>
      <w:commentRangeStart w:id="10"/>
      <w:r>
        <w:t>using the BIC criterion</w:t>
      </w:r>
      <w:commentRangeEnd w:id="10"/>
      <w:r>
        <w:rPr>
          <w:rStyle w:val="CommentReference"/>
          <w:sz w:val="24"/>
          <w:szCs w:val="24"/>
        </w:rPr>
        <w:commentReference w:id="10"/>
      </w:r>
      <w:r>
        <w:t xml:space="preserve">. This specification of the link functions will therefore be used in our further elaboration of a more complete model.  </w:t>
      </w:r>
    </w:p>
    <w:p w14:paraId="7F1E1A78" w14:textId="38EB80BD" w:rsidR="00691E87" w:rsidRDefault="00D05692" w:rsidP="00A951ED">
      <w:r>
        <w:t xml:space="preserve">We started with a series of sparse models, each containing only a single independent variable. All of these show significant coefficients and AMEs. As we expected, </w:t>
      </w:r>
      <w:r w:rsidR="00815E52">
        <w:t xml:space="preserve">the AMEs are negative for </w:t>
      </w:r>
      <w:r>
        <w:t xml:space="preserve">all variables </w:t>
      </w:r>
      <w:r w:rsidR="00815E52">
        <w:t>of the distributional differences kind</w:t>
      </w:r>
      <w:r>
        <w:t xml:space="preserve">, which means that larger distributional differences result in more strongly shrinking of the </w:t>
      </w:r>
      <w:r w:rsidR="00815E52">
        <w:t xml:space="preserve">interval of attainable values of r. </w:t>
      </w:r>
      <w:r>
        <w:t>R^2 values range from .24 to .45, with the exception of the differences in standard deviation variable, of which the explanatory power barely exceeds .01</w:t>
      </w:r>
      <w:r w:rsidR="00DF22A3">
        <w:t xml:space="preserve"> (see Table Xx)</w:t>
      </w:r>
      <w:r>
        <w:t xml:space="preserve">. </w:t>
      </w:r>
      <w:r w:rsidR="00C87FBD">
        <w:t xml:space="preserve">Of the two format-derived predictors only the ‘size’ variable results in a reasonably strong predictive power (but weaker than most of the </w:t>
      </w:r>
      <w:r w:rsidR="00C87FBD">
        <w:lastRenderedPageBreak/>
        <w:t xml:space="preserve">distributional differences variables), while the square/rectangular dummy carries very little predictive power. </w:t>
      </w:r>
    </w:p>
    <w:p w14:paraId="6022929E" w14:textId="77777777" w:rsidR="00C87FBD" w:rsidRDefault="00C87FBD" w:rsidP="00A951ED"/>
    <w:p w14:paraId="4FC7616F" w14:textId="7300F30B" w:rsidR="00C4594B" w:rsidRPr="00411F1D" w:rsidRDefault="00C4594B" w:rsidP="00C4594B">
      <w:pPr>
        <w:rPr>
          <w:b/>
          <w:bCs/>
        </w:rPr>
      </w:pPr>
      <w:r w:rsidRPr="00411F1D">
        <w:rPr>
          <w:b/>
          <w:bCs/>
        </w:rPr>
        <w:t xml:space="preserve">Table Xx : </w:t>
      </w:r>
      <w:r>
        <w:rPr>
          <w:b/>
          <w:bCs/>
        </w:rPr>
        <w:t>E</w:t>
      </w:r>
      <w:r w:rsidRPr="00411F1D">
        <w:rPr>
          <w:b/>
          <w:bCs/>
        </w:rPr>
        <w:t xml:space="preserve">xplanatory power </w:t>
      </w:r>
      <w:r>
        <w:rPr>
          <w:b/>
          <w:bCs/>
        </w:rPr>
        <w:t xml:space="preserve">from beta-regression </w:t>
      </w:r>
      <w:r w:rsidRPr="00411F1D">
        <w:rPr>
          <w:b/>
          <w:bCs/>
        </w:rPr>
        <w:t xml:space="preserve">of different (sets of) variables when </w:t>
      </w:r>
      <w:r>
        <w:rPr>
          <w:b/>
          <w:bCs/>
        </w:rPr>
        <w:t>a</w:t>
      </w:r>
      <w:r w:rsidRPr="00411F1D">
        <w:rPr>
          <w:b/>
          <w:bCs/>
        </w:rPr>
        <w:t xml:space="preserve">pplied to coefficient of shrinkage </w:t>
      </w:r>
      <w:r>
        <w:rPr>
          <w:b/>
          <w:bCs/>
        </w:rPr>
        <w:t xml:space="preserve">S </w:t>
      </w:r>
      <w:r>
        <w:rPr>
          <w:b/>
          <w:bCs/>
        </w:rPr>
        <w:t>– expressed as correlation between predicted and observed values (N=7503)</w:t>
      </w:r>
    </w:p>
    <w:tbl>
      <w:tblPr>
        <w:tblStyle w:val="TableGrid"/>
        <w:tblW w:w="0" w:type="auto"/>
        <w:tblLook w:val="04A0" w:firstRow="1" w:lastRow="0" w:firstColumn="1" w:lastColumn="0" w:noHBand="0" w:noVBand="1"/>
      </w:tblPr>
      <w:tblGrid>
        <w:gridCol w:w="4390"/>
        <w:gridCol w:w="2976"/>
      </w:tblGrid>
      <w:tr w:rsidR="00C4594B" w14:paraId="1214F323" w14:textId="77777777" w:rsidTr="00C87FBD">
        <w:tc>
          <w:tcPr>
            <w:tcW w:w="4390" w:type="dxa"/>
          </w:tcPr>
          <w:p w14:paraId="2EF1B75E" w14:textId="77777777" w:rsidR="00C4594B" w:rsidRPr="009F7964" w:rsidRDefault="00C4594B" w:rsidP="00107779">
            <w:pPr>
              <w:rPr>
                <w:b/>
                <w:bCs/>
              </w:rPr>
            </w:pPr>
            <w:r w:rsidRPr="009F7964">
              <w:rPr>
                <w:b/>
                <w:bCs/>
              </w:rPr>
              <w:t>Predictor(s)</w:t>
            </w:r>
          </w:p>
        </w:tc>
        <w:tc>
          <w:tcPr>
            <w:tcW w:w="2976" w:type="dxa"/>
          </w:tcPr>
          <w:p w14:paraId="0A145509" w14:textId="0F3B173C" w:rsidR="00C4594B" w:rsidRPr="009F7964" w:rsidRDefault="00C87FBD" w:rsidP="00107779">
            <w:pPr>
              <w:jc w:val="center"/>
              <w:rPr>
                <w:b/>
                <w:bCs/>
              </w:rPr>
            </w:pPr>
            <w:r>
              <w:rPr>
                <w:b/>
                <w:bCs/>
              </w:rPr>
              <w:t>r (predicted * observed)</w:t>
            </w:r>
          </w:p>
        </w:tc>
      </w:tr>
      <w:tr w:rsidR="00C4594B" w14:paraId="640474E1" w14:textId="77777777" w:rsidTr="00C87FBD">
        <w:tc>
          <w:tcPr>
            <w:tcW w:w="4390" w:type="dxa"/>
          </w:tcPr>
          <w:p w14:paraId="48C039A4" w14:textId="77777777" w:rsidR="00C4594B" w:rsidRPr="00DF2F1D" w:rsidRDefault="00C4594B" w:rsidP="00107779">
            <w:pPr>
              <w:rPr>
                <w:i/>
                <w:iCs/>
              </w:rPr>
            </w:pPr>
            <w:r w:rsidRPr="00DF2F1D">
              <w:rPr>
                <w:i/>
                <w:iCs/>
              </w:rPr>
              <w:t>Single predictor models</w:t>
            </w:r>
          </w:p>
        </w:tc>
        <w:tc>
          <w:tcPr>
            <w:tcW w:w="2976" w:type="dxa"/>
          </w:tcPr>
          <w:p w14:paraId="11701DB3" w14:textId="77777777" w:rsidR="00C4594B" w:rsidRDefault="00C4594B" w:rsidP="00107779">
            <w:pPr>
              <w:jc w:val="center"/>
            </w:pPr>
          </w:p>
        </w:tc>
      </w:tr>
      <w:tr w:rsidR="00C4594B" w14:paraId="3646D27E" w14:textId="77777777" w:rsidTr="00C87FBD">
        <w:tc>
          <w:tcPr>
            <w:tcW w:w="4390" w:type="dxa"/>
          </w:tcPr>
          <w:p w14:paraId="1A04CED5" w14:textId="526F50F5" w:rsidR="00C4594B" w:rsidRDefault="00C4594B" w:rsidP="00C87FBD">
            <w:pPr>
              <w:pStyle w:val="ListParagraph"/>
              <w:numPr>
                <w:ilvl w:val="0"/>
                <w:numId w:val="2"/>
              </w:numPr>
            </w:pPr>
            <w:r>
              <w:t>Difference of means</w:t>
            </w:r>
          </w:p>
        </w:tc>
        <w:tc>
          <w:tcPr>
            <w:tcW w:w="2976" w:type="dxa"/>
          </w:tcPr>
          <w:p w14:paraId="457F74DB" w14:textId="77777777" w:rsidR="00C4594B" w:rsidRDefault="00C4594B" w:rsidP="00107779">
            <w:pPr>
              <w:jc w:val="center"/>
            </w:pPr>
            <w:r>
              <w:t>.50</w:t>
            </w:r>
          </w:p>
        </w:tc>
      </w:tr>
      <w:tr w:rsidR="00C4594B" w14:paraId="48DE19A9" w14:textId="77777777" w:rsidTr="00C87FBD">
        <w:tc>
          <w:tcPr>
            <w:tcW w:w="4390" w:type="dxa"/>
          </w:tcPr>
          <w:p w14:paraId="5605F7C0" w14:textId="0F491AAD" w:rsidR="00C4594B" w:rsidRDefault="00C4594B" w:rsidP="00C87FBD">
            <w:pPr>
              <w:pStyle w:val="ListParagraph"/>
              <w:numPr>
                <w:ilvl w:val="0"/>
                <w:numId w:val="2"/>
              </w:numPr>
            </w:pPr>
            <w:r>
              <w:t>Difference of interp. medians</w:t>
            </w:r>
          </w:p>
        </w:tc>
        <w:tc>
          <w:tcPr>
            <w:tcW w:w="2976" w:type="dxa"/>
          </w:tcPr>
          <w:p w14:paraId="3DFE61A2" w14:textId="77777777" w:rsidR="00C4594B" w:rsidRDefault="00C4594B" w:rsidP="00107779">
            <w:pPr>
              <w:jc w:val="center"/>
            </w:pPr>
            <w:r>
              <w:t>.49</w:t>
            </w:r>
          </w:p>
        </w:tc>
      </w:tr>
      <w:tr w:rsidR="00C4594B" w14:paraId="36062A00" w14:textId="77777777" w:rsidTr="00C87FBD">
        <w:tc>
          <w:tcPr>
            <w:tcW w:w="4390" w:type="dxa"/>
          </w:tcPr>
          <w:p w14:paraId="0B8B4802" w14:textId="11DDE5BF" w:rsidR="00C4594B" w:rsidRDefault="00C4594B" w:rsidP="00C87FBD">
            <w:pPr>
              <w:pStyle w:val="ListParagraph"/>
              <w:numPr>
                <w:ilvl w:val="0"/>
                <w:numId w:val="2"/>
              </w:numPr>
            </w:pPr>
            <w:r>
              <w:t>Difference of st.deviations</w:t>
            </w:r>
          </w:p>
        </w:tc>
        <w:tc>
          <w:tcPr>
            <w:tcW w:w="2976" w:type="dxa"/>
          </w:tcPr>
          <w:p w14:paraId="79561F82" w14:textId="77777777" w:rsidR="00C4594B" w:rsidRDefault="00C4594B" w:rsidP="00107779">
            <w:pPr>
              <w:jc w:val="center"/>
            </w:pPr>
            <w:r>
              <w:t>.11</w:t>
            </w:r>
          </w:p>
        </w:tc>
      </w:tr>
      <w:tr w:rsidR="00C4594B" w14:paraId="2C8847F9" w14:textId="77777777" w:rsidTr="00C87FBD">
        <w:tc>
          <w:tcPr>
            <w:tcW w:w="4390" w:type="dxa"/>
          </w:tcPr>
          <w:p w14:paraId="2586164C" w14:textId="410FF777" w:rsidR="00C4594B" w:rsidRDefault="00C4594B" w:rsidP="00C87FBD">
            <w:pPr>
              <w:pStyle w:val="ListParagraph"/>
              <w:numPr>
                <w:ilvl w:val="0"/>
                <w:numId w:val="2"/>
              </w:numPr>
            </w:pPr>
            <w:r>
              <w:t>Difference of skew</w:t>
            </w:r>
          </w:p>
        </w:tc>
        <w:tc>
          <w:tcPr>
            <w:tcW w:w="2976" w:type="dxa"/>
          </w:tcPr>
          <w:p w14:paraId="24122259" w14:textId="77777777" w:rsidR="00C4594B" w:rsidRDefault="00C4594B" w:rsidP="00107779">
            <w:pPr>
              <w:jc w:val="center"/>
            </w:pPr>
            <w:r>
              <w:t>.65</w:t>
            </w:r>
          </w:p>
        </w:tc>
      </w:tr>
      <w:tr w:rsidR="00C4594B" w14:paraId="6A135961" w14:textId="77777777" w:rsidTr="00C87FBD">
        <w:tc>
          <w:tcPr>
            <w:tcW w:w="4390" w:type="dxa"/>
          </w:tcPr>
          <w:p w14:paraId="033DE4D1" w14:textId="7182D17F" w:rsidR="00C4594B" w:rsidRDefault="00C4594B" w:rsidP="00C87FBD">
            <w:pPr>
              <w:pStyle w:val="ListParagraph"/>
              <w:numPr>
                <w:ilvl w:val="0"/>
                <w:numId w:val="2"/>
              </w:numPr>
            </w:pPr>
            <w:r>
              <w:t xml:space="preserve">Difference of kurtoses </w:t>
            </w:r>
          </w:p>
        </w:tc>
        <w:tc>
          <w:tcPr>
            <w:tcW w:w="2976" w:type="dxa"/>
          </w:tcPr>
          <w:p w14:paraId="787FD2BB" w14:textId="77777777" w:rsidR="00C4594B" w:rsidRDefault="00C4594B" w:rsidP="00107779">
            <w:pPr>
              <w:jc w:val="center"/>
            </w:pPr>
            <w:r>
              <w:t>.67</w:t>
            </w:r>
          </w:p>
        </w:tc>
      </w:tr>
      <w:tr w:rsidR="00C4594B" w14:paraId="3BB3AB89" w14:textId="77777777" w:rsidTr="00C87FBD">
        <w:tc>
          <w:tcPr>
            <w:tcW w:w="4390" w:type="dxa"/>
          </w:tcPr>
          <w:p w14:paraId="0358C904" w14:textId="69EFBBC7" w:rsidR="00C4594B" w:rsidRDefault="00C4594B" w:rsidP="00C87FBD">
            <w:pPr>
              <w:pStyle w:val="ListParagraph"/>
              <w:numPr>
                <w:ilvl w:val="0"/>
                <w:numId w:val="2"/>
              </w:numPr>
            </w:pPr>
            <w:r>
              <w:t>Wasserstein distance</w:t>
            </w:r>
          </w:p>
        </w:tc>
        <w:tc>
          <w:tcPr>
            <w:tcW w:w="2976" w:type="dxa"/>
          </w:tcPr>
          <w:p w14:paraId="00244BB7" w14:textId="77777777" w:rsidR="00C4594B" w:rsidRDefault="00C4594B" w:rsidP="00107779">
            <w:pPr>
              <w:jc w:val="center"/>
            </w:pPr>
            <w:r>
              <w:t>.52</w:t>
            </w:r>
          </w:p>
        </w:tc>
      </w:tr>
      <w:tr w:rsidR="00C4594B" w14:paraId="653DE014" w14:textId="77777777" w:rsidTr="00C87FBD">
        <w:tc>
          <w:tcPr>
            <w:tcW w:w="4390" w:type="dxa"/>
          </w:tcPr>
          <w:p w14:paraId="76C86EEC" w14:textId="07E0B51E" w:rsidR="00C4594B" w:rsidRDefault="00C4594B" w:rsidP="00107779">
            <w:r>
              <w:t>…g)</w:t>
            </w:r>
            <w:r w:rsidR="00C87FBD">
              <w:t xml:space="preserve">    </w:t>
            </w:r>
            <w:r>
              <w:t>Size’ of implied crosstab</w:t>
            </w:r>
          </w:p>
        </w:tc>
        <w:tc>
          <w:tcPr>
            <w:tcW w:w="2976" w:type="dxa"/>
          </w:tcPr>
          <w:p w14:paraId="025450DE" w14:textId="77777777" w:rsidR="00C4594B" w:rsidRDefault="00C4594B" w:rsidP="00107779">
            <w:pPr>
              <w:jc w:val="center"/>
            </w:pPr>
            <w:r>
              <w:t>*</w:t>
            </w:r>
          </w:p>
        </w:tc>
      </w:tr>
      <w:tr w:rsidR="00C4594B" w14:paraId="12C0EC4B" w14:textId="77777777" w:rsidTr="00C87FBD">
        <w:tc>
          <w:tcPr>
            <w:tcW w:w="4390" w:type="dxa"/>
          </w:tcPr>
          <w:p w14:paraId="11CA4818" w14:textId="04026839" w:rsidR="00C4594B" w:rsidRDefault="00C4594B" w:rsidP="00107779">
            <w:r>
              <w:t xml:space="preserve">    h)</w:t>
            </w:r>
            <w:r w:rsidR="00C87FBD">
              <w:t xml:space="preserve">   </w:t>
            </w:r>
            <w:r>
              <w:t>square vs rectangular pair of vars</w:t>
            </w:r>
          </w:p>
        </w:tc>
        <w:tc>
          <w:tcPr>
            <w:tcW w:w="2976" w:type="dxa"/>
          </w:tcPr>
          <w:p w14:paraId="183C789E" w14:textId="77777777" w:rsidR="00C4594B" w:rsidRDefault="00C4594B" w:rsidP="00107779">
            <w:pPr>
              <w:jc w:val="center"/>
            </w:pPr>
            <w:r>
              <w:t>*</w:t>
            </w:r>
          </w:p>
        </w:tc>
      </w:tr>
      <w:tr w:rsidR="00C4594B" w14:paraId="743FECB4" w14:textId="77777777" w:rsidTr="00C87FBD">
        <w:tc>
          <w:tcPr>
            <w:tcW w:w="4390" w:type="dxa"/>
          </w:tcPr>
          <w:p w14:paraId="0E35AAC7" w14:textId="77777777" w:rsidR="00C4594B" w:rsidRDefault="00C4594B" w:rsidP="00107779"/>
        </w:tc>
        <w:tc>
          <w:tcPr>
            <w:tcW w:w="2976" w:type="dxa"/>
          </w:tcPr>
          <w:p w14:paraId="3BE54A3E" w14:textId="77777777" w:rsidR="00C4594B" w:rsidRDefault="00C4594B" w:rsidP="00107779">
            <w:pPr>
              <w:jc w:val="center"/>
            </w:pPr>
          </w:p>
        </w:tc>
      </w:tr>
      <w:tr w:rsidR="00C4594B" w14:paraId="7191DE23" w14:textId="77777777" w:rsidTr="00C87FBD">
        <w:tc>
          <w:tcPr>
            <w:tcW w:w="4390" w:type="dxa"/>
          </w:tcPr>
          <w:p w14:paraId="5368B24C" w14:textId="77777777" w:rsidR="00C4594B" w:rsidRPr="00DF2F1D" w:rsidRDefault="00C4594B" w:rsidP="00107779">
            <w:pPr>
              <w:rPr>
                <w:i/>
                <w:iCs/>
              </w:rPr>
            </w:pPr>
            <w:r w:rsidRPr="00DF2F1D">
              <w:rPr>
                <w:i/>
                <w:iCs/>
              </w:rPr>
              <w:t>Multiple predictor models</w:t>
            </w:r>
          </w:p>
        </w:tc>
        <w:tc>
          <w:tcPr>
            <w:tcW w:w="2976" w:type="dxa"/>
          </w:tcPr>
          <w:p w14:paraId="728CDFA7" w14:textId="77777777" w:rsidR="00C4594B" w:rsidRDefault="00C4594B" w:rsidP="00107779">
            <w:pPr>
              <w:jc w:val="center"/>
            </w:pPr>
          </w:p>
        </w:tc>
      </w:tr>
      <w:tr w:rsidR="00C4594B" w14:paraId="42769F8C" w14:textId="77777777" w:rsidTr="00C87FBD">
        <w:tc>
          <w:tcPr>
            <w:tcW w:w="4390" w:type="dxa"/>
          </w:tcPr>
          <w:p w14:paraId="0403E06D" w14:textId="1CB01CAE" w:rsidR="00C4594B" w:rsidRDefault="00C4594B" w:rsidP="00C87FBD">
            <w:pPr>
              <w:pStyle w:val="ListParagraph"/>
              <w:numPr>
                <w:ilvl w:val="0"/>
                <w:numId w:val="4"/>
              </w:numPr>
            </w:pPr>
            <w:r>
              <w:t>a to f (above, inclusive)</w:t>
            </w:r>
          </w:p>
        </w:tc>
        <w:tc>
          <w:tcPr>
            <w:tcW w:w="2976" w:type="dxa"/>
          </w:tcPr>
          <w:p w14:paraId="23C564E1" w14:textId="77777777" w:rsidR="00C4594B" w:rsidRDefault="00C4594B" w:rsidP="00107779">
            <w:pPr>
              <w:jc w:val="center"/>
            </w:pPr>
            <w:r>
              <w:t>.74</w:t>
            </w:r>
          </w:p>
        </w:tc>
      </w:tr>
      <w:tr w:rsidR="00C4594B" w14:paraId="5064F46F" w14:textId="77777777" w:rsidTr="00C87FBD">
        <w:tc>
          <w:tcPr>
            <w:tcW w:w="4390" w:type="dxa"/>
          </w:tcPr>
          <w:p w14:paraId="5BD38CD5" w14:textId="70C2F150" w:rsidR="00C4594B" w:rsidRDefault="00C4594B" w:rsidP="00C87FBD">
            <w:pPr>
              <w:pStyle w:val="ListParagraph"/>
              <w:numPr>
                <w:ilvl w:val="0"/>
                <w:numId w:val="4"/>
              </w:numPr>
            </w:pPr>
            <w:r>
              <w:t>a to g (above, inclusive)</w:t>
            </w:r>
          </w:p>
        </w:tc>
        <w:tc>
          <w:tcPr>
            <w:tcW w:w="2976" w:type="dxa"/>
          </w:tcPr>
          <w:p w14:paraId="5DCEB273" w14:textId="77777777" w:rsidR="00C4594B" w:rsidRDefault="00C4594B" w:rsidP="00107779">
            <w:pPr>
              <w:jc w:val="center"/>
            </w:pPr>
            <w:r>
              <w:t>.81</w:t>
            </w:r>
          </w:p>
        </w:tc>
      </w:tr>
      <w:tr w:rsidR="00C4594B" w14:paraId="68F70A86" w14:textId="77777777" w:rsidTr="00C87FBD">
        <w:tc>
          <w:tcPr>
            <w:tcW w:w="4390" w:type="dxa"/>
          </w:tcPr>
          <w:p w14:paraId="4C023212" w14:textId="77777777" w:rsidR="00C4594B" w:rsidRDefault="00C4594B" w:rsidP="00107779"/>
        </w:tc>
        <w:tc>
          <w:tcPr>
            <w:tcW w:w="2976" w:type="dxa"/>
          </w:tcPr>
          <w:p w14:paraId="0B47BE06" w14:textId="77777777" w:rsidR="00C4594B" w:rsidRDefault="00C4594B" w:rsidP="00107779">
            <w:pPr>
              <w:jc w:val="center"/>
            </w:pPr>
          </w:p>
        </w:tc>
      </w:tr>
    </w:tbl>
    <w:p w14:paraId="685BB143" w14:textId="77777777" w:rsidR="00C4594B" w:rsidRDefault="00C4594B" w:rsidP="00C4594B">
      <w:r>
        <w:t>*: erroneously omitted, will still be done</w:t>
      </w:r>
    </w:p>
    <w:p w14:paraId="72F14026" w14:textId="77777777" w:rsidR="00C4594B" w:rsidRDefault="00C4594B" w:rsidP="00A951ED"/>
    <w:p w14:paraId="0268FBCF" w14:textId="0E4B0A08" w:rsidR="00D05692" w:rsidRDefault="00D05692" w:rsidP="00A951ED">
      <w:r>
        <w:t>A next model included all six distributional differences variables</w:t>
      </w:r>
      <w:r w:rsidR="00006518">
        <w:t xml:space="preserve"> –see Table X</w:t>
      </w:r>
      <w:r w:rsidR="00C87FBD">
        <w:t>x</w:t>
      </w:r>
      <w:r>
        <w:t>.</w:t>
      </w:r>
      <w:r>
        <w:rPr>
          <w:rStyle w:val="FootnoteReference"/>
        </w:rPr>
        <w:footnoteReference w:id="9"/>
      </w:r>
      <w:r>
        <w:t xml:space="preserve"> The sizeable intercorrelations between these variables </w:t>
      </w:r>
      <w:r w:rsidR="00C87FBD">
        <w:t>occasionally result in</w:t>
      </w:r>
      <w:r>
        <w:t xml:space="preserve"> coefficients </w:t>
      </w:r>
      <w:r w:rsidR="00C87FBD">
        <w:t>and AMEs with different signs than in the single predictor models</w:t>
      </w:r>
      <w:r>
        <w:t xml:space="preserve">. The </w:t>
      </w:r>
      <w:r w:rsidR="00006518">
        <w:t xml:space="preserve">coefficient and </w:t>
      </w:r>
      <w:r>
        <w:t xml:space="preserve">average marginal effect of differences in means, for example, </w:t>
      </w:r>
      <w:r w:rsidR="00006518">
        <w:t>are</w:t>
      </w:r>
      <w:r>
        <w:t xml:space="preserve"> positive</w:t>
      </w:r>
      <w:r w:rsidR="00C87FBD">
        <w:t xml:space="preserve"> in this multiple predictor model</w:t>
      </w:r>
      <w:r>
        <w:t xml:space="preserve"> (whereas </w:t>
      </w:r>
      <w:r w:rsidR="00006518">
        <w:t xml:space="preserve">they were </w:t>
      </w:r>
      <w:r>
        <w:t>negative in a model where it was the only regressor)</w:t>
      </w:r>
      <w:r w:rsidR="00006518">
        <w:t xml:space="preserve">. </w:t>
      </w:r>
      <w:r w:rsidR="00C87FBD">
        <w:t xml:space="preserve">As there is no </w:t>
      </w:r>
      <w:r w:rsidR="00006518">
        <w:t xml:space="preserve">plausible </w:t>
      </w:r>
      <w:r w:rsidR="00C87FBD">
        <w:t>‘</w:t>
      </w:r>
      <w:r w:rsidR="00006518">
        <w:t>causal</w:t>
      </w:r>
      <w:r w:rsidR="00C87FBD">
        <w:t>’</w:t>
      </w:r>
      <w:r w:rsidR="00006518">
        <w:t xml:space="preserve"> ordering of these various aspects of distributional differences, it </w:t>
      </w:r>
      <w:r w:rsidR="00C87FBD">
        <w:t xml:space="preserve">is </w:t>
      </w:r>
      <w:r w:rsidR="00006518">
        <w:t xml:space="preserve">impossible to draw any other substantive conclusions than that this set of six regressors in its entirety enhances the explanatory power of the model considerably over what was found for the single-regressor models referred to above: </w:t>
      </w:r>
      <w:r w:rsidR="00C87FBD">
        <w:t>r=.74 (</w:t>
      </w:r>
      <w:r w:rsidR="00006518">
        <w:t>R^2=.55</w:t>
      </w:r>
      <w:r w:rsidR="00C87FBD">
        <w:t>)</w:t>
      </w:r>
      <w:r w:rsidR="00006518">
        <w:t xml:space="preserve">. This implies that each of these distributional difference variables provides some descriptive and explanatory information that is not captured by the other ones. Elaborating this model by inclusion of interactions between the regressors turns out to be unrewarding. It leads to combinations of significant interaction terms in combination with not-significant main effects of the </w:t>
      </w:r>
      <w:r w:rsidR="00317041">
        <w:t xml:space="preserve">respective </w:t>
      </w:r>
      <w:r w:rsidR="00006518">
        <w:t>variables</w:t>
      </w:r>
      <w:r w:rsidR="00317041">
        <w:t xml:space="preserve">, and it hardly increases the explanatory power of such a model, suggesting </w:t>
      </w:r>
      <w:r w:rsidR="00317041">
        <w:lastRenderedPageBreak/>
        <w:t xml:space="preserve">overfitting and capitalisation on chance. </w:t>
      </w:r>
      <w:r w:rsidR="00C87FBD">
        <w:t>We therefore do not pursue this line of analysis further.</w:t>
      </w:r>
    </w:p>
    <w:p w14:paraId="6065FF2A" w14:textId="402E9A42" w:rsidR="00317041" w:rsidRDefault="00317041" w:rsidP="00A951ED">
      <w:r>
        <w:t xml:space="preserve">A final extension of the model is achieved by adding a variable of the item-format kind, namely the square root of the product of the number of categories of each of the two variables involved (see the model </w:t>
      </w:r>
      <w:r w:rsidR="00C87FBD">
        <w:t xml:space="preserve">j </w:t>
      </w:r>
      <w:r>
        <w:t>reported in Table X</w:t>
      </w:r>
      <w:r w:rsidR="00C87FBD">
        <w:t>x</w:t>
      </w:r>
      <w:r>
        <w:t>). This addition boosts th</w:t>
      </w:r>
      <w:r w:rsidR="00AB6CE0">
        <w:t>e</w:t>
      </w:r>
      <w:r>
        <w:t xml:space="preserve"> explanatory power of the model to </w:t>
      </w:r>
      <w:r w:rsidR="00C87FBD">
        <w:t>r=.81 (R^2=</w:t>
      </w:r>
      <w:r>
        <w:t>.66</w:t>
      </w:r>
      <w:r w:rsidR="00C87FBD">
        <w:t>)</w:t>
      </w:r>
      <w:r>
        <w:t xml:space="preserve">. </w:t>
      </w:r>
      <w:r w:rsidR="00AB6CE0">
        <w:t xml:space="preserve">The coefficient and AMR of this variable is positive, which implies that the larger the cartesian product of the two variables involved, the less the range of attainable values of their correlation is shrunk, i.e., the less </w:t>
      </w:r>
      <w:r w:rsidR="00C87FBD">
        <w:t xml:space="preserve">strongly </w:t>
      </w:r>
      <w:r w:rsidR="00AB6CE0">
        <w:t>it is constrained by the marginal distributions.</w:t>
      </w:r>
      <w:r w:rsidR="00AB6CE0">
        <w:rPr>
          <w:rStyle w:val="FootnoteReference"/>
        </w:rPr>
        <w:footnoteReference w:id="10"/>
      </w:r>
      <w:r w:rsidR="00AB6CE0">
        <w:t xml:space="preserve"> The coefficient and AME of the other format-related variable, the square/rectangular dichotomy, did not reach significance when also added to Model </w:t>
      </w:r>
      <w:r w:rsidR="00C87FBD">
        <w:t>j</w:t>
      </w:r>
      <w:r w:rsidR="00AB6CE0">
        <w:t xml:space="preserve"> in Table X</w:t>
      </w:r>
      <w:r w:rsidR="00C87FBD">
        <w:t>x</w:t>
      </w:r>
      <w:r w:rsidR="00AB6CE0">
        <w:t xml:space="preserve">. Interactions between the format-related variables and the other regressors did not convincingly improve the model. We consider therefore Model </w:t>
      </w:r>
      <w:r w:rsidR="00C87FBD">
        <w:t>j</w:t>
      </w:r>
      <w:r w:rsidR="00AB6CE0">
        <w:t xml:space="preserve"> in Table X</w:t>
      </w:r>
      <w:r w:rsidR="00C87FBD">
        <w:t>x</w:t>
      </w:r>
      <w:r w:rsidR="00AB6CE0">
        <w:t xml:space="preserve"> as our final explanatory model for the shrinkage variable </w:t>
      </w:r>
      <w:r w:rsidR="00C87FBD">
        <w:t>S</w:t>
      </w:r>
      <w:r w:rsidR="00AB6CE0">
        <w:t xml:space="preserve">.  </w:t>
      </w:r>
    </w:p>
    <w:p w14:paraId="21355568" w14:textId="77777777" w:rsidR="00D05692" w:rsidRDefault="00D05692" w:rsidP="00A951ED"/>
    <w:p w14:paraId="6765E798" w14:textId="7C502F8A" w:rsidR="00346D39" w:rsidRDefault="00346D39" w:rsidP="00346D39">
      <w:r>
        <w:t>Our analyses of determinants of the extent of shrinkage of the interval of attainable values of r (when compared to [-1, +1]) results in the following conclusions.</w:t>
      </w:r>
    </w:p>
    <w:p w14:paraId="79102B0B" w14:textId="1761F116" w:rsidR="00346D39" w:rsidRDefault="00346D39" w:rsidP="00346D39">
      <w:r>
        <w:t xml:space="preserve">First, differences between the </w:t>
      </w:r>
      <w:r>
        <w:t>distribution</w:t>
      </w:r>
      <w:r>
        <w:t xml:space="preserve">s of the two Likert-items involved are strong predictors. A set of 6 such differences account for 55% of the variance of the shrinkage coefficient S. Owing to the strong intercorrelations between these 6 regressors, they can more profitably be regarded as a set of different but inseparable aspects of distributional differences than as regressors that can be regarded independently of each other. </w:t>
      </w:r>
    </w:p>
    <w:p w14:paraId="0892A7E6" w14:textId="0A210F46" w:rsidR="00346D39" w:rsidRDefault="00346D39" w:rsidP="00346D39">
      <w:r>
        <w:t>Second, t</w:t>
      </w:r>
      <w:r>
        <w:t xml:space="preserve">he ‘size’ of the underlying crosstabulation is </w:t>
      </w:r>
      <w:r>
        <w:t xml:space="preserve">also </w:t>
      </w:r>
      <w:r>
        <w:t>an important predictor: the larger this size, the smaller the shrinkage of the real bounds of r. In other words, the constraints imposed by the marginals on the attainable values of r becomes increasingly weaker with increasing size. the predictive power of this predictor is considerably smaller than the effects of differences in distributions</w:t>
      </w:r>
      <w:commentRangeStart w:id="11"/>
      <w:r>
        <w:t xml:space="preserve">. </w:t>
      </w:r>
      <w:r>
        <w:t>T</w:t>
      </w:r>
      <w:r>
        <w:t xml:space="preserve">his ‘size’ variable is hardly correlated with any of the variables that express differences between the distributions </w:t>
      </w:r>
      <w:commentRangeEnd w:id="11"/>
      <w:r>
        <w:rPr>
          <w:rStyle w:val="CommentReference"/>
          <w:sz w:val="24"/>
          <w:szCs w:val="24"/>
        </w:rPr>
        <w:commentReference w:id="11"/>
      </w:r>
      <w:r>
        <w:t xml:space="preserve">of the two variables involved. </w:t>
      </w:r>
    </w:p>
    <w:p w14:paraId="7D3FCE16" w14:textId="7B55F110" w:rsidR="00346D39" w:rsidRDefault="00346D39" w:rsidP="00346D39">
      <w:r>
        <w:t xml:space="preserve">Third, combining the differences between distributions and the format-related regressors results in a model that accounts for 66% of the variance of the shrinkage variable S. </w:t>
      </w:r>
      <w:r w:rsidRPr="00F27A05">
        <w:t xml:space="preserve">Most probably </w:t>
      </w:r>
      <w:r>
        <w:t xml:space="preserve">distributional differences pertaining to yet higher </w:t>
      </w:r>
      <w:r w:rsidRPr="00F27A05">
        <w:t>moments than the 4</w:t>
      </w:r>
      <w:r w:rsidRPr="00346D39">
        <w:rPr>
          <w:vertAlign w:val="superscript"/>
        </w:rPr>
        <w:t>th</w:t>
      </w:r>
      <w:r>
        <w:t xml:space="preserve"> (i.e., </w:t>
      </w:r>
      <w:r w:rsidRPr="00F27A05">
        <w:t>kurtosis) would increase the predictive power of models</w:t>
      </w:r>
      <w:r>
        <w:t xml:space="preserve"> still further</w:t>
      </w:r>
      <w:r w:rsidRPr="00F27A05">
        <w:t xml:space="preserve">, but </w:t>
      </w:r>
      <w:r>
        <w:t xml:space="preserve">would not lead to new substantive insights. </w:t>
      </w:r>
      <w:r w:rsidRPr="00F27A05">
        <w:t xml:space="preserve">Other than such arcane higher </w:t>
      </w:r>
      <w:r w:rsidRPr="00F27A05">
        <w:lastRenderedPageBreak/>
        <w:t xml:space="preserve">moments </w:t>
      </w:r>
      <w:r>
        <w:t>we</w:t>
      </w:r>
      <w:r w:rsidRPr="00F27A05">
        <w:t xml:space="preserve"> cannot, at this moment, think of other characteristics of </w:t>
      </w:r>
      <w:r w:rsidRPr="00F27A05">
        <w:rPr>
          <w:i/>
          <w:iCs/>
        </w:rPr>
        <w:t xml:space="preserve">pairs </w:t>
      </w:r>
      <w:r w:rsidRPr="00F27A05">
        <w:t xml:space="preserve">of variables that </w:t>
      </w:r>
      <w:r>
        <w:t>can</w:t>
      </w:r>
      <w:r w:rsidRPr="00F27A05">
        <w:t xml:space="preserve"> be used to predict the degree of shrinkage of r. One could, of course, </w:t>
      </w:r>
      <w:r>
        <w:t xml:space="preserve">pursue whether </w:t>
      </w:r>
      <w:r w:rsidRPr="00F27A05">
        <w:t>interactions between size of the underlying crosstabulation and the differences of distributions</w:t>
      </w:r>
      <w:r>
        <w:t xml:space="preserve"> would further strengthen the explanatory power of the model, </w:t>
      </w:r>
      <w:r w:rsidRPr="00F27A05">
        <w:t xml:space="preserve">but </w:t>
      </w:r>
      <w:r>
        <w:t xml:space="preserve">we will not develop this line of analysis further here. </w:t>
      </w:r>
    </w:p>
    <w:p w14:paraId="75868E2F" w14:textId="77777777" w:rsidR="00C87FBD" w:rsidRPr="00EB398C" w:rsidRDefault="00C87FBD" w:rsidP="00A951ED"/>
    <w:sectPr w:rsidR="00C87FBD" w:rsidRPr="00EB398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ees Vandereijk" w:date="2026-08-18T15:19:00Z" w:initials="CV">
    <w:p w14:paraId="15F5BAE5" w14:textId="77777777" w:rsidR="00866AA0" w:rsidRDefault="00F17BE3" w:rsidP="00866AA0">
      <w:pPr>
        <w:pStyle w:val="CommentText"/>
      </w:pPr>
      <w:r>
        <w:rPr>
          <w:rStyle w:val="CommentReference"/>
        </w:rPr>
        <w:annotationRef/>
      </w:r>
      <w:r w:rsidR="00866AA0">
        <w:t xml:space="preserve">Perhaps: </w:t>
      </w:r>
      <w:r w:rsidR="00866AA0">
        <w:rPr>
          <w:highlight w:val="yellow"/>
        </w:rPr>
        <w:t xml:space="preserve">Online </w:t>
      </w:r>
      <w:r w:rsidR="00866AA0">
        <w:t>Appendix X</w:t>
      </w:r>
    </w:p>
  </w:comment>
  <w:comment w:id="1" w:author="Cees Vandereijk" w:date="2026-09-08T14:38:00Z" w:initials="CV">
    <w:p w14:paraId="116B6499" w14:textId="77777777" w:rsidR="0085171F" w:rsidRDefault="0085171F" w:rsidP="0085171F">
      <w:pPr>
        <w:pStyle w:val="CommentText"/>
      </w:pPr>
      <w:r>
        <w:rPr>
          <w:rStyle w:val="CommentReference"/>
        </w:rPr>
        <w:annotationRef/>
      </w:r>
      <w:r>
        <w:t xml:space="preserve">See fn 1 here. Can we prove that rmin will always be &lt;0 and rmax always &gt;0? That would be nice, but would have to be included in an earlier section of this text. </w:t>
      </w:r>
    </w:p>
  </w:comment>
  <w:comment w:id="2" w:author="Cees Vandereijk" w:date="2026-09-09T10:35:00Z" w:initials="CV">
    <w:p w14:paraId="2A189517" w14:textId="77777777" w:rsidR="00A52922" w:rsidRDefault="00A52922" w:rsidP="00A52922">
      <w:pPr>
        <w:pStyle w:val="CommentText"/>
      </w:pPr>
      <w:r>
        <w:rPr>
          <w:rStyle w:val="CommentReference"/>
        </w:rPr>
        <w:annotationRef/>
      </w:r>
      <w:r>
        <w:t>Maybe have to add to this note a reference about betaregression not being perturbed by these data characteristics?</w:t>
      </w:r>
    </w:p>
  </w:comment>
  <w:comment w:id="3" w:author="Cees Vandereijk" w:date="2026-08-19T11:35:00Z" w:initials="CV">
    <w:p w14:paraId="54BC03ED" w14:textId="77777777" w:rsidR="00866AA0" w:rsidRDefault="00866AA0" w:rsidP="00866AA0">
      <w:pPr>
        <w:pStyle w:val="CommentText"/>
      </w:pPr>
      <w:r>
        <w:rPr>
          <w:rStyle w:val="CommentReference"/>
        </w:rPr>
        <w:annotationRef/>
      </w:r>
      <w:r>
        <w:t>Ariel Linden, 2025. "</w:t>
      </w:r>
      <w:hyperlink r:id="rId1" w:history="1">
        <w:r w:rsidRPr="006726E3">
          <w:rPr>
            <w:rStyle w:val="Hyperlink"/>
            <w:b/>
            <w:bCs/>
          </w:rPr>
          <w:t>WASSTEST: Stata module to perform a two-sample Wasserstein Distance test for equality of distributions</w:t>
        </w:r>
      </w:hyperlink>
      <w:r>
        <w:t xml:space="preserve">," </w:t>
      </w:r>
      <w:hyperlink r:id="rId2" w:history="1">
        <w:r w:rsidRPr="006726E3">
          <w:rPr>
            <w:rStyle w:val="Hyperlink"/>
          </w:rPr>
          <w:t>Statistical Software Components</w:t>
        </w:r>
      </w:hyperlink>
      <w:r>
        <w:t xml:space="preserve"> S459557, Boston College Department of Economics, revised 09 Jan 2026. </w:t>
      </w:r>
    </w:p>
  </w:comment>
  <w:comment w:id="4" w:author="Cees Vandereijk" w:date="2026-08-19T11:45:00Z" w:initials="CV">
    <w:p w14:paraId="5AF59FD2" w14:textId="77777777" w:rsidR="00866AA0" w:rsidRDefault="00866AA0" w:rsidP="00866AA0">
      <w:pPr>
        <w:pStyle w:val="CommentText"/>
      </w:pPr>
      <w:r>
        <w:rPr>
          <w:rStyle w:val="CommentReference"/>
        </w:rPr>
        <w:annotationRef/>
      </w:r>
      <w:r>
        <w:t>Scott: should this be formulated as explicit hypotheses?</w:t>
      </w:r>
    </w:p>
  </w:comment>
  <w:comment w:id="5" w:author="Cees Vandereijk" w:date="2026-09-09T10:59:00Z" w:initials="CV">
    <w:p w14:paraId="05EE3365" w14:textId="77777777" w:rsidR="00642310" w:rsidRDefault="00642310" w:rsidP="00642310">
      <w:pPr>
        <w:pStyle w:val="CommentText"/>
      </w:pPr>
      <w:r>
        <w:rPr>
          <w:rStyle w:val="CommentReference"/>
        </w:rPr>
        <w:annotationRef/>
      </w:r>
      <w:r>
        <w:t>Scott: Again: should these expectations be formulated as explicit hypotheses?</w:t>
      </w:r>
    </w:p>
  </w:comment>
  <w:comment w:id="6" w:author="Cees Vandereijk" w:date="2026-09-09T11:08:00Z" w:initials="CV">
    <w:p w14:paraId="1BFC155E" w14:textId="77777777" w:rsidR="00642310" w:rsidRDefault="00642310" w:rsidP="00642310">
      <w:pPr>
        <w:pStyle w:val="CommentText"/>
      </w:pPr>
      <w:r>
        <w:rPr>
          <w:rStyle w:val="CommentReference"/>
        </w:rPr>
        <w:annotationRef/>
      </w:r>
      <w:r>
        <w:t xml:space="preserve">Scott, would this paragraph be clearer if it were structured in terms of bullet points about, respectively, cases, dependent variable, independent variables, and analytical procedure? </w:t>
      </w:r>
    </w:p>
  </w:comment>
  <w:comment w:id="7" w:author="Cees Vandereijk" w:date="2026-09-09T11:17:00Z" w:initials="CV">
    <w:p w14:paraId="69D98141" w14:textId="77777777" w:rsidR="006A2583" w:rsidRDefault="006A2583" w:rsidP="006A2583">
      <w:pPr>
        <w:pStyle w:val="CommentText"/>
      </w:pPr>
      <w:r>
        <w:rPr>
          <w:rStyle w:val="CommentReference"/>
        </w:rPr>
        <w:annotationRef/>
      </w:r>
      <w:r>
        <w:t xml:space="preserve">Box, G. E. P. and Cox, D. R. (1964). An analysis of transformations, Journal of the Royal Statistical Society, Series B, 26, 211-252. </w:t>
      </w:r>
    </w:p>
  </w:comment>
  <w:comment w:id="8" w:author="Cees Vandereijk" w:date="2026-09-09T11:22:00Z" w:initials="CV">
    <w:p w14:paraId="3F2C9670" w14:textId="77777777" w:rsidR="00815E52" w:rsidRDefault="00815E52" w:rsidP="00815E52">
      <w:pPr>
        <w:pStyle w:val="CommentText"/>
      </w:pPr>
      <w:r>
        <w:rPr>
          <w:rStyle w:val="CommentReference"/>
        </w:rPr>
        <w:annotationRef/>
      </w:r>
      <w:r>
        <w:t xml:space="preserve">Ferrari, S. and Cribari-Neto, F., 2004. Beta regression for modelling rates and proportions. </w:t>
      </w:r>
      <w:r>
        <w:rPr>
          <w:i/>
          <w:iCs/>
        </w:rPr>
        <w:t>Journal of applied statistics</w:t>
      </w:r>
      <w:r>
        <w:t xml:space="preserve">, </w:t>
      </w:r>
      <w:r>
        <w:rPr>
          <w:i/>
          <w:iCs/>
        </w:rPr>
        <w:t>31</w:t>
      </w:r>
      <w:r>
        <w:t xml:space="preserve">(7), pp.799-815. </w:t>
      </w:r>
    </w:p>
  </w:comment>
  <w:comment w:id="9" w:author="Cees Vandereijk" w:date="2026-08-20T11:19:00Z" w:initials="CV">
    <w:p w14:paraId="3472F7C7" w14:textId="77777777" w:rsidR="00B85B7B" w:rsidRDefault="00B85B7B" w:rsidP="00B85B7B">
      <w:pPr>
        <w:pStyle w:val="CommentText"/>
      </w:pPr>
      <w:r>
        <w:rPr>
          <w:rStyle w:val="CommentReference"/>
        </w:rPr>
        <w:annotationRef/>
      </w:r>
      <w:r>
        <w:rPr>
          <w:color w:val="000000"/>
        </w:rPr>
        <w:t xml:space="preserve">Smithson, M., and J. Verkuilen. 2006. A better lemon squeezer? Maximum-likelihood regression with beta-distributed dependent variables. Psychological Methods 11: 54–71. </w:t>
      </w:r>
      <w:r>
        <w:rPr>
          <w:color w:val="1A0DF6"/>
        </w:rPr>
        <w:t>https://doi.org/10.1037/1082-989X.11.1.54</w:t>
      </w:r>
      <w:r>
        <w:rPr>
          <w:color w:val="000000"/>
        </w:rPr>
        <w:t>.</w:t>
      </w:r>
    </w:p>
  </w:comment>
  <w:comment w:id="10" w:author="Cees Vandereijk" w:date="2026-08-25T12:35:00Z" w:initials="CV">
    <w:p w14:paraId="2C02CB4C" w14:textId="77777777" w:rsidR="00D74907" w:rsidRDefault="00D74907" w:rsidP="00D74907">
      <w:pPr>
        <w:pStyle w:val="CommentText"/>
      </w:pPr>
      <w:r>
        <w:rPr>
          <w:rStyle w:val="CommentReference"/>
        </w:rPr>
        <w:annotationRef/>
      </w:r>
      <w:r>
        <w:t>Scott: should this be documented in an Appendix? Would be easy to do.</w:t>
      </w:r>
    </w:p>
  </w:comment>
  <w:comment w:id="11" w:author="Cees Vandereijk" w:date="2026-09-07T14:36:00Z" w:initials="CV">
    <w:p w14:paraId="3D12B270" w14:textId="77777777" w:rsidR="00346D39" w:rsidRDefault="00346D39" w:rsidP="00BB6ED2">
      <w:pPr>
        <w:pStyle w:val="CommentText"/>
      </w:pPr>
      <w:r>
        <w:rPr>
          <w:rStyle w:val="CommentReference"/>
        </w:rPr>
        <w:annotationRef/>
      </w:r>
      <w:r>
        <w:t xml:space="preserve">Note: Note: we might want to include an illustration showing that even with two 11-category items and similar differences in means etc. there is still noticeable shrinkage of the bounds of 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F5BAE5" w15:done="0"/>
  <w15:commentEx w15:paraId="116B6499" w15:done="0"/>
  <w15:commentEx w15:paraId="2A189517" w15:done="0"/>
  <w15:commentEx w15:paraId="54BC03ED" w15:done="0"/>
  <w15:commentEx w15:paraId="5AF59FD2" w15:done="0"/>
  <w15:commentEx w15:paraId="05EE3365" w15:done="0"/>
  <w15:commentEx w15:paraId="1BFC155E" w15:done="0"/>
  <w15:commentEx w15:paraId="69D98141" w15:done="0"/>
  <w15:commentEx w15:paraId="3F2C9670" w15:done="0"/>
  <w15:commentEx w15:paraId="3472F7C7" w15:done="0"/>
  <w15:commentEx w15:paraId="2C02CB4C" w15:done="0"/>
  <w15:commentEx w15:paraId="3D12B2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44C030" w16cex:dateUtc="2026-08-18T14:19:00Z"/>
  <w16cex:commentExtensible w16cex:durableId="0C793174" w16cex:dateUtc="2026-09-08T13:38:00Z"/>
  <w16cex:commentExtensible w16cex:durableId="00019B21" w16cex:dateUtc="2026-09-09T09:35:00Z"/>
  <w16cex:commentExtensible w16cex:durableId="4FC5B20E" w16cex:dateUtc="2026-08-19T10:35:00Z"/>
  <w16cex:commentExtensible w16cex:durableId="7255B88C" w16cex:dateUtc="2026-08-19T10:45:00Z"/>
  <w16cex:commentExtensible w16cex:durableId="4079CFFA" w16cex:dateUtc="2026-09-09T09:59:00Z"/>
  <w16cex:commentExtensible w16cex:durableId="54711AD2" w16cex:dateUtc="2026-09-09T10:08:00Z"/>
  <w16cex:commentExtensible w16cex:durableId="7102AE87" w16cex:dateUtc="2026-09-09T10:17:00Z"/>
  <w16cex:commentExtensible w16cex:durableId="2AABABE3" w16cex:dateUtc="2026-09-09T10:22:00Z"/>
  <w16cex:commentExtensible w16cex:durableId="06A84E14" w16cex:dateUtc="2026-08-20T10:19:00Z"/>
  <w16cex:commentExtensible w16cex:durableId="3C12AB08" w16cex:dateUtc="2026-08-25T11:35:00Z"/>
  <w16cex:commentExtensible w16cex:durableId="53967D1C" w16cex:dateUtc="2026-09-07T13: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F5BAE5" w16cid:durableId="6844C030"/>
  <w16cid:commentId w16cid:paraId="116B6499" w16cid:durableId="0C793174"/>
  <w16cid:commentId w16cid:paraId="2A189517" w16cid:durableId="00019B21"/>
  <w16cid:commentId w16cid:paraId="54BC03ED" w16cid:durableId="4FC5B20E"/>
  <w16cid:commentId w16cid:paraId="5AF59FD2" w16cid:durableId="7255B88C"/>
  <w16cid:commentId w16cid:paraId="05EE3365" w16cid:durableId="4079CFFA"/>
  <w16cid:commentId w16cid:paraId="1BFC155E" w16cid:durableId="54711AD2"/>
  <w16cid:commentId w16cid:paraId="69D98141" w16cid:durableId="7102AE87"/>
  <w16cid:commentId w16cid:paraId="3F2C9670" w16cid:durableId="2AABABE3"/>
  <w16cid:commentId w16cid:paraId="3472F7C7" w16cid:durableId="06A84E14"/>
  <w16cid:commentId w16cid:paraId="2C02CB4C" w16cid:durableId="3C12AB08"/>
  <w16cid:commentId w16cid:paraId="3D12B270" w16cid:durableId="53967D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EDE09" w14:textId="77777777" w:rsidR="00735DD0" w:rsidRDefault="00735DD0" w:rsidP="00866AA0">
      <w:pPr>
        <w:spacing w:after="0" w:line="240" w:lineRule="auto"/>
      </w:pPr>
      <w:r>
        <w:separator/>
      </w:r>
    </w:p>
  </w:endnote>
  <w:endnote w:type="continuationSeparator" w:id="0">
    <w:p w14:paraId="2C2149E6" w14:textId="77777777" w:rsidR="00735DD0" w:rsidRDefault="00735DD0" w:rsidP="00866A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7325C" w14:textId="77777777" w:rsidR="00735DD0" w:rsidRDefault="00735DD0" w:rsidP="00866AA0">
      <w:pPr>
        <w:spacing w:after="0" w:line="240" w:lineRule="auto"/>
      </w:pPr>
      <w:r>
        <w:separator/>
      </w:r>
    </w:p>
  </w:footnote>
  <w:footnote w:type="continuationSeparator" w:id="0">
    <w:p w14:paraId="65AC659F" w14:textId="77777777" w:rsidR="00735DD0" w:rsidRDefault="00735DD0" w:rsidP="00866AA0">
      <w:pPr>
        <w:spacing w:after="0" w:line="240" w:lineRule="auto"/>
      </w:pPr>
      <w:r>
        <w:continuationSeparator/>
      </w:r>
    </w:p>
  </w:footnote>
  <w:footnote w:id="1">
    <w:p w14:paraId="29A87E80" w14:textId="1901B231" w:rsidR="0085171F" w:rsidRDefault="0085171F">
      <w:pPr>
        <w:pStyle w:val="FootnoteText"/>
      </w:pPr>
      <w:r>
        <w:rPr>
          <w:rStyle w:val="FootnoteReference"/>
        </w:rPr>
        <w:footnoteRef/>
      </w:r>
      <w:r>
        <w:t xml:space="preserve"> This expression assumes that rmin&lt;0 and rmax&gt;0. In our data this condition is satisfied. </w:t>
      </w:r>
    </w:p>
  </w:footnote>
  <w:footnote w:id="2">
    <w:p w14:paraId="64302656" w14:textId="069706D6" w:rsidR="0085171F" w:rsidRDefault="0085171F">
      <w:pPr>
        <w:pStyle w:val="FootnoteText"/>
      </w:pPr>
      <w:r>
        <w:rPr>
          <w:rStyle w:val="FootnoteReference"/>
        </w:rPr>
        <w:footnoteRef/>
      </w:r>
      <w:r>
        <w:t xml:space="preserve"> Shrinkage can, of course, be quantified in numerous other ways. We did so as well and found a) that different ways to do so are strongly correlated, and b) that they all lead to substantively similar findings when assessing their potential predictors. We focus therefore on the shrinkage coefficient as defined above, and report results from some other operationalisations in Appendix XX. </w:t>
      </w:r>
    </w:p>
  </w:footnote>
  <w:footnote w:id="3">
    <w:p w14:paraId="5CF3A263" w14:textId="289856EB" w:rsidR="00597135" w:rsidRDefault="00597135">
      <w:pPr>
        <w:pStyle w:val="FootnoteText"/>
      </w:pPr>
      <w:r>
        <w:rPr>
          <w:rStyle w:val="FootnoteReference"/>
        </w:rPr>
        <w:footnoteRef/>
      </w:r>
      <w:r>
        <w:t xml:space="preserve"> Beta regression is not appropriate if the dependent variable </w:t>
      </w:r>
      <w:r w:rsidR="00574E61">
        <w:t>contains values of exactly 0 or 1. That is not the case in our data and is in general exceedingly unlikely to occur, except in the case of identically distributed variables.</w:t>
      </w:r>
    </w:p>
  </w:footnote>
  <w:footnote w:id="4">
    <w:p w14:paraId="4031A5A3" w14:textId="4A3D7C9C" w:rsidR="00642310" w:rsidRDefault="00642310" w:rsidP="00642310">
      <w:pPr>
        <w:pStyle w:val="FootnoteText"/>
      </w:pPr>
      <w:r>
        <w:rPr>
          <w:rStyle w:val="FootnoteReference"/>
        </w:rPr>
        <w:footnoteRef/>
      </w:r>
      <w:r>
        <w:t xml:space="preserve"> Obviously, yet other formats may exist, but in our </w:t>
      </w:r>
      <w:r>
        <w:t>experience,</w:t>
      </w:r>
      <w:r>
        <w:t xml:space="preserve"> they are exceedingly rare. </w:t>
      </w:r>
    </w:p>
  </w:footnote>
  <w:footnote w:id="5">
    <w:p w14:paraId="55410F1F" w14:textId="09FB3A14" w:rsidR="00D12FF5" w:rsidRDefault="00D12FF5">
      <w:pPr>
        <w:pStyle w:val="FootnoteText"/>
      </w:pPr>
      <w:r>
        <w:rPr>
          <w:rStyle w:val="FootnoteReference"/>
        </w:rPr>
        <w:footnoteRef/>
      </w:r>
      <w:r>
        <w:t xml:space="preserve"> Because of the differences in numbers of categories among the Likert items in our analyses, distributional differences would be incomparable when using the ubiquitous contiguous-integer value assignment of the categories. To solve this problem, values of categories were recoded to a common 0 to 1 range with equal distances between the categories. Thus</w:t>
      </w:r>
      <w:r w:rsidR="00DC5716">
        <w:t>,</w:t>
      </w:r>
      <w:r>
        <w:t xml:space="preserve"> the values of a 4-category Likert items were recoded from 1, 2, 3, 4 (or conceivably 0, 1, 2, 3) to 0, 0.3333, 0.6666, 1</w:t>
      </w:r>
      <w:r w:rsidR="00DC5716">
        <w:t xml:space="preserve">. Similar transformations were applied to other Likert-item formats in our data, which were 5-category, 7-category and 11-category items.  </w:t>
      </w:r>
    </w:p>
  </w:footnote>
  <w:footnote w:id="6">
    <w:p w14:paraId="4F38638B" w14:textId="0BA64D3F" w:rsidR="00642310" w:rsidRDefault="00642310">
      <w:pPr>
        <w:pStyle w:val="FootnoteText"/>
      </w:pPr>
      <w:r>
        <w:rPr>
          <w:rStyle w:val="FootnoteReference"/>
        </w:rPr>
        <w:footnoteRef/>
      </w:r>
      <w:r>
        <w:t xml:space="preserve"> This variable is equal to the number of categories in the case of a ‘square’ pair of variables.</w:t>
      </w:r>
    </w:p>
  </w:footnote>
  <w:footnote w:id="7">
    <w:p w14:paraId="7596E25A" w14:textId="0FA5C814" w:rsidR="00406B88" w:rsidRDefault="00406B88">
      <w:pPr>
        <w:pStyle w:val="FootnoteText"/>
      </w:pPr>
      <w:r>
        <w:rPr>
          <w:rStyle w:val="FootnoteReference"/>
        </w:rPr>
        <w:footnoteRef/>
      </w:r>
      <w:r>
        <w:t xml:space="preserve"> As a straightforward case in point: a strongly excentric central tendency leads</w:t>
      </w:r>
      <w:r w:rsidR="007B5ABA">
        <w:t xml:space="preserve"> in ordered-categorical variables</w:t>
      </w:r>
      <w:r>
        <w:t xml:space="preserve"> to a distinct skew, and so on. Whether these interrelations carry over into the domain of distributional </w:t>
      </w:r>
      <w:r w:rsidRPr="00406B88">
        <w:rPr>
          <w:i/>
          <w:iCs/>
        </w:rPr>
        <w:t>differences</w:t>
      </w:r>
      <w:r>
        <w:t xml:space="preserve"> between two variables is plausible, but not certain</w:t>
      </w:r>
      <w:r w:rsidR="007B5ABA">
        <w:t>.</w:t>
      </w:r>
      <w:r>
        <w:t xml:space="preserve"> </w:t>
      </w:r>
      <w:r w:rsidR="007B5ABA">
        <w:t xml:space="preserve">Yet this question is </w:t>
      </w:r>
      <w:r>
        <w:t xml:space="preserve">beyond the scope of this article. </w:t>
      </w:r>
    </w:p>
  </w:footnote>
  <w:footnote w:id="8">
    <w:p w14:paraId="7C3D2AD7" w14:textId="4C6CD800" w:rsidR="00E35E48" w:rsidRDefault="00E35E48">
      <w:pPr>
        <w:pStyle w:val="FootnoteText"/>
      </w:pPr>
      <w:r>
        <w:rPr>
          <w:rStyle w:val="FootnoteReference"/>
        </w:rPr>
        <w:footnoteRef/>
      </w:r>
      <w:r>
        <w:t xml:space="preserve"> This was established using a principal components analysis of all the variables reflecting distributional differences between the two variables involved in a correlation coefficient. The qualification ‘most strongly’ is, however, marginal</w:t>
      </w:r>
      <w:r w:rsidR="00F10C62">
        <w:t xml:space="preserve"> (the Wasserstein distance was of almost equal strength). </w:t>
      </w:r>
    </w:p>
  </w:footnote>
  <w:footnote w:id="9">
    <w:p w14:paraId="275A1B50" w14:textId="0DD4DCEE" w:rsidR="00D05692" w:rsidRDefault="00D05692">
      <w:pPr>
        <w:pStyle w:val="FootnoteText"/>
      </w:pPr>
      <w:r>
        <w:rPr>
          <w:rStyle w:val="FootnoteReference"/>
        </w:rPr>
        <w:footnoteRef/>
      </w:r>
      <w:r>
        <w:t xml:space="preserve"> Models with some, but not all independent variables of this kind are broadly consistent with the outcome of the model with the full set of these variables; we therefore do not include them here. </w:t>
      </w:r>
    </w:p>
  </w:footnote>
  <w:footnote w:id="10">
    <w:p w14:paraId="1B3FC92F" w14:textId="1BDC8F12" w:rsidR="00AB6CE0" w:rsidRDefault="00AB6CE0">
      <w:pPr>
        <w:pStyle w:val="FootnoteText"/>
      </w:pPr>
      <w:r>
        <w:rPr>
          <w:rStyle w:val="FootnoteReference"/>
        </w:rPr>
        <w:footnoteRef/>
      </w:r>
      <w:r>
        <w:t xml:space="preserve"> These findings remain the same after deleting from the model the difference of standard deviations, the coefficient of which had changed to not-significant when the cartesian product of the two variables was included.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E0A53"/>
    <w:multiLevelType w:val="hybridMultilevel"/>
    <w:tmpl w:val="5E8A3D12"/>
    <w:lvl w:ilvl="0" w:tplc="4418A4EC">
      <w:start w:val="1"/>
      <w:numFmt w:val="lowerLetter"/>
      <w:lvlText w:val="%1)"/>
      <w:lvlJc w:val="left"/>
      <w:pPr>
        <w:ind w:left="560" w:hanging="360"/>
      </w:pPr>
      <w:rPr>
        <w:rFonts w:hint="default"/>
      </w:rPr>
    </w:lvl>
    <w:lvl w:ilvl="1" w:tplc="08090019" w:tentative="1">
      <w:start w:val="1"/>
      <w:numFmt w:val="lowerLetter"/>
      <w:lvlText w:val="%2."/>
      <w:lvlJc w:val="left"/>
      <w:pPr>
        <w:ind w:left="1280" w:hanging="360"/>
      </w:pPr>
    </w:lvl>
    <w:lvl w:ilvl="2" w:tplc="0809001B" w:tentative="1">
      <w:start w:val="1"/>
      <w:numFmt w:val="lowerRoman"/>
      <w:lvlText w:val="%3."/>
      <w:lvlJc w:val="right"/>
      <w:pPr>
        <w:ind w:left="2000" w:hanging="180"/>
      </w:pPr>
    </w:lvl>
    <w:lvl w:ilvl="3" w:tplc="0809000F" w:tentative="1">
      <w:start w:val="1"/>
      <w:numFmt w:val="decimal"/>
      <w:lvlText w:val="%4."/>
      <w:lvlJc w:val="left"/>
      <w:pPr>
        <w:ind w:left="2720" w:hanging="360"/>
      </w:pPr>
    </w:lvl>
    <w:lvl w:ilvl="4" w:tplc="08090019" w:tentative="1">
      <w:start w:val="1"/>
      <w:numFmt w:val="lowerLetter"/>
      <w:lvlText w:val="%5."/>
      <w:lvlJc w:val="left"/>
      <w:pPr>
        <w:ind w:left="3440" w:hanging="360"/>
      </w:pPr>
    </w:lvl>
    <w:lvl w:ilvl="5" w:tplc="0809001B" w:tentative="1">
      <w:start w:val="1"/>
      <w:numFmt w:val="lowerRoman"/>
      <w:lvlText w:val="%6."/>
      <w:lvlJc w:val="right"/>
      <w:pPr>
        <w:ind w:left="4160" w:hanging="180"/>
      </w:pPr>
    </w:lvl>
    <w:lvl w:ilvl="6" w:tplc="0809000F" w:tentative="1">
      <w:start w:val="1"/>
      <w:numFmt w:val="decimal"/>
      <w:lvlText w:val="%7."/>
      <w:lvlJc w:val="left"/>
      <w:pPr>
        <w:ind w:left="4880" w:hanging="360"/>
      </w:pPr>
    </w:lvl>
    <w:lvl w:ilvl="7" w:tplc="08090019" w:tentative="1">
      <w:start w:val="1"/>
      <w:numFmt w:val="lowerLetter"/>
      <w:lvlText w:val="%8."/>
      <w:lvlJc w:val="left"/>
      <w:pPr>
        <w:ind w:left="5600" w:hanging="360"/>
      </w:pPr>
    </w:lvl>
    <w:lvl w:ilvl="8" w:tplc="0809001B" w:tentative="1">
      <w:start w:val="1"/>
      <w:numFmt w:val="lowerRoman"/>
      <w:lvlText w:val="%9."/>
      <w:lvlJc w:val="right"/>
      <w:pPr>
        <w:ind w:left="6320" w:hanging="180"/>
      </w:pPr>
    </w:lvl>
  </w:abstractNum>
  <w:abstractNum w:abstractNumId="1" w15:restartNumberingAfterBreak="0">
    <w:nsid w:val="3AE77A10"/>
    <w:multiLevelType w:val="hybridMultilevel"/>
    <w:tmpl w:val="32765DE0"/>
    <w:lvl w:ilvl="0" w:tplc="BA40C43E">
      <w:start w:val="1"/>
      <w:numFmt w:val="lowerRoman"/>
      <w:lvlText w:val="%1)"/>
      <w:lvlJc w:val="left"/>
      <w:pPr>
        <w:ind w:left="920" w:hanging="720"/>
      </w:pPr>
      <w:rPr>
        <w:rFonts w:hint="default"/>
      </w:rPr>
    </w:lvl>
    <w:lvl w:ilvl="1" w:tplc="08090019" w:tentative="1">
      <w:start w:val="1"/>
      <w:numFmt w:val="lowerLetter"/>
      <w:lvlText w:val="%2."/>
      <w:lvlJc w:val="left"/>
      <w:pPr>
        <w:ind w:left="1280" w:hanging="360"/>
      </w:pPr>
    </w:lvl>
    <w:lvl w:ilvl="2" w:tplc="0809001B" w:tentative="1">
      <w:start w:val="1"/>
      <w:numFmt w:val="lowerRoman"/>
      <w:lvlText w:val="%3."/>
      <w:lvlJc w:val="right"/>
      <w:pPr>
        <w:ind w:left="2000" w:hanging="180"/>
      </w:pPr>
    </w:lvl>
    <w:lvl w:ilvl="3" w:tplc="0809000F" w:tentative="1">
      <w:start w:val="1"/>
      <w:numFmt w:val="decimal"/>
      <w:lvlText w:val="%4."/>
      <w:lvlJc w:val="left"/>
      <w:pPr>
        <w:ind w:left="2720" w:hanging="360"/>
      </w:pPr>
    </w:lvl>
    <w:lvl w:ilvl="4" w:tplc="08090019" w:tentative="1">
      <w:start w:val="1"/>
      <w:numFmt w:val="lowerLetter"/>
      <w:lvlText w:val="%5."/>
      <w:lvlJc w:val="left"/>
      <w:pPr>
        <w:ind w:left="3440" w:hanging="360"/>
      </w:pPr>
    </w:lvl>
    <w:lvl w:ilvl="5" w:tplc="0809001B" w:tentative="1">
      <w:start w:val="1"/>
      <w:numFmt w:val="lowerRoman"/>
      <w:lvlText w:val="%6."/>
      <w:lvlJc w:val="right"/>
      <w:pPr>
        <w:ind w:left="4160" w:hanging="180"/>
      </w:pPr>
    </w:lvl>
    <w:lvl w:ilvl="6" w:tplc="0809000F" w:tentative="1">
      <w:start w:val="1"/>
      <w:numFmt w:val="decimal"/>
      <w:lvlText w:val="%7."/>
      <w:lvlJc w:val="left"/>
      <w:pPr>
        <w:ind w:left="4880" w:hanging="360"/>
      </w:pPr>
    </w:lvl>
    <w:lvl w:ilvl="7" w:tplc="08090019" w:tentative="1">
      <w:start w:val="1"/>
      <w:numFmt w:val="lowerLetter"/>
      <w:lvlText w:val="%8."/>
      <w:lvlJc w:val="left"/>
      <w:pPr>
        <w:ind w:left="5600" w:hanging="360"/>
      </w:pPr>
    </w:lvl>
    <w:lvl w:ilvl="8" w:tplc="0809001B" w:tentative="1">
      <w:start w:val="1"/>
      <w:numFmt w:val="lowerRoman"/>
      <w:lvlText w:val="%9."/>
      <w:lvlJc w:val="right"/>
      <w:pPr>
        <w:ind w:left="6320" w:hanging="180"/>
      </w:pPr>
    </w:lvl>
  </w:abstractNum>
  <w:abstractNum w:abstractNumId="2" w15:restartNumberingAfterBreak="0">
    <w:nsid w:val="563213E2"/>
    <w:multiLevelType w:val="hybridMultilevel"/>
    <w:tmpl w:val="069013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81408B6"/>
    <w:multiLevelType w:val="hybridMultilevel"/>
    <w:tmpl w:val="D8D2A410"/>
    <w:lvl w:ilvl="0" w:tplc="303841A6">
      <w:start w:val="9"/>
      <w:numFmt w:val="lowerLetter"/>
      <w:lvlText w:val="%1)"/>
      <w:lvlJc w:val="left"/>
      <w:pPr>
        <w:ind w:left="560" w:hanging="360"/>
      </w:pPr>
      <w:rPr>
        <w:rFonts w:hint="default"/>
      </w:rPr>
    </w:lvl>
    <w:lvl w:ilvl="1" w:tplc="08090019" w:tentative="1">
      <w:start w:val="1"/>
      <w:numFmt w:val="lowerLetter"/>
      <w:lvlText w:val="%2."/>
      <w:lvlJc w:val="left"/>
      <w:pPr>
        <w:ind w:left="1280" w:hanging="360"/>
      </w:pPr>
    </w:lvl>
    <w:lvl w:ilvl="2" w:tplc="0809001B" w:tentative="1">
      <w:start w:val="1"/>
      <w:numFmt w:val="lowerRoman"/>
      <w:lvlText w:val="%3."/>
      <w:lvlJc w:val="right"/>
      <w:pPr>
        <w:ind w:left="2000" w:hanging="180"/>
      </w:pPr>
    </w:lvl>
    <w:lvl w:ilvl="3" w:tplc="0809000F" w:tentative="1">
      <w:start w:val="1"/>
      <w:numFmt w:val="decimal"/>
      <w:lvlText w:val="%4."/>
      <w:lvlJc w:val="left"/>
      <w:pPr>
        <w:ind w:left="2720" w:hanging="360"/>
      </w:pPr>
    </w:lvl>
    <w:lvl w:ilvl="4" w:tplc="08090019" w:tentative="1">
      <w:start w:val="1"/>
      <w:numFmt w:val="lowerLetter"/>
      <w:lvlText w:val="%5."/>
      <w:lvlJc w:val="left"/>
      <w:pPr>
        <w:ind w:left="3440" w:hanging="360"/>
      </w:pPr>
    </w:lvl>
    <w:lvl w:ilvl="5" w:tplc="0809001B" w:tentative="1">
      <w:start w:val="1"/>
      <w:numFmt w:val="lowerRoman"/>
      <w:lvlText w:val="%6."/>
      <w:lvlJc w:val="right"/>
      <w:pPr>
        <w:ind w:left="4160" w:hanging="180"/>
      </w:pPr>
    </w:lvl>
    <w:lvl w:ilvl="6" w:tplc="0809000F" w:tentative="1">
      <w:start w:val="1"/>
      <w:numFmt w:val="decimal"/>
      <w:lvlText w:val="%7."/>
      <w:lvlJc w:val="left"/>
      <w:pPr>
        <w:ind w:left="4880" w:hanging="360"/>
      </w:pPr>
    </w:lvl>
    <w:lvl w:ilvl="7" w:tplc="08090019" w:tentative="1">
      <w:start w:val="1"/>
      <w:numFmt w:val="lowerLetter"/>
      <w:lvlText w:val="%8."/>
      <w:lvlJc w:val="left"/>
      <w:pPr>
        <w:ind w:left="5600" w:hanging="360"/>
      </w:pPr>
    </w:lvl>
    <w:lvl w:ilvl="8" w:tplc="0809001B" w:tentative="1">
      <w:start w:val="1"/>
      <w:numFmt w:val="lowerRoman"/>
      <w:lvlText w:val="%9."/>
      <w:lvlJc w:val="right"/>
      <w:pPr>
        <w:ind w:left="6320" w:hanging="180"/>
      </w:pPr>
    </w:lvl>
  </w:abstractNum>
  <w:abstractNum w:abstractNumId="4" w15:restartNumberingAfterBreak="0">
    <w:nsid w:val="741F2A34"/>
    <w:multiLevelType w:val="hybridMultilevel"/>
    <w:tmpl w:val="A6AEC9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37701861">
    <w:abstractNumId w:val="2"/>
  </w:num>
  <w:num w:numId="2" w16cid:durableId="1431975846">
    <w:abstractNumId w:val="0"/>
  </w:num>
  <w:num w:numId="3" w16cid:durableId="164983007">
    <w:abstractNumId w:val="1"/>
  </w:num>
  <w:num w:numId="4" w16cid:durableId="61028626">
    <w:abstractNumId w:val="3"/>
  </w:num>
  <w:num w:numId="5" w16cid:durableId="177832560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ees Vandereijk">
    <w15:presenceInfo w15:providerId="AD" w15:userId="S::cees.vandereijk@nottingham.ac.uk::75a0d5f5-60c2-4c6f-8ec2-ec25ffdc4f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98C"/>
    <w:rsid w:val="00006518"/>
    <w:rsid w:val="00092AD1"/>
    <w:rsid w:val="00092FBD"/>
    <w:rsid w:val="000E3A02"/>
    <w:rsid w:val="001B4FBE"/>
    <w:rsid w:val="00286B5E"/>
    <w:rsid w:val="002C5CE7"/>
    <w:rsid w:val="002E35D9"/>
    <w:rsid w:val="00317041"/>
    <w:rsid w:val="003277FA"/>
    <w:rsid w:val="00331F07"/>
    <w:rsid w:val="00334829"/>
    <w:rsid w:val="00346D39"/>
    <w:rsid w:val="00354962"/>
    <w:rsid w:val="003710BD"/>
    <w:rsid w:val="003A23CE"/>
    <w:rsid w:val="003D48EA"/>
    <w:rsid w:val="003F5C87"/>
    <w:rsid w:val="00403491"/>
    <w:rsid w:val="00406B88"/>
    <w:rsid w:val="0043643C"/>
    <w:rsid w:val="004F02C0"/>
    <w:rsid w:val="004F1B0D"/>
    <w:rsid w:val="00503660"/>
    <w:rsid w:val="0054314B"/>
    <w:rsid w:val="00574E61"/>
    <w:rsid w:val="00597135"/>
    <w:rsid w:val="005F2576"/>
    <w:rsid w:val="00642310"/>
    <w:rsid w:val="00674324"/>
    <w:rsid w:val="006900C1"/>
    <w:rsid w:val="00691E87"/>
    <w:rsid w:val="006A2583"/>
    <w:rsid w:val="006B2F90"/>
    <w:rsid w:val="007123AB"/>
    <w:rsid w:val="00735DD0"/>
    <w:rsid w:val="00744DED"/>
    <w:rsid w:val="007865E0"/>
    <w:rsid w:val="007871CB"/>
    <w:rsid w:val="00790AB1"/>
    <w:rsid w:val="007A7387"/>
    <w:rsid w:val="007B5ABA"/>
    <w:rsid w:val="007E4E9F"/>
    <w:rsid w:val="00815E52"/>
    <w:rsid w:val="00821327"/>
    <w:rsid w:val="0085171F"/>
    <w:rsid w:val="00866AA0"/>
    <w:rsid w:val="008E6846"/>
    <w:rsid w:val="008F4A86"/>
    <w:rsid w:val="00906B9F"/>
    <w:rsid w:val="009F0E5A"/>
    <w:rsid w:val="00A52922"/>
    <w:rsid w:val="00A951ED"/>
    <w:rsid w:val="00AB6851"/>
    <w:rsid w:val="00AB6CE0"/>
    <w:rsid w:val="00AC6859"/>
    <w:rsid w:val="00AE4659"/>
    <w:rsid w:val="00B42EA1"/>
    <w:rsid w:val="00B85B7B"/>
    <w:rsid w:val="00C126D4"/>
    <w:rsid w:val="00C4594B"/>
    <w:rsid w:val="00C70426"/>
    <w:rsid w:val="00C87FBD"/>
    <w:rsid w:val="00C951AD"/>
    <w:rsid w:val="00CD5448"/>
    <w:rsid w:val="00CD69AF"/>
    <w:rsid w:val="00D05692"/>
    <w:rsid w:val="00D12FF5"/>
    <w:rsid w:val="00D41A3C"/>
    <w:rsid w:val="00D42936"/>
    <w:rsid w:val="00D440E7"/>
    <w:rsid w:val="00D67771"/>
    <w:rsid w:val="00D74907"/>
    <w:rsid w:val="00DA5E51"/>
    <w:rsid w:val="00DC5716"/>
    <w:rsid w:val="00DF22A3"/>
    <w:rsid w:val="00E0192D"/>
    <w:rsid w:val="00E02CAA"/>
    <w:rsid w:val="00E23B70"/>
    <w:rsid w:val="00E35E48"/>
    <w:rsid w:val="00E56C38"/>
    <w:rsid w:val="00E747BE"/>
    <w:rsid w:val="00E9158A"/>
    <w:rsid w:val="00EB398C"/>
    <w:rsid w:val="00EC136A"/>
    <w:rsid w:val="00EC34AF"/>
    <w:rsid w:val="00F014F6"/>
    <w:rsid w:val="00F10C62"/>
    <w:rsid w:val="00F17BE3"/>
    <w:rsid w:val="00F61761"/>
    <w:rsid w:val="00F7720E"/>
    <w:rsid w:val="00F8251B"/>
    <w:rsid w:val="00FA65BE"/>
    <w:rsid w:val="00FE4D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9CBA5"/>
  <w15:chartTrackingRefBased/>
  <w15:docId w15:val="{63EA2326-2C4C-49EF-824D-4ED96ACFC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9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9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9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9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9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9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9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9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9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9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9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9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9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9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9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9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9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98C"/>
    <w:rPr>
      <w:rFonts w:eastAsiaTheme="majorEastAsia" w:cstheme="majorBidi"/>
      <w:color w:val="272727" w:themeColor="text1" w:themeTint="D8"/>
    </w:rPr>
  </w:style>
  <w:style w:type="paragraph" w:styleId="Title">
    <w:name w:val="Title"/>
    <w:basedOn w:val="Normal"/>
    <w:next w:val="Normal"/>
    <w:link w:val="TitleChar"/>
    <w:uiPriority w:val="10"/>
    <w:qFormat/>
    <w:rsid w:val="00EB39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9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9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9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98C"/>
    <w:pPr>
      <w:spacing w:before="160"/>
      <w:jc w:val="center"/>
    </w:pPr>
    <w:rPr>
      <w:i/>
      <w:iCs/>
      <w:color w:val="404040" w:themeColor="text1" w:themeTint="BF"/>
    </w:rPr>
  </w:style>
  <w:style w:type="character" w:customStyle="1" w:styleId="QuoteChar">
    <w:name w:val="Quote Char"/>
    <w:basedOn w:val="DefaultParagraphFont"/>
    <w:link w:val="Quote"/>
    <w:uiPriority w:val="29"/>
    <w:rsid w:val="00EB398C"/>
    <w:rPr>
      <w:i/>
      <w:iCs/>
      <w:color w:val="404040" w:themeColor="text1" w:themeTint="BF"/>
    </w:rPr>
  </w:style>
  <w:style w:type="paragraph" w:styleId="ListParagraph">
    <w:name w:val="List Paragraph"/>
    <w:basedOn w:val="Normal"/>
    <w:uiPriority w:val="34"/>
    <w:qFormat/>
    <w:rsid w:val="00EB398C"/>
    <w:pPr>
      <w:ind w:left="720"/>
      <w:contextualSpacing/>
    </w:pPr>
  </w:style>
  <w:style w:type="character" w:styleId="IntenseEmphasis">
    <w:name w:val="Intense Emphasis"/>
    <w:basedOn w:val="DefaultParagraphFont"/>
    <w:uiPriority w:val="21"/>
    <w:qFormat/>
    <w:rsid w:val="00EB398C"/>
    <w:rPr>
      <w:i/>
      <w:iCs/>
      <w:color w:val="0F4761" w:themeColor="accent1" w:themeShade="BF"/>
    </w:rPr>
  </w:style>
  <w:style w:type="paragraph" w:styleId="IntenseQuote">
    <w:name w:val="Intense Quote"/>
    <w:basedOn w:val="Normal"/>
    <w:next w:val="Normal"/>
    <w:link w:val="IntenseQuoteChar"/>
    <w:uiPriority w:val="30"/>
    <w:qFormat/>
    <w:rsid w:val="00EB39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98C"/>
    <w:rPr>
      <w:i/>
      <w:iCs/>
      <w:color w:val="0F4761" w:themeColor="accent1" w:themeShade="BF"/>
    </w:rPr>
  </w:style>
  <w:style w:type="character" w:styleId="IntenseReference">
    <w:name w:val="Intense Reference"/>
    <w:basedOn w:val="DefaultParagraphFont"/>
    <w:uiPriority w:val="32"/>
    <w:qFormat/>
    <w:rsid w:val="00EB398C"/>
    <w:rPr>
      <w:b/>
      <w:bCs/>
      <w:smallCaps/>
      <w:color w:val="0F4761" w:themeColor="accent1" w:themeShade="BF"/>
      <w:spacing w:val="5"/>
    </w:rPr>
  </w:style>
  <w:style w:type="character" w:styleId="CommentReference">
    <w:name w:val="annotation reference"/>
    <w:basedOn w:val="DefaultParagraphFont"/>
    <w:uiPriority w:val="99"/>
    <w:semiHidden/>
    <w:unhideWhenUsed/>
    <w:rsid w:val="00F17BE3"/>
    <w:rPr>
      <w:sz w:val="16"/>
      <w:szCs w:val="16"/>
    </w:rPr>
  </w:style>
  <w:style w:type="paragraph" w:styleId="CommentText">
    <w:name w:val="annotation text"/>
    <w:basedOn w:val="Normal"/>
    <w:link w:val="CommentTextChar"/>
    <w:uiPriority w:val="99"/>
    <w:unhideWhenUsed/>
    <w:rsid w:val="00F17BE3"/>
    <w:pPr>
      <w:spacing w:line="240" w:lineRule="auto"/>
    </w:pPr>
    <w:rPr>
      <w:sz w:val="20"/>
      <w:szCs w:val="20"/>
    </w:rPr>
  </w:style>
  <w:style w:type="character" w:customStyle="1" w:styleId="CommentTextChar">
    <w:name w:val="Comment Text Char"/>
    <w:basedOn w:val="DefaultParagraphFont"/>
    <w:link w:val="CommentText"/>
    <w:uiPriority w:val="99"/>
    <w:rsid w:val="00F17BE3"/>
    <w:rPr>
      <w:sz w:val="20"/>
      <w:szCs w:val="20"/>
    </w:rPr>
  </w:style>
  <w:style w:type="paragraph" w:styleId="CommentSubject">
    <w:name w:val="annotation subject"/>
    <w:basedOn w:val="CommentText"/>
    <w:next w:val="CommentText"/>
    <w:link w:val="CommentSubjectChar"/>
    <w:uiPriority w:val="99"/>
    <w:semiHidden/>
    <w:unhideWhenUsed/>
    <w:rsid w:val="00F17BE3"/>
    <w:rPr>
      <w:b/>
      <w:bCs/>
    </w:rPr>
  </w:style>
  <w:style w:type="character" w:customStyle="1" w:styleId="CommentSubjectChar">
    <w:name w:val="Comment Subject Char"/>
    <w:basedOn w:val="CommentTextChar"/>
    <w:link w:val="CommentSubject"/>
    <w:uiPriority w:val="99"/>
    <w:semiHidden/>
    <w:rsid w:val="00F17BE3"/>
    <w:rPr>
      <w:b/>
      <w:bCs/>
      <w:sz w:val="20"/>
      <w:szCs w:val="20"/>
    </w:rPr>
  </w:style>
  <w:style w:type="character" w:styleId="Hyperlink">
    <w:name w:val="Hyperlink"/>
    <w:basedOn w:val="DefaultParagraphFont"/>
    <w:uiPriority w:val="99"/>
    <w:unhideWhenUsed/>
    <w:rsid w:val="00D67771"/>
    <w:rPr>
      <w:color w:val="467886" w:themeColor="hyperlink"/>
      <w:u w:val="single"/>
    </w:rPr>
  </w:style>
  <w:style w:type="character" w:styleId="UnresolvedMention">
    <w:name w:val="Unresolved Mention"/>
    <w:basedOn w:val="DefaultParagraphFont"/>
    <w:uiPriority w:val="99"/>
    <w:semiHidden/>
    <w:unhideWhenUsed/>
    <w:rsid w:val="00D67771"/>
    <w:rPr>
      <w:color w:val="605E5C"/>
      <w:shd w:val="clear" w:color="auto" w:fill="E1DFDD"/>
    </w:rPr>
  </w:style>
  <w:style w:type="paragraph" w:styleId="FootnoteText">
    <w:name w:val="footnote text"/>
    <w:basedOn w:val="Normal"/>
    <w:link w:val="FootnoteTextChar"/>
    <w:uiPriority w:val="99"/>
    <w:semiHidden/>
    <w:unhideWhenUsed/>
    <w:rsid w:val="00866AA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66AA0"/>
    <w:rPr>
      <w:sz w:val="20"/>
      <w:szCs w:val="20"/>
    </w:rPr>
  </w:style>
  <w:style w:type="character" w:styleId="FootnoteReference">
    <w:name w:val="footnote reference"/>
    <w:basedOn w:val="DefaultParagraphFont"/>
    <w:uiPriority w:val="99"/>
    <w:semiHidden/>
    <w:unhideWhenUsed/>
    <w:rsid w:val="00866AA0"/>
    <w:rPr>
      <w:vertAlign w:val="superscript"/>
    </w:rPr>
  </w:style>
  <w:style w:type="table" w:styleId="TableGrid">
    <w:name w:val="Table Grid"/>
    <w:basedOn w:val="TableNormal"/>
    <w:uiPriority w:val="39"/>
    <w:rsid w:val="008517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ideas.repec.org/s/boc/bocode.html" TargetMode="External"/><Relationship Id="rId1" Type="http://schemas.openxmlformats.org/officeDocument/2006/relationships/hyperlink" Target="https://ideas.repec.org/c/boc/bocode/s459557.html"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148CC-1BD1-4207-A2B5-54CD501E9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5716</TotalTime>
  <Pages>8</Pages>
  <Words>2456</Words>
  <Characters>14005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University of Nottingham</Company>
  <LinksUpToDate>false</LinksUpToDate>
  <CharactersWithSpaces>16429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Cees Vandereijk</dc:creator>
  <cp:keywords/>
  <dc:description/>
  <cp:lastModifiedBy>Cees Vandereijk</cp:lastModifiedBy>
  <cp:revision>78</cp:revision>
  <dcterms:created xsi:type="dcterms:W3CDTF">2026-08-18T09:54:00Z</dcterms:created>
  <dcterms:modified xsi:type="dcterms:W3CDTF">2026-09-09T11:53:00Z</dcterms:modified>
</cp:coreProperties>
</file>