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Humane Officer Walkthrough: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Receive complaint (usually call)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 visit, knock on 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homeowner is there/ responds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Tell homeowner you received a complaint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Say not there to prosecute on the spot, educate, help them out in any 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homeowner is not there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a notice (24 hours to respond)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no response, call police to find out about a possible eviction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May ask court for warrant to get inside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Inside the home: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 evidence by taking pictures of animal and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Options after seeing the animal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Educate and let the animal stay with the owner, follow up regularly to make sure things are improved.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Encourage the owner to give up rights to the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animal and file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Debbie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Receiving and Responding to Reports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Concerned Citizen contacts the animal shelter (usually call)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Whoever picks up the call asks the citizen to provide further detail (Details outlined in a protocol including location, situation)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process usually repeats, a list of reports is compiled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Looks at list of reports, and prioritizes cases based on the given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Investigating Report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petowner is present: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to petowner and tell them about complaint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to educate the owner on the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petowner mandatory correction form (24-48 hours for petowner to complete actions specified by HO to remedy situation)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 follows up on petowner to see if they have completed correct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so, the case is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not, HO may take further actions (more correction form, have owner sign away rights to the pet)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judge with evidence (pictures or veterinary testimony) to get a house warrant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Prosecution: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situation warrants summary-level chargers, then the HO persecutes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judge with evidence (pictures or veterinary testimony) to get a house warrant or to seize the animal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situation is anything above a summary-level charge, then the DA prosecutes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 hands all case materials to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 serves as an expert witness in 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