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Times New Roman" w:cs="Times New Roman" w:eastAsia="Times New Roman" w:hAnsi="Times New Roman"/>
          <w:b/>
          <w:bCs/>
          <w:color w:val="020617"/>
          <w:sz w:val="48"/>
          <w:szCs w:val="48"/>
        </w:rPr>
        <w:t xml:space="preserve">MODELO DE DATOS Y SISTEMA DE SCORING</w:t>
      </w:r>
    </w:p>
    <w:p>
      <w:pPr>
        <w:spacing w:before="400"/>
      </w:pPr>
    </w:p>
    <w:p>
      <w:pPr>
        <w:jc w:val="center"/>
      </w:pPr>
      <w:r>
        <w:rPr>
          <w:rFonts w:ascii="Times New Roman" w:cs="Times New Roman" w:eastAsia="Times New Roman" w:hAnsi="Times New Roman"/>
          <w:color w:val="64748B"/>
          <w:sz w:val="36"/>
          <w:szCs w:val="36"/>
        </w:rPr>
        <w:t xml:space="preserve">Comparador Hipotecario Profesional para España</w:t>
      </w:r>
    </w:p>
    <w:p>
      <w:pPr>
        <w:spacing w:before="800"/>
      </w:pPr>
    </w:p>
    <w:p>
      <w:pPr>
        <w:jc w:val="center"/>
      </w:pPr>
      <w:r>
        <w:rPr>
          <w:rFonts w:ascii="Times New Roman" w:cs="Times New Roman" w:eastAsia="Times New Roman" w:hAnsi="Times New Roman"/>
          <w:color w:val="1E293B"/>
          <w:sz w:val="24"/>
          <w:szCs w:val="24"/>
        </w:rPr>
        <w:t xml:space="preserve">Definición de entidades TypeScript, esquemas de validación, y algoritmos de puntuación</w:t>
      </w:r>
    </w:p>
    <w:p>
      <w:pPr>
        <w:spacing w:before="2000"/>
      </w:pPr>
    </w:p>
    <w:p>
      <w:pPr>
        <w:jc w:val="center"/>
      </w:pPr>
      <w:r>
        <w:rPr>
          <w:rFonts w:ascii="Times New Roman" w:cs="Times New Roman" w:eastAsia="Times New Roman" w:hAnsi="Times New Roman"/>
          <w:color w:val="94A3B8"/>
          <w:sz w:val="22"/>
          <w:szCs w:val="22"/>
        </w:rPr>
        <w:t xml:space="preserve">Documento de Diseño - Fase 2</w:t>
      </w:r>
    </w:p>
    <w:p>
      <w:pPr>
        <w:jc w:val="center"/>
      </w:pPr>
      <w:r>
        <w:rPr>
          <w:rFonts w:ascii="Times New Roman" w:cs="Times New Roman" w:eastAsia="Times New Roman" w:hAnsi="Times New Roman"/>
          <w:color w:val="94A3B8"/>
          <w:sz w:val="22"/>
          <w:szCs w:val="22"/>
        </w:rPr>
        <w:t xml:space="preserve">27 de marzo de 2026</w:t>
      </w:r>
    </w:p>
    <w:p>
      <w:r>
        <w:br w:type="page"/>
      </w:r>
    </w:p>
    <w:p>
      <w:pPr>
        <w:sectPr>
          <w:pgSz w:w="11906" w:h="16838" w:orient="portrait"/>
          <w:pgMar w:top="0" w:right="0" w:bottom="0" w:left="0" w:header="708" w:footer="708" w:gutter="0"/>
          <w:pgNumType/>
          <w:docGrid w:linePitch="360"/>
        </w:sectPr>
      </w:pPr>
    </w:p>
    <w:sdt>
      <w:sdtPr>
        <w:alias w:val="Índice de Contenidos"/>
      </w:sdtPr>
      <w:sdtContent>
        <w:p>
          <w:r>
            <w:fldChar w:fldCharType="begin" w:dirty="true"/>
            <w:instrText xml:space="preserve">TOC \h \o "1-3"</w:instrText>
            <w:fldChar w:fldCharType="separate"/>
          </w:r>
        </w:p>
        <w:p>
          <w:pPr>
            <w:pStyle w:val="9"/>
            <w:tabs>
              <w:tab w:val="right" w:leader="dot" w:pos="9026"/>
            </w:tabs>
          </w:pPr>
          <w:r>
            <w:t>1. Introducción y Principios de Diseño</w:t>
          </w:r>
          <w:r>
            <w:tab/>
          </w:r>
          <w:r>
            <w:t>3</w:t>
          </w:r>
        </w:p>
        <w:p>
          <w:pPr>
            <w:pStyle w:val="9"/>
            <w:tabs>
              <w:tab w:val="right" w:leader="dot" w:pos="9026"/>
            </w:tabs>
          </w:pPr>
          <w:r>
            <w:t>2. Dominio de Perfil de Usuario</w:t>
          </w:r>
          <w:r>
            <w:tab/>
          </w:r>
          <w:r>
            <w:t>3</w:t>
          </w:r>
        </w:p>
        <w:p>
          <w:pPr>
            <w:pStyle w:val="11"/>
            <w:ind w:left="360"/>
            <w:tabs>
              <w:tab w:val="right" w:leader="dot" w:pos="9026"/>
            </w:tabs>
          </w:pPr>
          <w:r>
            <w:t>2.1 Entidad Principal: UserScenario</w:t>
          </w:r>
          <w:r>
            <w:tab/>
          </w:r>
          <w:r>
            <w:t>3</w:t>
          </w:r>
        </w:p>
        <w:p>
          <w:pPr>
            <w:pStyle w:val="11"/>
            <w:ind w:left="360"/>
            <w:tabs>
              <w:tab w:val="right" w:leader="dot" w:pos="9026"/>
            </w:tabs>
          </w:pPr>
          <w:r>
            <w:t>2.2 Perfil Económico: BorrowerProfile</w:t>
          </w:r>
          <w:r>
            <w:tab/>
          </w:r>
          <w:r>
            <w:t>4</w:t>
          </w:r>
        </w:p>
        <w:p>
          <w:pPr>
            <w:pStyle w:val="11"/>
            <w:ind w:left="360"/>
            <w:tabs>
              <w:tab w:val="right" w:leader="dot" w:pos="9026"/>
            </w:tabs>
          </w:pPr>
          <w:r>
            <w:t>2.3 Preferencias Hipotecarias: MortgagePreferences</w:t>
          </w:r>
          <w:r>
            <w:tab/>
          </w:r>
          <w:r>
            <w:t>5</w:t>
          </w:r>
        </w:p>
        <w:p>
          <w:pPr>
            <w:pStyle w:val="9"/>
            <w:tabs>
              <w:tab w:val="right" w:leader="dot" w:pos="9026"/>
            </w:tabs>
          </w:pPr>
          <w:r>
            <w:t>3. Dominio de Ofertas Hipotecarias</w:t>
          </w:r>
          <w:r>
            <w:tab/>
          </w:r>
          <w:r>
            <w:t>6</w:t>
          </w:r>
        </w:p>
        <w:p>
          <w:pPr>
            <w:pStyle w:val="11"/>
            <w:ind w:left="360"/>
            <w:tabs>
              <w:tab w:val="right" w:leader="dot" w:pos="9026"/>
            </w:tabs>
          </w:pPr>
          <w:r>
            <w:t>3.1 Entidad Principal: MortgageOffer</w:t>
          </w:r>
          <w:r>
            <w:tab/>
          </w:r>
          <w:r>
            <w:t>6</w:t>
          </w:r>
        </w:p>
        <w:p>
          <w:pPr>
            <w:pStyle w:val="11"/>
            <w:ind w:left="360"/>
            <w:tabs>
              <w:tab w:val="right" w:leader="dot" w:pos="9026"/>
            </w:tabs>
          </w:pPr>
          <w:r>
            <w:t>3.2 Condiciones de Tipo: RateCondition</w:t>
          </w:r>
          <w:r>
            <w:tab/>
          </w:r>
          <w:r>
            <w:t>7</w:t>
          </w:r>
        </w:p>
        <w:p>
          <w:pPr>
            <w:pStyle w:val="11"/>
            <w:ind w:left="360"/>
            <w:tabs>
              <w:tab w:val="right" w:leader="dot" w:pos="9026"/>
            </w:tabs>
          </w:pPr>
          <w:r>
            <w:t>3.3 Trazabilidad: OfferSource</w:t>
          </w:r>
          <w:r>
            <w:tab/>
          </w:r>
          <w:r>
            <w:t>7</w:t>
          </w:r>
        </w:p>
        <w:p>
          <w:pPr>
            <w:pStyle w:val="9"/>
            <w:tabs>
              <w:tab w:val="right" w:leader="dot" w:pos="9026"/>
            </w:tabs>
          </w:pPr>
          <w:r>
            <w:t>4. Sistema de Scoring y Ranking</w:t>
          </w:r>
          <w:r>
            <w:tab/>
          </w:r>
          <w:r>
            <w:t>8</w:t>
          </w:r>
        </w:p>
        <w:p>
          <w:pPr>
            <w:pStyle w:val="11"/>
            <w:ind w:left="360"/>
            <w:tabs>
              <w:tab w:val="right" w:leader="dot" w:pos="9026"/>
            </w:tabs>
          </w:pPr>
          <w:r>
            <w:t>4.1 Filosofía del Scoring</w:t>
          </w:r>
          <w:r>
            <w:tab/>
          </w:r>
          <w:r>
            <w:t>8</w:t>
          </w:r>
        </w:p>
        <w:p>
          <w:pPr>
            <w:pStyle w:val="11"/>
            <w:ind w:left="360"/>
            <w:tabs>
              <w:tab w:val="right" w:leader="dot" w:pos="9026"/>
            </w:tabs>
          </w:pPr>
          <w:r>
            <w:t>4.2 Factores de Puntuación</w:t>
          </w:r>
          <w:r>
            <w:tab/>
          </w:r>
          <w:r>
            <w:t>8</w:t>
          </w:r>
        </w:p>
        <w:p>
          <w:pPr>
            <w:pStyle w:val="11"/>
            <w:ind w:left="360"/>
            <w:tabs>
              <w:tab w:val="right" w:leader="dot" w:pos="9026"/>
            </w:tabs>
          </w:pPr>
          <w:r>
            <w:t>4.3 Algoritmos de Puntuación por Factor</w:t>
          </w:r>
          <w:r>
            <w:tab/>
          </w:r>
          <w:r>
            <w:t>9</w:t>
          </w:r>
        </w:p>
        <w:p>
          <w:pPr>
            <w:pStyle w:val="11"/>
            <w:ind w:left="360"/>
            <w:tabs>
              <w:tab w:val="right" w:leader="dot" w:pos="9026"/>
            </w:tabs>
          </w:pPr>
          <w:r>
            <w:t>4.4 Ajuste de Pesos por Perfil</w:t>
          </w:r>
          <w:r>
            <w:tab/>
          </w:r>
          <w:r>
            <w:t>10</w:t>
          </w:r>
        </w:p>
        <w:p>
          <w:pPr>
            <w:pStyle w:val="9"/>
            <w:tabs>
              <w:tab w:val="right" w:leader="dot" w:pos="9026"/>
            </w:tabs>
          </w:pPr>
          <w:r>
            <w:t>5. Motor de Cálculo Financiero</w:t>
          </w:r>
          <w:r>
            <w:tab/>
          </w:r>
          <w:r>
            <w:t>11</w:t>
          </w:r>
        </w:p>
        <w:p>
          <w:pPr>
            <w:pStyle w:val="9"/>
            <w:tabs>
              <w:tab w:val="right" w:leader="dot" w:pos="9026"/>
            </w:tabs>
          </w:pPr>
          <w:r>
            <w:t>6. Sistema de Validación y Reglas de Negocio</w:t>
          </w:r>
          <w:r>
            <w:tab/>
          </w:r>
          <w:r>
            <w:t>12</w:t>
          </w:r>
        </w:p>
        <w:p>
          <w:pPr>
            <w:pStyle w:val="9"/>
            <w:tabs>
              <w:tab w:val="right" w:leader="dot" w:pos="9026"/>
            </w:tabs>
          </w:pPr>
          <w:r>
            <w:t>7. Conclusiones y Consideraciones de Implementación</w:t>
          </w:r>
          <w:r>
            <w:tab/>
          </w:r>
          <w:r>
            <w:t>13</w:t>
          </w:r>
        </w:p>
        <w:p>
          <w:r>
            <w:fldChar w:fldCharType="end"/>
          </w:r>
        </w:p>
      </w:sdtContent>
    </w:sdt>
    <w:p>
      <w:pPr>
        <w:jc w:val="center"/>
      </w:pPr>
      <w:r>
        <w:rPr>
          <w:color w:val="999999"/>
          <w:sz w:val="18"/>
          <w:szCs w:val="18"/>
        </w:rPr>
        <w:t xml:space="preserve">Nota: Este índice se genera mediante códigos de campo. Para actualizar los números de página, haga clic derecho sobre el índice y seleccione "Actualizar campo".</w:t>
      </w:r>
    </w:p>
    <w:p>
      <w:r>
        <w:br w:type="page"/>
      </w:r>
    </w:p>
    <w:p>
      <w:pPr>
        <w:pStyle w:val="Heading1"/>
      </w:pPr>
      <w:r>
        <w:t xml:space="preserve">1. Introducción y Principios de Diseño</w:t>
      </w:r>
    </w:p>
    <w:p>
      <w:pPr>
        <w:spacing w:after="200"/>
      </w:pPr>
      <w:r>
        <w:rPr>
          <w:rFonts w:ascii="Times New Roman" w:cs="Times New Roman" w:eastAsia="Times New Roman" w:hAnsi="Times New Roman"/>
          <w:color w:val="1E293B"/>
          <w:sz w:val="24"/>
          <w:szCs w:val="24"/>
        </w:rPr>
        <w:t xml:space="preserve">Este documento define el modelo de datos completo y el sistema de scoring para el comparador hipotecario profesional. El diseño sigue principios fundamentales que garantizan la calidad, trazabilidad y mantenibilidad del sistema. En primer lugar, cada entidad debe tener una responsabilidad única y bien definida, evitando la duplicación de información. En segundo lugar, todos los campos que representan datos externos deben incluir metadatos de trazabilidad: fecha de obtención, fuente original y nivel de confianza. En tercer lugar, el modelo debe ser extensible para incorporar nuevas entidades bancarias, productos hipotecarios y criterios de evaluación sin alterar la estructura existente.</w:t>
      </w:r>
    </w:p>
    <w:p>
      <w:pPr>
        <w:spacing w:after="200"/>
      </w:pPr>
      <w:r>
        <w:rPr>
          <w:rFonts w:ascii="Times New Roman" w:cs="Times New Roman" w:eastAsia="Times New Roman" w:hAnsi="Times New Roman"/>
          <w:color w:val="1E293B"/>
          <w:sz w:val="24"/>
          <w:szCs w:val="24"/>
        </w:rPr>
        <w:t xml:space="preserve">El modelo se estructura en cuatro dominios principales que reflejan las diferentes fases del proceso de comparación hipotecaria. El dominio de Perfil de Usuario captura la información del solicitante y sus preferencias. El dominio de Ofertas gestiona los productos hipotecarios disponibles y sus condiciones. El dominio de Cálculo implementa la lógica financiera y simulaciones. Finalmente, el dominio de Resultados almacena las comparaciones y recomendaciones generadas por el sistema.</w:t>
      </w:r>
    </w:p>
    <w:p>
      <w:pPr>
        <w:pStyle w:val="Heading1"/>
      </w:pPr>
      <w:r>
        <w:t xml:space="preserve">2. Dominio de Perfil de Usuario</w:t>
      </w:r>
    </w:p>
    <w:p>
      <w:pPr>
        <w:pStyle w:val="Heading2"/>
      </w:pPr>
      <w:r>
        <w:t xml:space="preserve">2.1 Entidad Principal: UserScenario</w:t>
      </w:r>
    </w:p>
    <w:p>
      <w:pPr>
        <w:spacing w:after="200"/>
      </w:pPr>
      <w:r>
        <w:rPr>
          <w:rFonts w:ascii="Times New Roman" w:cs="Times New Roman" w:eastAsia="Times New Roman" w:hAnsi="Times New Roman"/>
          <w:color w:val="1E293B"/>
          <w:sz w:val="24"/>
          <w:szCs w:val="24"/>
        </w:rPr>
        <w:t xml:space="preserve">UserScenario representa el caso de uso completo del usuario: quién es, qué busca financiar, y qué preferencias tiene. Esta entidad actúa como aggregate root del dominio de usuario, agrupando todas las entidades relacionadas. El escenario de usuario es inmutable una vez creado; las modificaciones generan una nueva versión con timestamp de actualización. Esto permite mantener un historial de cambios y facilita auditorías.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1800"/>
        <w:gridCol w:w="5060"/>
      </w:tblGrid>
      <w:tr>
        <w:trPr>
          <w:tblHeader/>
        </w:trPr>
        <w:tc>
          <w:tcPr>
            <w:tcBorders>
              <w:top w:val="single" w:color="64748B" w:sz="12"/>
              <w:left w:val="none"/>
              <w:bottom w:val="single" w:color="64748B" w:sz="12"/>
              <w:right w:val="none"/>
            </w:tcBorders>
            <w:shd w:fill="E2E8F0" w:val="clear"/>
            <w:vAlign w:val="center"/>
          </w:tcPr>
          <w:p>
            <w:pPr>
              <w:jc w:val="center"/>
            </w:pPr>
            <w:r>
              <w:rPr>
                <w:b/>
                <w:bCs/>
                <w:sz w:val="22"/>
                <w:szCs w:val="22"/>
              </w:rPr>
              <w:t xml:space="preserve">Campo</w:t>
            </w:r>
          </w:p>
        </w:tc>
        <w:tc>
          <w:tcPr>
            <w:tcBorders>
              <w:top w:val="single" w:color="64748B" w:sz="12"/>
              <w:left w:val="none"/>
              <w:bottom w:val="single" w:color="64748B" w:sz="12"/>
              <w:right w:val="none"/>
            </w:tcBorders>
            <w:shd w:fill="E2E8F0" w:val="clear"/>
            <w:vAlign w:val="center"/>
          </w:tcPr>
          <w:p>
            <w:pPr>
              <w:jc w:val="center"/>
            </w:pPr>
            <w:r>
              <w:rPr>
                <w:b/>
                <w:bCs/>
                <w:sz w:val="22"/>
                <w:szCs w:val="22"/>
              </w:rPr>
              <w:t xml:space="preserve">Tipo</w:t>
            </w:r>
          </w:p>
        </w:tc>
        <w:tc>
          <w:tcPr>
            <w:tcBorders>
              <w:top w:val="single" w:color="64748B" w:sz="12"/>
              <w:left w:val="none"/>
              <w:bottom w:val="single" w:color="64748B" w:sz="12"/>
              <w:right w:val="none"/>
            </w:tcBorders>
            <w:shd w:fill="E2E8F0" w:val="clear"/>
            <w:vAlign w:val="center"/>
          </w:tcPr>
          <w:p>
            <w:pPr>
              <w:jc w:val="center"/>
            </w:pPr>
            <w:r>
              <w:rPr>
                <w:b/>
                <w:bCs/>
                <w:sz w:val="22"/>
                <w:szCs w:val="22"/>
              </w:rPr>
              <w:t xml:space="preserve">Descripción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id</w:t>
            </w:r>
          </w:p>
        </w:tc>
        <w:tc>
          <w:tcPr>
            <w:tcBorders>
              <w:top w:val="single" w:color="64748B" w:sz="12"/>
              <w:left w:val="none"/>
              <w:bottom w:val="single" w:color="64748B" w:sz="12"/>
              <w:right w:val="none"/>
            </w:tcBorders>
          </w:tcPr>
          <w:p>
            <w:r>
              <w:rPr>
                <w:sz w:val="20"/>
                <w:szCs w:val="20"/>
              </w:rPr>
              <w:t xml:space="preserve">string (UUID)</w:t>
            </w:r>
          </w:p>
        </w:tc>
        <w:tc>
          <w:tcPr>
            <w:tcBorders>
              <w:top w:val="single" w:color="64748B" w:sz="12"/>
              <w:left w:val="none"/>
              <w:bottom w:val="single" w:color="64748B" w:sz="12"/>
              <w:right w:val="none"/>
            </w:tcBorders>
          </w:tcPr>
          <w:p>
            <w:r>
              <w:rPr>
                <w:sz w:val="20"/>
                <w:szCs w:val="20"/>
              </w:rPr>
              <w:t xml:space="preserve">Identificador único del escenario</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operationType</w:t>
            </w:r>
          </w:p>
        </w:tc>
        <w:tc>
          <w:tcPr>
            <w:tcBorders>
              <w:top w:val="single" w:color="64748B" w:sz="12"/>
              <w:left w:val="none"/>
              <w:bottom w:val="single" w:color="64748B" w:sz="12"/>
              <w:right w:val="none"/>
            </w:tcBorders>
          </w:tcPr>
          <w:p>
            <w:r>
              <w:rPr>
                <w:sz w:val="20"/>
                <w:szCs w:val="20"/>
              </w:rPr>
              <w:t xml:space="preserve">enum</w:t>
            </w:r>
          </w:p>
        </w:tc>
        <w:tc>
          <w:tcPr>
            <w:tcBorders>
              <w:top w:val="single" w:color="64748B" w:sz="12"/>
              <w:left w:val="none"/>
              <w:bottom w:val="single" w:color="64748B" w:sz="12"/>
              <w:right w:val="none"/>
            </w:tcBorders>
          </w:tcPr>
          <w:p>
            <w:r>
              <w:rPr>
                <w:sz w:val="20"/>
                <w:szCs w:val="20"/>
              </w:rPr>
              <w:t xml:space="preserve">COMPRA_HABITUAL, SEGUNDA_RESIDENCIA, INVERSION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propertyType</w:t>
            </w:r>
          </w:p>
        </w:tc>
        <w:tc>
          <w:tcPr>
            <w:tcBorders>
              <w:top w:val="single" w:color="64748B" w:sz="12"/>
              <w:left w:val="none"/>
              <w:bottom w:val="single" w:color="64748B" w:sz="12"/>
              <w:right w:val="none"/>
            </w:tcBorders>
          </w:tcPr>
          <w:p>
            <w:r>
              <w:rPr>
                <w:sz w:val="20"/>
                <w:szCs w:val="20"/>
              </w:rPr>
              <w:t xml:space="preserve">enum</w:t>
            </w:r>
          </w:p>
        </w:tc>
        <w:tc>
          <w:tcPr>
            <w:tcBorders>
              <w:top w:val="single" w:color="64748B" w:sz="12"/>
              <w:left w:val="none"/>
              <w:bottom w:val="single" w:color="64748B" w:sz="12"/>
              <w:right w:val="none"/>
            </w:tcBorders>
          </w:tcPr>
          <w:p>
            <w:r>
              <w:rPr>
                <w:sz w:val="20"/>
                <w:szCs w:val="20"/>
              </w:rPr>
              <w:t xml:space="preserve">NUEVA, USADA</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province</w:t>
            </w:r>
          </w:p>
        </w:tc>
        <w:tc>
          <w:tcPr>
            <w:tcBorders>
              <w:top w:val="single" w:color="64748B" w:sz="12"/>
              <w:left w:val="none"/>
              <w:bottom w:val="single" w:color="64748B" w:sz="12"/>
              <w:right w:val="none"/>
            </w:tcBorders>
          </w:tcPr>
          <w:p>
            <w:r>
              <w:rPr>
                <w:sz w:val="20"/>
                <w:szCs w:val="20"/>
              </w:rPr>
              <w:t xml:space="preserve">string</w:t>
            </w:r>
          </w:p>
        </w:tc>
        <w:tc>
          <w:tcPr>
            <w:tcBorders>
              <w:top w:val="single" w:color="64748B" w:sz="12"/>
              <w:left w:val="none"/>
              <w:bottom w:val="single" w:color="64748B" w:sz="12"/>
              <w:right w:val="none"/>
            </w:tcBorders>
          </w:tcPr>
          <w:p>
            <w:r>
              <w:rPr>
                <w:sz w:val="20"/>
                <w:szCs w:val="20"/>
              </w:rPr>
              <w:t xml:space="preserve">Provincia donde se ubica el inmueble</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propertyPrice</w:t>
            </w:r>
          </w:p>
        </w:tc>
        <w:tc>
          <w:tcPr>
            <w:tcBorders>
              <w:top w:val="single" w:color="64748B" w:sz="12"/>
              <w:left w:val="none"/>
              <w:bottom w:val="single" w:color="64748B" w:sz="12"/>
              <w:right w:val="none"/>
            </w:tcBorders>
          </w:tcPr>
          <w:p>
            <w:r>
              <w:rPr>
                <w:sz w:val="20"/>
                <w:szCs w:val="20"/>
              </w:rPr>
              <w:t xml:space="preserve">number</w:t>
            </w:r>
          </w:p>
        </w:tc>
        <w:tc>
          <w:tcPr>
            <w:tcBorders>
              <w:top w:val="single" w:color="64748B" w:sz="12"/>
              <w:left w:val="none"/>
              <w:bottom w:val="single" w:color="64748B" w:sz="12"/>
              <w:right w:val="none"/>
            </w:tcBorders>
          </w:tcPr>
          <w:p>
            <w:r>
              <w:rPr>
                <w:sz w:val="20"/>
                <w:szCs w:val="20"/>
              </w:rPr>
              <w:t xml:space="preserve">Precio de compraventa en euros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loanAmount</w:t>
            </w:r>
          </w:p>
        </w:tc>
        <w:tc>
          <w:tcPr>
            <w:tcBorders>
              <w:top w:val="single" w:color="64748B" w:sz="12"/>
              <w:left w:val="none"/>
              <w:bottom w:val="single" w:color="64748B" w:sz="12"/>
              <w:right w:val="none"/>
            </w:tcBorders>
          </w:tcPr>
          <w:p>
            <w:r>
              <w:rPr>
                <w:sz w:val="20"/>
                <w:szCs w:val="20"/>
              </w:rPr>
              <w:t xml:space="preserve">number</w:t>
            </w:r>
          </w:p>
        </w:tc>
        <w:tc>
          <w:tcPr>
            <w:tcBorders>
              <w:top w:val="single" w:color="64748B" w:sz="12"/>
              <w:left w:val="none"/>
              <w:bottom w:val="single" w:color="64748B" w:sz="12"/>
              <w:right w:val="none"/>
            </w:tcBorders>
          </w:tcPr>
          <w:p>
            <w:r>
              <w:rPr>
                <w:sz w:val="20"/>
                <w:szCs w:val="20"/>
              </w:rPr>
              <w:t xml:space="preserve">Importe a financiar solicitado</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termYears</w:t>
            </w:r>
          </w:p>
        </w:tc>
        <w:tc>
          <w:tcPr>
            <w:tcBorders>
              <w:top w:val="single" w:color="64748B" w:sz="12"/>
              <w:left w:val="none"/>
              <w:bottom w:val="single" w:color="64748B" w:sz="12"/>
              <w:right w:val="none"/>
            </w:tcBorders>
          </w:tcPr>
          <w:p>
            <w:r>
              <w:rPr>
                <w:sz w:val="20"/>
                <w:szCs w:val="20"/>
              </w:rPr>
              <w:t xml:space="preserve">number</w:t>
            </w:r>
          </w:p>
        </w:tc>
        <w:tc>
          <w:tcPr>
            <w:tcBorders>
              <w:top w:val="single" w:color="64748B" w:sz="12"/>
              <w:left w:val="none"/>
              <w:bottom w:val="single" w:color="64748B" w:sz="12"/>
              <w:right w:val="none"/>
            </w:tcBorders>
          </w:tcPr>
          <w:p>
            <w:r>
              <w:rPr>
                <w:sz w:val="20"/>
                <w:szCs w:val="20"/>
              </w:rPr>
              <w:t xml:space="preserve">Plazo de amortización en años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borrowerProfile</w:t>
            </w:r>
          </w:p>
        </w:tc>
        <w:tc>
          <w:tcPr>
            <w:tcBorders>
              <w:top w:val="single" w:color="64748B" w:sz="12"/>
              <w:left w:val="none"/>
              <w:bottom w:val="single" w:color="64748B" w:sz="12"/>
              <w:right w:val="none"/>
            </w:tcBorders>
          </w:tcPr>
          <w:p>
            <w:r>
              <w:rPr>
                <w:sz w:val="20"/>
                <w:szCs w:val="20"/>
              </w:rPr>
              <w:t xml:space="preserve">BorrowerProfile</w:t>
            </w:r>
          </w:p>
        </w:tc>
        <w:tc>
          <w:tcPr>
            <w:tcBorders>
              <w:top w:val="single" w:color="64748B" w:sz="12"/>
              <w:left w:val="none"/>
              <w:bottom w:val="single" w:color="64748B" w:sz="12"/>
              <w:right w:val="none"/>
            </w:tcBorders>
          </w:tcPr>
          <w:p>
            <w:r>
              <w:rPr>
                <w:sz w:val="20"/>
                <w:szCs w:val="20"/>
              </w:rPr>
              <w:t xml:space="preserve">Perfil económico del solicitante</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preferences</w:t>
            </w:r>
          </w:p>
        </w:tc>
        <w:tc>
          <w:tcPr>
            <w:tcBorders>
              <w:top w:val="single" w:color="64748B" w:sz="12"/>
              <w:left w:val="none"/>
              <w:bottom w:val="single" w:color="64748B" w:sz="12"/>
              <w:right w:val="none"/>
            </w:tcBorders>
          </w:tcPr>
          <w:p>
            <w:r>
              <w:rPr>
                <w:sz w:val="20"/>
                <w:szCs w:val="20"/>
              </w:rPr>
              <w:t xml:space="preserve">MortgagePreferences</w:t>
            </w:r>
          </w:p>
        </w:tc>
        <w:tc>
          <w:tcPr>
            <w:tcBorders>
              <w:top w:val="single" w:color="64748B" w:sz="12"/>
              <w:left w:val="none"/>
              <w:bottom w:val="single" w:color="64748B" w:sz="12"/>
              <w:right w:val="none"/>
            </w:tcBorders>
          </w:tcPr>
          <w:p>
            <w:r>
              <w:rPr>
                <w:sz w:val="20"/>
                <w:szCs w:val="20"/>
              </w:rPr>
              <w:t xml:space="preserve">Preferencias de tipo de hipoteca</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existingMortgage</w:t>
            </w:r>
          </w:p>
        </w:tc>
        <w:tc>
          <w:tcPr>
            <w:tcBorders>
              <w:top w:val="single" w:color="64748B" w:sz="12"/>
              <w:left w:val="none"/>
              <w:bottom w:val="single" w:color="64748B" w:sz="12"/>
              <w:right w:val="none"/>
            </w:tcBorders>
          </w:tcPr>
          <w:p>
            <w:r>
              <w:rPr>
                <w:sz w:val="20"/>
                <w:szCs w:val="20"/>
              </w:rPr>
              <w:t xml:space="preserve">ExistingMortgage?</w:t>
            </w:r>
          </w:p>
        </w:tc>
        <w:tc>
          <w:tcPr>
            <w:tcBorders>
              <w:top w:val="single" w:color="64748B" w:sz="12"/>
              <w:left w:val="none"/>
              <w:bottom w:val="single" w:color="64748B" w:sz="12"/>
              <w:right w:val="none"/>
            </w:tcBorders>
          </w:tcPr>
          <w:p>
            <w:r>
              <w:rPr>
                <w:sz w:val="20"/>
                <w:szCs w:val="20"/>
              </w:rPr>
              <w:t xml:space="preserve">Hipoteca existente (si aplica)</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createdAt</w:t>
            </w:r>
          </w:p>
        </w:tc>
        <w:tc>
          <w:tcPr>
            <w:tcBorders>
              <w:top w:val="single" w:color="64748B" w:sz="12"/>
              <w:left w:val="none"/>
              <w:bottom w:val="single" w:color="64748B" w:sz="12"/>
              <w:right w:val="none"/>
            </w:tcBorders>
          </w:tcPr>
          <w:p>
            <w:r>
              <w:rPr>
                <w:sz w:val="20"/>
                <w:szCs w:val="20"/>
              </w:rPr>
              <w:t xml:space="preserve">Date</w:t>
            </w:r>
          </w:p>
        </w:tc>
        <w:tc>
          <w:tcPr>
            <w:tcBorders>
              <w:top w:val="single" w:color="64748B" w:sz="12"/>
              <w:left w:val="none"/>
              <w:bottom w:val="single" w:color="64748B" w:sz="12"/>
              <w:right w:val="none"/>
            </w:tcBorders>
          </w:tcPr>
          <w:p>
            <w:r>
              <w:rPr>
                <w:sz w:val="20"/>
                <w:szCs w:val="20"/>
              </w:rPr>
              <w:t xml:space="preserve">Fecha de creación del escenario</w:t>
            </w:r>
          </w:p>
        </w:tc>
      </w:tr>
    </w:tbl>
    <w:p>
      <w:pPr>
        <w:spacing w:after="300" w:before="100"/>
        <w:jc w:val="center"/>
      </w:pPr>
      <w:r>
        <w:rPr>
          <w:i/>
          <w:iCs/>
          <w:color w:val="64748B"/>
          <w:sz w:val="18"/>
          <w:szCs w:val="18"/>
        </w:rPr>
        <w:t xml:space="preserve">Tabla 1: Campos de la entidad UserScenario</w:t>
      </w:r>
    </w:p>
    <w:p>
      <w:pPr>
        <w:pStyle w:val="Heading2"/>
      </w:pPr>
      <w:r>
        <w:t xml:space="preserve">2.2 Perfil Económico: BorrowerProfile</w:t>
      </w:r>
    </w:p>
    <w:p>
      <w:pPr>
        <w:spacing w:after="200"/>
      </w:pPr>
      <w:r>
        <w:rPr>
          <w:rFonts w:ascii="Times New Roman" w:cs="Times New Roman" w:eastAsia="Times New Roman" w:hAnsi="Times New Roman"/>
          <w:color w:val="1E293B"/>
          <w:sz w:val="24"/>
          <w:szCs w:val="24"/>
        </w:rPr>
        <w:t xml:space="preserve">BorrowerProfile captura toda la información económica y personal del solicitante que influye en su elegibilidad y las condiciones que puede obtener. Esta entidad soporta tanto solicitantes individuales como múltiples cotitulares, siendo crucial para calcular el ratio de endeudamiento y la capacidad de pago. La entidad incluye validaciones que garantizan la coherencia de los datos: por ejemplo, la suma de ingresos de todos los titulares debe ser positiva, y las deudas existentes no pueden superar el 100% de los ingresos disponibles.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1800"/>
        <w:gridCol w:w="5060"/>
      </w:tblGrid>
      <w:tr>
        <w:trPr>
          <w:tblHeader/>
        </w:trPr>
        <w:tc>
          <w:tcPr>
            <w:tcBorders>
              <w:top w:val="single" w:color="64748B" w:sz="12"/>
              <w:left w:val="none"/>
              <w:bottom w:val="single" w:color="64748B" w:sz="12"/>
              <w:right w:val="none"/>
            </w:tcBorders>
            <w:shd w:fill="E2E8F0" w:val="clear"/>
          </w:tcPr>
          <w:p>
            <w:pPr>
              <w:jc w:val="center"/>
            </w:pPr>
            <w:r>
              <w:rPr>
                <w:b/>
                <w:bCs/>
                <w:sz w:val="22"/>
                <w:szCs w:val="22"/>
              </w:rPr>
              <w:t xml:space="preserve">Campo</w:t>
            </w:r>
          </w:p>
        </w:tc>
        <w:tc>
          <w:tcPr>
            <w:tcBorders>
              <w:top w:val="single" w:color="64748B" w:sz="12"/>
              <w:left w:val="none"/>
              <w:bottom w:val="single" w:color="64748B" w:sz="12"/>
              <w:right w:val="none"/>
            </w:tcBorders>
            <w:shd w:fill="E2E8F0" w:val="clear"/>
          </w:tcPr>
          <w:p>
            <w:pPr>
              <w:jc w:val="center"/>
            </w:pPr>
            <w:r>
              <w:rPr>
                <w:b/>
                <w:bCs/>
                <w:sz w:val="22"/>
                <w:szCs w:val="22"/>
              </w:rPr>
              <w:t xml:space="preserve">Tipo</w:t>
            </w:r>
          </w:p>
        </w:tc>
        <w:tc>
          <w:tcPr>
            <w:tcBorders>
              <w:top w:val="single" w:color="64748B" w:sz="12"/>
              <w:left w:val="none"/>
              <w:bottom w:val="single" w:color="64748B" w:sz="12"/>
              <w:right w:val="none"/>
            </w:tcBorders>
            <w:shd w:fill="E2E8F0" w:val="clear"/>
          </w:tcPr>
          <w:p>
            <w:pPr>
              <w:jc w:val="center"/>
            </w:pPr>
            <w:r>
              <w:rPr>
                <w:b/>
                <w:bCs/>
                <w:sz w:val="22"/>
                <w:szCs w:val="22"/>
              </w:rPr>
              <w:t xml:space="preserve">Descripción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numberOfBorrowers</w:t>
            </w:r>
          </w:p>
        </w:tc>
        <w:tc>
          <w:tcPr>
            <w:tcBorders>
              <w:top w:val="single" w:color="64748B" w:sz="12"/>
              <w:left w:val="none"/>
              <w:bottom w:val="single" w:color="64748B" w:sz="12"/>
              <w:right w:val="none"/>
            </w:tcBorders>
          </w:tcPr>
          <w:p>
            <w:r>
              <w:rPr>
                <w:sz w:val="20"/>
                <w:szCs w:val="20"/>
              </w:rPr>
              <w:t xml:space="preserve">number (1-2)</w:t>
            </w:r>
          </w:p>
        </w:tc>
        <w:tc>
          <w:tcPr>
            <w:tcBorders>
              <w:top w:val="single" w:color="64748B" w:sz="12"/>
              <w:left w:val="none"/>
              <w:bottom w:val="single" w:color="64748B" w:sz="12"/>
              <w:right w:val="none"/>
            </w:tcBorders>
          </w:tcPr>
          <w:p>
            <w:r>
              <w:rPr>
                <w:sz w:val="20"/>
                <w:szCs w:val="20"/>
              </w:rPr>
              <w:t xml:space="preserve">Número de titulares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employmentType</w:t>
            </w:r>
          </w:p>
        </w:tc>
        <w:tc>
          <w:tcPr>
            <w:tcBorders>
              <w:top w:val="single" w:color="64748B" w:sz="12"/>
              <w:left w:val="none"/>
              <w:bottom w:val="single" w:color="64748B" w:sz="12"/>
              <w:right w:val="none"/>
            </w:tcBorders>
          </w:tcPr>
          <w:p>
            <w:r>
              <w:rPr>
                <w:sz w:val="20"/>
                <w:szCs w:val="20"/>
              </w:rPr>
              <w:t xml:space="preserve">enum</w:t>
            </w:r>
          </w:p>
        </w:tc>
        <w:tc>
          <w:tcPr>
            <w:tcBorders>
              <w:top w:val="single" w:color="64748B" w:sz="12"/>
              <w:left w:val="none"/>
              <w:bottom w:val="single" w:color="64748B" w:sz="12"/>
              <w:right w:val="none"/>
            </w:tcBorders>
          </w:tcPr>
          <w:p>
            <w:r>
              <w:rPr>
                <w:sz w:val="20"/>
                <w:szCs w:val="20"/>
              </w:rPr>
              <w:t xml:space="preserve">ASALARIADO_FIJO, ASALARIADO_TEMPORAL, AUTONOMO, FUNCIONARIO</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monthlyIncome</w:t>
            </w:r>
          </w:p>
        </w:tc>
        <w:tc>
          <w:tcPr>
            <w:tcBorders>
              <w:top w:val="single" w:color="64748B" w:sz="12"/>
              <w:left w:val="none"/>
              <w:bottom w:val="single" w:color="64748B" w:sz="12"/>
              <w:right w:val="none"/>
            </w:tcBorders>
          </w:tcPr>
          <w:p>
            <w:r>
              <w:rPr>
                <w:sz w:val="20"/>
                <w:szCs w:val="20"/>
              </w:rPr>
              <w:t xml:space="preserve">number</w:t>
            </w:r>
          </w:p>
        </w:tc>
        <w:tc>
          <w:tcPr>
            <w:tcBorders>
              <w:top w:val="single" w:color="64748B" w:sz="12"/>
              <w:left w:val="none"/>
              <w:bottom w:val="single" w:color="64748B" w:sz="12"/>
              <w:right w:val="none"/>
            </w:tcBorders>
          </w:tcPr>
          <w:p>
            <w:r>
              <w:rPr>
                <w:sz w:val="20"/>
                <w:szCs w:val="20"/>
              </w:rPr>
              <w:t xml:space="preserve">Ingresos netos mensuales totales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variableIncome</w:t>
            </w:r>
          </w:p>
        </w:tc>
        <w:tc>
          <w:tcPr>
            <w:tcBorders>
              <w:top w:val="single" w:color="64748B" w:sz="12"/>
              <w:left w:val="none"/>
              <w:bottom w:val="single" w:color="64748B" w:sz="12"/>
              <w:right w:val="none"/>
            </w:tcBorders>
          </w:tcPr>
          <w:p>
            <w:r>
              <w:rPr>
                <w:sz w:val="20"/>
                <w:szCs w:val="20"/>
              </w:rPr>
              <w:t xml:space="preserve">number</w:t>
            </w:r>
          </w:p>
        </w:tc>
        <w:tc>
          <w:tcPr>
            <w:tcBorders>
              <w:top w:val="single" w:color="64748B" w:sz="12"/>
              <w:left w:val="none"/>
              <w:bottom w:val="single" w:color="64748B" w:sz="12"/>
              <w:right w:val="none"/>
            </w:tcBorders>
          </w:tcPr>
          <w:p>
            <w:r>
              <w:rPr>
                <w:sz w:val="20"/>
                <w:szCs w:val="20"/>
              </w:rPr>
              <w:t xml:space="preserve">Ingresos variables anuales (pagas, bonus)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seniorityYears</w:t>
            </w:r>
          </w:p>
        </w:tc>
        <w:tc>
          <w:tcPr>
            <w:tcBorders>
              <w:top w:val="single" w:color="64748B" w:sz="12"/>
              <w:left w:val="none"/>
              <w:bottom w:val="single" w:color="64748B" w:sz="12"/>
              <w:right w:val="none"/>
            </w:tcBorders>
          </w:tcPr>
          <w:p>
            <w:r>
              <w:rPr>
                <w:sz w:val="20"/>
                <w:szCs w:val="20"/>
              </w:rPr>
              <w:t xml:space="preserve">number</w:t>
            </w:r>
          </w:p>
        </w:tc>
        <w:tc>
          <w:tcPr>
            <w:tcBorders>
              <w:top w:val="single" w:color="64748B" w:sz="12"/>
              <w:left w:val="none"/>
              <w:bottom w:val="single" w:color="64748B" w:sz="12"/>
              <w:right w:val="none"/>
            </w:tcBorders>
          </w:tcPr>
          <w:p>
            <w:r>
              <w:rPr>
                <w:sz w:val="20"/>
                <w:szCs w:val="20"/>
              </w:rPr>
              <w:t xml:space="preserve">Años de antigüedad laboral</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monthlyDebts</w:t>
            </w:r>
          </w:p>
        </w:tc>
        <w:tc>
          <w:tcPr>
            <w:tcBorders>
              <w:top w:val="single" w:color="64748B" w:sz="12"/>
              <w:left w:val="none"/>
              <w:bottom w:val="single" w:color="64748B" w:sz="12"/>
              <w:right w:val="none"/>
            </w:tcBorders>
          </w:tcPr>
          <w:p>
            <w:r>
              <w:rPr>
                <w:sz w:val="20"/>
                <w:szCs w:val="20"/>
              </w:rPr>
              <w:t xml:space="preserve">number</w:t>
            </w:r>
          </w:p>
        </w:tc>
        <w:tc>
          <w:tcPr>
            <w:tcBorders>
              <w:top w:val="single" w:color="64748B" w:sz="12"/>
              <w:left w:val="none"/>
              <w:bottom w:val="single" w:color="64748B" w:sz="12"/>
              <w:right w:val="none"/>
            </w:tcBorders>
          </w:tcPr>
          <w:p>
            <w:r>
              <w:rPr>
                <w:sz w:val="20"/>
                <w:szCs w:val="20"/>
              </w:rPr>
              <w:t xml:space="preserve">Deudas mensuales existentes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availableSavings</w:t>
            </w:r>
          </w:p>
        </w:tc>
        <w:tc>
          <w:tcPr>
            <w:tcBorders>
              <w:top w:val="single" w:color="64748B" w:sz="12"/>
              <w:left w:val="none"/>
              <w:bottom w:val="single" w:color="64748B" w:sz="12"/>
              <w:right w:val="none"/>
            </w:tcBorders>
          </w:tcPr>
          <w:p>
            <w:r>
              <w:rPr>
                <w:sz w:val="20"/>
                <w:szCs w:val="20"/>
              </w:rPr>
              <w:t xml:space="preserve">number</w:t>
            </w:r>
          </w:p>
        </w:tc>
        <w:tc>
          <w:tcPr>
            <w:tcBorders>
              <w:top w:val="single" w:color="64748B" w:sz="12"/>
              <w:left w:val="none"/>
              <w:bottom w:val="single" w:color="64748B" w:sz="12"/>
              <w:right w:val="none"/>
            </w:tcBorders>
          </w:tcPr>
          <w:p>
            <w:r>
              <w:rPr>
                <w:sz w:val="20"/>
                <w:szCs w:val="20"/>
              </w:rPr>
              <w:t xml:space="preserve">Ahorros disponibles tras la compra</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hasOtherDebts</w:t>
            </w:r>
          </w:p>
        </w:tc>
        <w:tc>
          <w:tcPr>
            <w:tcBorders>
              <w:top w:val="single" w:color="64748B" w:sz="12"/>
              <w:left w:val="none"/>
              <w:bottom w:val="single" w:color="64748B" w:sz="12"/>
              <w:right w:val="none"/>
            </w:tcBorders>
          </w:tcPr>
          <w:p>
            <w:r>
              <w:rPr>
                <w:sz w:val="20"/>
                <w:szCs w:val="20"/>
              </w:rPr>
              <w:t xml:space="preserve">boolean</w:t>
            </w:r>
          </w:p>
        </w:tc>
        <w:tc>
          <w:tcPr>
            <w:tcBorders>
              <w:top w:val="single" w:color="64748B" w:sz="12"/>
              <w:left w:val="none"/>
              <w:bottom w:val="single" w:color="64748B" w:sz="12"/>
              <w:right w:val="none"/>
            </w:tcBorders>
          </w:tcPr>
          <w:p>
            <w:r>
              <w:rPr>
                <w:sz w:val="20"/>
                <w:szCs w:val="20"/>
              </w:rPr>
              <w:t xml:space="preserve">Indica si tiene otras deudas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taxResidency</w:t>
            </w:r>
          </w:p>
        </w:tc>
        <w:tc>
          <w:tcPr>
            <w:tcBorders>
              <w:top w:val="single" w:color="64748B" w:sz="12"/>
              <w:left w:val="none"/>
              <w:bottom w:val="single" w:color="64748B" w:sz="12"/>
              <w:right w:val="none"/>
            </w:tcBorders>
          </w:tcPr>
          <w:p>
            <w:r>
              <w:rPr>
                <w:sz w:val="20"/>
                <w:szCs w:val="20"/>
              </w:rPr>
              <w:t xml:space="preserve">enum</w:t>
            </w:r>
          </w:p>
        </w:tc>
        <w:tc>
          <w:tcPr>
            <w:tcBorders>
              <w:top w:val="single" w:color="64748B" w:sz="12"/>
              <w:left w:val="none"/>
              <w:bottom w:val="single" w:color="64748B" w:sz="12"/>
              <w:right w:val="none"/>
            </w:tcBorders>
          </w:tcPr>
          <w:p>
            <w:r>
              <w:rPr>
                <w:sz w:val="20"/>
                <w:szCs w:val="20"/>
              </w:rPr>
              <w:t xml:space="preserve">RESIDENTE_ESPANA, NO_RESIDENTE</w:t>
            </w:r>
          </w:p>
        </w:tc>
      </w:tr>
    </w:tbl>
    <w:p>
      <w:pPr>
        <w:spacing w:after="300" w:before="100"/>
        <w:jc w:val="center"/>
      </w:pPr>
      <w:r>
        <w:rPr>
          <w:i/>
          <w:iCs/>
          <w:color w:val="64748B"/>
          <w:sz w:val="18"/>
          <w:szCs w:val="18"/>
        </w:rPr>
        <w:t xml:space="preserve">Tabla 2: Campos de la entidad BorrowerProfile</w:t>
      </w:r>
    </w:p>
    <w:p>
      <w:pPr>
        <w:pStyle w:val="Heading2"/>
      </w:pPr>
      <w:r>
        <w:t xml:space="preserve">2.3 Preferencias Hipotecarias: MortgagePreferences</w:t>
      </w:r>
    </w:p>
    <w:p>
      <w:pPr>
        <w:spacing w:after="200"/>
      </w:pPr>
      <w:r>
        <w:rPr>
          <w:rFonts w:ascii="Times New Roman" w:cs="Times New Roman" w:eastAsia="Times New Roman" w:hAnsi="Times New Roman"/>
          <w:color w:val="1E293B"/>
          <w:sz w:val="24"/>
          <w:szCs w:val="24"/>
        </w:rPr>
        <w:t xml:space="preserve">MortgagePreferences captura las preferencias del usuario respecto al tipo de hipoteca, su tolerancia al riesgo y su disposición a aceptar vinculaciones. Esta información es crucial para filtrar y ordenar las ofertas de manera relevante. Los campos de tolerancia al riesgo se utilizan para ponderar las hipotecas variables y mixtas en el scoring, mientras que las preferencias de vinculación permiten filtrar ofertas que requieren demasiados productos asociados.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1800"/>
        <w:gridCol w:w="4760"/>
      </w:tblGrid>
      <w:tr>
        <w:trPr>
          <w:tblHeader/>
        </w:trPr>
        <w:tc>
          <w:tcPr>
            <w:tcBorders>
              <w:top w:val="single" w:color="64748B" w:sz="12"/>
              <w:left w:val="none"/>
              <w:bottom w:val="single" w:color="64748B" w:sz="12"/>
              <w:right w:val="none"/>
            </w:tcBorders>
            <w:shd w:fill="E2E8F0" w:val="clear"/>
          </w:tcPr>
          <w:p>
            <w:pPr>
              <w:jc w:val="center"/>
            </w:pPr>
            <w:r>
              <w:rPr>
                <w:b/>
                <w:bCs/>
                <w:sz w:val="22"/>
                <w:szCs w:val="22"/>
              </w:rPr>
              <w:t xml:space="preserve">Campo</w:t>
            </w:r>
          </w:p>
        </w:tc>
        <w:tc>
          <w:tcPr>
            <w:tcBorders>
              <w:top w:val="single" w:color="64748B" w:sz="12"/>
              <w:left w:val="none"/>
              <w:bottom w:val="single" w:color="64748B" w:sz="12"/>
              <w:right w:val="none"/>
            </w:tcBorders>
            <w:shd w:fill="E2E8F0" w:val="clear"/>
          </w:tcPr>
          <w:p>
            <w:pPr>
              <w:jc w:val="center"/>
            </w:pPr>
            <w:r>
              <w:rPr>
                <w:b/>
                <w:bCs/>
                <w:sz w:val="22"/>
                <w:szCs w:val="22"/>
              </w:rPr>
              <w:t xml:space="preserve">Tipo</w:t>
            </w:r>
          </w:p>
        </w:tc>
        <w:tc>
          <w:tcPr>
            <w:tcBorders>
              <w:top w:val="single" w:color="64748B" w:sz="12"/>
              <w:left w:val="none"/>
              <w:bottom w:val="single" w:color="64748B" w:sz="12"/>
              <w:right w:val="none"/>
            </w:tcBorders>
            <w:shd w:fill="E2E8F0" w:val="clear"/>
          </w:tcPr>
          <w:p>
            <w:pPr>
              <w:jc w:val="center"/>
            </w:pPr>
            <w:r>
              <w:rPr>
                <w:b/>
                <w:bCs/>
                <w:sz w:val="22"/>
                <w:szCs w:val="22"/>
              </w:rPr>
              <w:t xml:space="preserve">Descripción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rateTypePreference</w:t>
            </w:r>
          </w:p>
        </w:tc>
        <w:tc>
          <w:tcPr>
            <w:tcBorders>
              <w:top w:val="single" w:color="64748B" w:sz="12"/>
              <w:left w:val="none"/>
              <w:bottom w:val="single" w:color="64748B" w:sz="12"/>
              <w:right w:val="none"/>
            </w:tcBorders>
          </w:tcPr>
          <w:p>
            <w:r>
              <w:rPr>
                <w:sz w:val="20"/>
                <w:szCs w:val="20"/>
              </w:rPr>
              <w:t xml:space="preserve">enum</w:t>
            </w:r>
          </w:p>
        </w:tc>
        <w:tc>
          <w:tcPr>
            <w:tcBorders>
              <w:top w:val="single" w:color="64748B" w:sz="12"/>
              <w:left w:val="none"/>
              <w:bottom w:val="single" w:color="64748B" w:sz="12"/>
              <w:right w:val="none"/>
            </w:tcBorders>
          </w:tcPr>
          <w:p>
            <w:r>
              <w:rPr>
                <w:sz w:val="20"/>
                <w:szCs w:val="20"/>
              </w:rPr>
              <w:t xml:space="preserve">FIJA, VARIABLE, MIXTA, INDIFERENTE</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maxMonthlyPayment</w:t>
            </w:r>
          </w:p>
        </w:tc>
        <w:tc>
          <w:tcPr>
            <w:tcBorders>
              <w:top w:val="single" w:color="64748B" w:sz="12"/>
              <w:left w:val="none"/>
              <w:bottom w:val="single" w:color="64748B" w:sz="12"/>
              <w:right w:val="none"/>
            </w:tcBorders>
          </w:tcPr>
          <w:p>
            <w:r>
              <w:rPr>
                <w:sz w:val="20"/>
                <w:szCs w:val="20"/>
              </w:rPr>
              <w:t xml:space="preserve">number?</w:t>
            </w:r>
          </w:p>
        </w:tc>
        <w:tc>
          <w:tcPr>
            <w:tcBorders>
              <w:top w:val="single" w:color="64748B" w:sz="12"/>
              <w:left w:val="none"/>
              <w:bottom w:val="single" w:color="64748B" w:sz="12"/>
              <w:right w:val="none"/>
            </w:tcBorders>
          </w:tcPr>
          <w:p>
            <w:r>
              <w:rPr>
                <w:sz w:val="20"/>
                <w:szCs w:val="20"/>
              </w:rPr>
              <w:t xml:space="preserve">Cuota máxima que se siente cómodo pagando</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riskTolerance</w:t>
            </w:r>
          </w:p>
        </w:tc>
        <w:tc>
          <w:tcPr>
            <w:tcBorders>
              <w:top w:val="single" w:color="64748B" w:sz="12"/>
              <w:left w:val="none"/>
              <w:bottom w:val="single" w:color="64748B" w:sz="12"/>
              <w:right w:val="none"/>
            </w:tcBorders>
          </w:tcPr>
          <w:p>
            <w:r>
              <w:rPr>
                <w:sz w:val="20"/>
                <w:szCs w:val="20"/>
              </w:rPr>
              <w:t xml:space="preserve">enum</w:t>
            </w:r>
          </w:p>
        </w:tc>
        <w:tc>
          <w:tcPr>
            <w:tcBorders>
              <w:top w:val="single" w:color="64748B" w:sz="12"/>
              <w:left w:val="none"/>
              <w:bottom w:val="single" w:color="64748B" w:sz="12"/>
              <w:right w:val="none"/>
            </w:tcBorders>
          </w:tcPr>
          <w:p>
            <w:r>
              <w:rPr>
                <w:sz w:val="20"/>
                <w:szCs w:val="20"/>
              </w:rPr>
              <w:t xml:space="preserve">BAJO, MEDIO, ALTO</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prefersLowerInitialPayment</w:t>
            </w:r>
          </w:p>
        </w:tc>
        <w:tc>
          <w:tcPr>
            <w:tcBorders>
              <w:top w:val="single" w:color="64748B" w:sz="12"/>
              <w:left w:val="none"/>
              <w:bottom w:val="single" w:color="64748B" w:sz="12"/>
              <w:right w:val="none"/>
            </w:tcBorders>
          </w:tcPr>
          <w:p>
            <w:r>
              <w:rPr>
                <w:sz w:val="20"/>
                <w:szCs w:val="20"/>
              </w:rPr>
              <w:t xml:space="preserve">boolean</w:t>
            </w:r>
          </w:p>
        </w:tc>
        <w:tc>
          <w:tcPr>
            <w:tcBorders>
              <w:top w:val="single" w:color="64748B" w:sz="12"/>
              <w:left w:val="none"/>
              <w:bottom w:val="single" w:color="64748B" w:sz="12"/>
              <w:right w:val="none"/>
            </w:tcBorders>
          </w:tcPr>
          <w:p>
            <w:r>
              <w:rPr>
                <w:sz w:val="20"/>
                <w:szCs w:val="20"/>
              </w:rPr>
              <w:t xml:space="preserve">Prefiere menor cuota inicial sobre menor coste total</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acceptsPayrollDomicile</w:t>
            </w:r>
          </w:p>
        </w:tc>
        <w:tc>
          <w:tcPr>
            <w:tcBorders>
              <w:top w:val="single" w:color="64748B" w:sz="12"/>
              <w:left w:val="none"/>
              <w:bottom w:val="single" w:color="64748B" w:sz="12"/>
              <w:right w:val="none"/>
            </w:tcBorders>
          </w:tcPr>
          <w:p>
            <w:r>
              <w:rPr>
                <w:sz w:val="20"/>
                <w:szCs w:val="20"/>
              </w:rPr>
              <w:t xml:space="preserve">boolean</w:t>
            </w:r>
          </w:p>
        </w:tc>
        <w:tc>
          <w:tcPr>
            <w:tcBorders>
              <w:top w:val="single" w:color="64748B" w:sz="12"/>
              <w:left w:val="none"/>
              <w:bottom w:val="single" w:color="64748B" w:sz="12"/>
              <w:right w:val="none"/>
            </w:tcBorders>
          </w:tcPr>
          <w:p>
            <w:r>
              <w:rPr>
                <w:sz w:val="20"/>
                <w:szCs w:val="20"/>
              </w:rPr>
              <w:t xml:space="preserve">Disposición a domiciliar nómina</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acceptsInsurance</w:t>
            </w:r>
          </w:p>
        </w:tc>
        <w:tc>
          <w:tcPr>
            <w:tcBorders>
              <w:top w:val="single" w:color="64748B" w:sz="12"/>
              <w:left w:val="none"/>
              <w:bottom w:val="single" w:color="64748B" w:sz="12"/>
              <w:right w:val="none"/>
            </w:tcBorders>
          </w:tcPr>
          <w:p>
            <w:r>
              <w:rPr>
                <w:sz w:val="20"/>
                <w:szCs w:val="20"/>
              </w:rPr>
              <w:t xml:space="preserve">boolean</w:t>
            </w:r>
          </w:p>
        </w:tc>
        <w:tc>
          <w:tcPr>
            <w:tcBorders>
              <w:top w:val="single" w:color="64748B" w:sz="12"/>
              <w:left w:val="none"/>
              <w:bottom w:val="single" w:color="64748B" w:sz="12"/>
              <w:right w:val="none"/>
            </w:tcBorders>
          </w:tcPr>
          <w:p>
            <w:r>
              <w:rPr>
                <w:sz w:val="20"/>
                <w:szCs w:val="20"/>
              </w:rPr>
              <w:t xml:space="preserve">Disposición a contratar seguros vinculados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acceptsPensionPlan</w:t>
            </w:r>
          </w:p>
        </w:tc>
        <w:tc>
          <w:tcPr>
            <w:tcBorders>
              <w:top w:val="single" w:color="64748B" w:sz="12"/>
              <w:left w:val="none"/>
              <w:bottom w:val="single" w:color="64748B" w:sz="12"/>
              <w:right w:val="none"/>
            </w:tcBorders>
          </w:tcPr>
          <w:p>
            <w:r>
              <w:rPr>
                <w:sz w:val="20"/>
                <w:szCs w:val="20"/>
              </w:rPr>
              <w:t xml:space="preserve">boolean</w:t>
            </w:r>
          </w:p>
        </w:tc>
        <w:tc>
          <w:tcPr>
            <w:tcBorders>
              <w:top w:val="single" w:color="64748B" w:sz="12"/>
              <w:left w:val="none"/>
              <w:bottom w:val="single" w:color="64748B" w:sz="12"/>
              <w:right w:val="none"/>
            </w:tcBorders>
          </w:tcPr>
          <w:p>
            <w:r>
              <w:rPr>
                <w:sz w:val="20"/>
                <w:szCs w:val="20"/>
              </w:rPr>
              <w:t xml:space="preserve">Disposición a aportar a plan de pensiones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plansEarlyAmortization</w:t>
            </w:r>
          </w:p>
        </w:tc>
        <w:tc>
          <w:tcPr>
            <w:tcBorders>
              <w:top w:val="single" w:color="64748B" w:sz="12"/>
              <w:left w:val="none"/>
              <w:bottom w:val="single" w:color="64748B" w:sz="12"/>
              <w:right w:val="none"/>
            </w:tcBorders>
          </w:tcPr>
          <w:p>
            <w:r>
              <w:rPr>
                <w:sz w:val="20"/>
                <w:szCs w:val="20"/>
              </w:rPr>
              <w:t xml:space="preserve">boolean</w:t>
            </w:r>
          </w:p>
        </w:tc>
        <w:tc>
          <w:tcPr>
            <w:tcBorders>
              <w:top w:val="single" w:color="64748B" w:sz="12"/>
              <w:left w:val="none"/>
              <w:bottom w:val="single" w:color="64748B" w:sz="12"/>
              <w:right w:val="none"/>
            </w:tcBorders>
          </w:tcPr>
          <w:p>
            <w:r>
              <w:rPr>
                <w:sz w:val="20"/>
                <w:szCs w:val="20"/>
              </w:rPr>
              <w:t xml:space="preserve">Planea amortizar anticipadamente</w:t>
            </w:r>
          </w:p>
        </w:tc>
      </w:tr>
    </w:tbl>
    <w:p>
      <w:pPr>
        <w:spacing w:after="300" w:before="100"/>
        <w:jc w:val="center"/>
      </w:pPr>
      <w:r>
        <w:rPr>
          <w:i/>
          <w:iCs/>
          <w:color w:val="64748B"/>
          <w:sz w:val="18"/>
          <w:szCs w:val="18"/>
        </w:rPr>
        <w:t xml:space="preserve">Tabla 3: Campos de la entidad MortgagePreferences</w:t>
      </w:r>
    </w:p>
    <w:p>
      <w:pPr>
        <w:pStyle w:val="Heading1"/>
      </w:pPr>
      <w:r>
        <w:t xml:space="preserve">3. Dominio de Ofertas Hipotecarias</w:t>
      </w:r>
    </w:p>
    <w:p>
      <w:pPr>
        <w:pStyle w:val="Heading2"/>
      </w:pPr>
      <w:r>
        <w:t xml:space="preserve">3.1 Entidad Principal: MortgageOffer</w:t>
      </w:r>
    </w:p>
    <w:p>
      <w:pPr>
        <w:spacing w:after="200"/>
      </w:pPr>
      <w:r>
        <w:rPr>
          <w:rFonts w:ascii="Times New Roman" w:cs="Times New Roman" w:eastAsia="Times New Roman" w:hAnsi="Times New Roman"/>
          <w:color w:val="1E293B"/>
          <w:sz w:val="24"/>
          <w:szCs w:val="24"/>
        </w:rPr>
        <w:t xml:space="preserve">MortgageOffer representa un producto hipotecario específico ofrecido por una entidad financiera. Esta entidad normaliza las condiciones de diferentes bancos en un formato unificado, permitiendo comparaciones objetivas. Cada oferta incluye metadatos de trazabilidad que indican cuándo se obtuvieron los datos y con qué nivel de confianza. Las ofertas son inmutables una vez creadas; las actualizaciones generan nuevas versiones con timestamp actualizado.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500"/>
        <w:gridCol w:w="1800"/>
        <w:gridCol w:w="5060"/>
      </w:tblGrid>
      <w:tr>
        <w:trPr>
          <w:tblHeader/>
        </w:trPr>
        <w:tc>
          <w:tcPr>
            <w:tcBorders>
              <w:top w:val="single" w:color="64748B" w:sz="12"/>
              <w:left w:val="none"/>
              <w:bottom w:val="single" w:color="64748B" w:sz="12"/>
              <w:right w:val="none"/>
            </w:tcBorders>
            <w:shd w:fill="E2E8F0" w:val="clear"/>
          </w:tcPr>
          <w:p>
            <w:pPr>
              <w:jc w:val="center"/>
            </w:pPr>
            <w:r>
              <w:rPr>
                <w:b/>
                <w:bCs/>
                <w:sz w:val="22"/>
                <w:szCs w:val="22"/>
              </w:rPr>
              <w:t xml:space="preserve">Campo</w:t>
            </w:r>
          </w:p>
        </w:tc>
        <w:tc>
          <w:tcPr>
            <w:tcBorders>
              <w:top w:val="single" w:color="64748B" w:sz="12"/>
              <w:left w:val="none"/>
              <w:bottom w:val="single" w:color="64748B" w:sz="12"/>
              <w:right w:val="none"/>
            </w:tcBorders>
            <w:shd w:fill="E2E8F0" w:val="clear"/>
          </w:tcPr>
          <w:p>
            <w:pPr>
              <w:jc w:val="center"/>
            </w:pPr>
            <w:r>
              <w:rPr>
                <w:b/>
                <w:bCs/>
                <w:sz w:val="22"/>
                <w:szCs w:val="22"/>
              </w:rPr>
              <w:t xml:space="preserve">Tipo</w:t>
            </w:r>
          </w:p>
        </w:tc>
        <w:tc>
          <w:tcPr>
            <w:tcBorders>
              <w:top w:val="single" w:color="64748B" w:sz="12"/>
              <w:left w:val="none"/>
              <w:bottom w:val="single" w:color="64748B" w:sz="12"/>
              <w:right w:val="none"/>
            </w:tcBorders>
            <w:shd w:fill="E2E8F0" w:val="clear"/>
          </w:tcPr>
          <w:p>
            <w:pPr>
              <w:jc w:val="center"/>
            </w:pPr>
            <w:r>
              <w:rPr>
                <w:b/>
                <w:bCs/>
                <w:sz w:val="22"/>
                <w:szCs w:val="22"/>
              </w:rPr>
              <w:t xml:space="preserve">Descripción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id</w:t>
            </w:r>
          </w:p>
        </w:tc>
        <w:tc>
          <w:tcPr>
            <w:tcBorders>
              <w:top w:val="single" w:color="64748B" w:sz="12"/>
              <w:left w:val="none"/>
              <w:bottom w:val="single" w:color="64748B" w:sz="12"/>
              <w:right w:val="none"/>
            </w:tcBorders>
          </w:tcPr>
          <w:p>
            <w:r>
              <w:rPr>
                <w:sz w:val="20"/>
                <w:szCs w:val="20"/>
              </w:rPr>
              <w:t xml:space="preserve">string</w:t>
            </w:r>
          </w:p>
        </w:tc>
        <w:tc>
          <w:tcPr>
            <w:tcBorders>
              <w:top w:val="single" w:color="64748B" w:sz="12"/>
              <w:left w:val="none"/>
              <w:bottom w:val="single" w:color="64748B" w:sz="12"/>
              <w:right w:val="none"/>
            </w:tcBorders>
          </w:tcPr>
          <w:p>
            <w:r>
              <w:rPr>
                <w:sz w:val="20"/>
                <w:szCs w:val="20"/>
              </w:rPr>
              <w:t xml:space="preserve">Identificador único de la oferta</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bankId</w:t>
            </w:r>
          </w:p>
        </w:tc>
        <w:tc>
          <w:tcPr>
            <w:tcBorders>
              <w:top w:val="single" w:color="64748B" w:sz="12"/>
              <w:left w:val="none"/>
              <w:bottom w:val="single" w:color="64748B" w:sz="12"/>
              <w:right w:val="none"/>
            </w:tcBorders>
          </w:tcPr>
          <w:p>
            <w:r>
              <w:rPr>
                <w:sz w:val="20"/>
                <w:szCs w:val="20"/>
              </w:rPr>
              <w:t xml:space="preserve">string</w:t>
            </w:r>
          </w:p>
        </w:tc>
        <w:tc>
          <w:tcPr>
            <w:tcBorders>
              <w:top w:val="single" w:color="64748B" w:sz="12"/>
              <w:left w:val="none"/>
              <w:bottom w:val="single" w:color="64748B" w:sz="12"/>
              <w:right w:val="none"/>
            </w:tcBorders>
          </w:tcPr>
          <w:p>
            <w:r>
              <w:rPr>
                <w:sz w:val="20"/>
                <w:szCs w:val="20"/>
              </w:rPr>
              <w:t xml:space="preserve">Referencia a la entidad bancaria</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productName</w:t>
            </w:r>
          </w:p>
        </w:tc>
        <w:tc>
          <w:tcPr>
            <w:tcBorders>
              <w:top w:val="single" w:color="64748B" w:sz="12"/>
              <w:left w:val="none"/>
              <w:bottom w:val="single" w:color="64748B" w:sz="12"/>
              <w:right w:val="none"/>
            </w:tcBorders>
          </w:tcPr>
          <w:p>
            <w:r>
              <w:rPr>
                <w:sz w:val="20"/>
                <w:szCs w:val="20"/>
              </w:rPr>
              <w:t xml:space="preserve">string</w:t>
            </w:r>
          </w:p>
        </w:tc>
        <w:tc>
          <w:tcPr>
            <w:tcBorders>
              <w:top w:val="single" w:color="64748B" w:sz="12"/>
              <w:left w:val="none"/>
              <w:bottom w:val="single" w:color="64748B" w:sz="12"/>
              <w:right w:val="none"/>
            </w:tcBorders>
          </w:tcPr>
          <w:p>
            <w:r>
              <w:rPr>
                <w:sz w:val="20"/>
                <w:szCs w:val="20"/>
              </w:rPr>
              <w:t xml:space="preserve">Nombre comercial del producto</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mortgageType</w:t>
            </w:r>
          </w:p>
        </w:tc>
        <w:tc>
          <w:tcPr>
            <w:tcBorders>
              <w:top w:val="single" w:color="64748B" w:sz="12"/>
              <w:left w:val="none"/>
              <w:bottom w:val="single" w:color="64748B" w:sz="12"/>
              <w:right w:val="none"/>
            </w:tcBorders>
          </w:tcPr>
          <w:p>
            <w:r>
              <w:rPr>
                <w:sz w:val="20"/>
                <w:szCs w:val="20"/>
              </w:rPr>
              <w:t xml:space="preserve">enum</w:t>
            </w:r>
          </w:p>
        </w:tc>
        <w:tc>
          <w:tcPr>
            <w:tcBorders>
              <w:top w:val="single" w:color="64748B" w:sz="12"/>
              <w:left w:val="none"/>
              <w:bottom w:val="single" w:color="64748B" w:sz="12"/>
              <w:right w:val="none"/>
            </w:tcBorders>
          </w:tcPr>
          <w:p>
            <w:r>
              <w:rPr>
                <w:sz w:val="20"/>
                <w:szCs w:val="20"/>
              </w:rPr>
              <w:t xml:space="preserve">FIJA, VARIABLE, MIXTA</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baseRate</w:t>
            </w:r>
          </w:p>
        </w:tc>
        <w:tc>
          <w:tcPr>
            <w:tcBorders>
              <w:top w:val="single" w:color="64748B" w:sz="12"/>
              <w:left w:val="none"/>
              <w:bottom w:val="single" w:color="64748B" w:sz="12"/>
              <w:right w:val="none"/>
            </w:tcBorders>
          </w:tcPr>
          <w:p>
            <w:r>
              <w:rPr>
                <w:sz w:val="20"/>
                <w:szCs w:val="20"/>
              </w:rPr>
              <w:t xml:space="preserve">RateCondition</w:t>
            </w:r>
          </w:p>
        </w:tc>
        <w:tc>
          <w:tcPr>
            <w:tcBorders>
              <w:top w:val="single" w:color="64748B" w:sz="12"/>
              <w:left w:val="none"/>
              <w:bottom w:val="single" w:color="64748B" w:sz="12"/>
              <w:right w:val="none"/>
            </w:tcBorders>
          </w:tcPr>
          <w:p>
            <w:r>
              <w:rPr>
                <w:sz w:val="20"/>
                <w:szCs w:val="20"/>
              </w:rPr>
              <w:t xml:space="preserve">TIN base sin bonificaciones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bonifiedRate</w:t>
            </w:r>
          </w:p>
        </w:tc>
        <w:tc>
          <w:tcPr>
            <w:tcBorders>
              <w:top w:val="single" w:color="64748B" w:sz="12"/>
              <w:left w:val="none"/>
              <w:bottom w:val="single" w:color="64748B" w:sz="12"/>
              <w:right w:val="none"/>
            </w:tcBorders>
          </w:tcPr>
          <w:p>
            <w:r>
              <w:rPr>
                <w:sz w:val="20"/>
                <w:szCs w:val="20"/>
              </w:rPr>
              <w:t xml:space="preserve">RateCondition?</w:t>
            </w:r>
          </w:p>
        </w:tc>
        <w:tc>
          <w:tcPr>
            <w:tcBorders>
              <w:top w:val="single" w:color="64748B" w:sz="12"/>
              <w:left w:val="none"/>
              <w:bottom w:val="single" w:color="64748B" w:sz="12"/>
              <w:right w:val="none"/>
            </w:tcBorders>
          </w:tcPr>
          <w:p>
            <w:r>
              <w:rPr>
                <w:sz w:val="20"/>
                <w:szCs w:val="20"/>
              </w:rPr>
              <w:t xml:space="preserve">TIN con bonificaciones máximas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linkedProducts</w:t>
            </w:r>
          </w:p>
        </w:tc>
        <w:tc>
          <w:tcPr>
            <w:tcBorders>
              <w:top w:val="single" w:color="64748B" w:sz="12"/>
              <w:left w:val="none"/>
              <w:bottom w:val="single" w:color="64748B" w:sz="12"/>
              <w:right w:val="none"/>
            </w:tcBorders>
          </w:tcPr>
          <w:p>
            <w:r>
              <w:rPr>
                <w:sz w:val="20"/>
                <w:szCs w:val="20"/>
              </w:rPr>
              <w:t xml:space="preserve">LinkedProduct[]</w:t>
            </w:r>
          </w:p>
        </w:tc>
        <w:tc>
          <w:tcPr>
            <w:tcBorders>
              <w:top w:val="single" w:color="64748B" w:sz="12"/>
              <w:left w:val="none"/>
              <w:bottom w:val="single" w:color="64748B" w:sz="12"/>
              <w:right w:val="none"/>
            </w:tcBorders>
          </w:tcPr>
          <w:p>
            <w:r>
              <w:rPr>
                <w:sz w:val="20"/>
                <w:szCs w:val="20"/>
              </w:rPr>
              <w:t xml:space="preserve">Productos vinculados requeridos para bonificación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maxLTV</w:t>
            </w:r>
          </w:p>
        </w:tc>
        <w:tc>
          <w:tcPr>
            <w:tcBorders>
              <w:top w:val="single" w:color="64748B" w:sz="12"/>
              <w:left w:val="none"/>
              <w:bottom w:val="single" w:color="64748B" w:sz="12"/>
              <w:right w:val="none"/>
            </w:tcBorders>
          </w:tcPr>
          <w:p>
            <w:r>
              <w:rPr>
                <w:sz w:val="20"/>
                <w:szCs w:val="20"/>
              </w:rPr>
              <w:t xml:space="preserve">number</w:t>
            </w:r>
          </w:p>
        </w:tc>
        <w:tc>
          <w:tcPr>
            <w:tcBorders>
              <w:top w:val="single" w:color="64748B" w:sz="12"/>
              <w:left w:val="none"/>
              <w:bottom w:val="single" w:color="64748B" w:sz="12"/>
              <w:right w:val="none"/>
            </w:tcBorders>
          </w:tcPr>
          <w:p>
            <w:r>
              <w:rPr>
                <w:sz w:val="20"/>
                <w:szCs w:val="20"/>
              </w:rPr>
              <w:t xml:space="preserve">Financiación máxima (% valor tasación)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maxTermYears</w:t>
            </w:r>
          </w:p>
        </w:tc>
        <w:tc>
          <w:tcPr>
            <w:tcBorders>
              <w:top w:val="single" w:color="64748B" w:sz="12"/>
              <w:left w:val="none"/>
              <w:bottom w:val="single" w:color="64748B" w:sz="12"/>
              <w:right w:val="none"/>
            </w:tcBorders>
          </w:tcPr>
          <w:p>
            <w:r>
              <w:rPr>
                <w:sz w:val="20"/>
                <w:szCs w:val="20"/>
              </w:rPr>
              <w:t xml:space="preserve">number</w:t>
            </w:r>
          </w:p>
        </w:tc>
        <w:tc>
          <w:tcPr>
            <w:tcBorders>
              <w:top w:val="single" w:color="64748B" w:sz="12"/>
              <w:left w:val="none"/>
              <w:bottom w:val="single" w:color="64748B" w:sz="12"/>
              <w:right w:val="none"/>
            </w:tcBorders>
          </w:tcPr>
          <w:p>
            <w:r>
              <w:rPr>
                <w:sz w:val="20"/>
                <w:szCs w:val="20"/>
              </w:rPr>
              <w:t xml:space="preserve">Plazo máximo de amortización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commissions</w:t>
            </w:r>
          </w:p>
        </w:tc>
        <w:tc>
          <w:tcPr>
            <w:tcBorders>
              <w:top w:val="single" w:color="64748B" w:sz="12"/>
              <w:left w:val="none"/>
              <w:bottom w:val="single" w:color="64748B" w:sz="12"/>
              <w:right w:val="none"/>
            </w:tcBorders>
          </w:tcPr>
          <w:p>
            <w:r>
              <w:rPr>
                <w:sz w:val="20"/>
                <w:szCs w:val="20"/>
              </w:rPr>
              <w:t xml:space="preserve">Commission[]</w:t>
            </w:r>
          </w:p>
        </w:tc>
        <w:tc>
          <w:tcPr>
            <w:tcBorders>
              <w:top w:val="single" w:color="64748B" w:sz="12"/>
              <w:left w:val="none"/>
              <w:bottom w:val="single" w:color="64748B" w:sz="12"/>
              <w:right w:val="none"/>
            </w:tcBorders>
          </w:tcPr>
          <w:p>
            <w:r>
              <w:rPr>
                <w:sz w:val="20"/>
                <w:szCs w:val="20"/>
              </w:rPr>
              <w:t xml:space="preserve">Comisiones aplicables</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source</w:t>
            </w:r>
          </w:p>
        </w:tc>
        <w:tc>
          <w:tcPr>
            <w:tcBorders>
              <w:top w:val="single" w:color="64748B" w:sz="12"/>
              <w:left w:val="none"/>
              <w:bottom w:val="single" w:color="64748B" w:sz="12"/>
              <w:right w:val="none"/>
            </w:tcBorders>
          </w:tcPr>
          <w:p>
            <w:r>
              <w:rPr>
                <w:sz w:val="20"/>
                <w:szCs w:val="20"/>
              </w:rPr>
              <w:t xml:space="preserve">OfferSource</w:t>
            </w:r>
          </w:p>
        </w:tc>
        <w:tc>
          <w:tcPr>
            <w:tcBorders>
              <w:top w:val="single" w:color="64748B" w:sz="12"/>
              <w:left w:val="none"/>
              <w:bottom w:val="single" w:color="64748B" w:sz="12"/>
              <w:right w:val="none"/>
            </w:tcBorders>
          </w:tcPr>
          <w:p>
            <w:r>
              <w:rPr>
                <w:sz w:val="20"/>
                <w:szCs w:val="20"/>
              </w:rPr>
              <w:t xml:space="preserve">Metadatos de trazabilidad</w:t>
            </w:r>
          </w:p>
        </w:tc>
      </w:tr>
    </w:tbl>
    <w:p>
      <w:pPr>
        <w:spacing w:after="300" w:before="100"/>
        <w:jc w:val="center"/>
      </w:pPr>
      <w:r>
        <w:rPr>
          <w:i/>
          <w:iCs/>
          <w:color w:val="64748B"/>
          <w:sz w:val="18"/>
          <w:szCs w:val="18"/>
        </w:rPr>
        <w:t xml:space="preserve">Tabla 4: Campos principales de MortgageOffer</w:t>
      </w:r>
    </w:p>
    <w:p>
      <w:pPr>
        <w:pStyle w:val="Heading2"/>
      </w:pPr>
      <w:r>
        <w:t xml:space="preserve">3.2 Condiciones de Tipo: RateCondition</w:t>
      </w:r>
    </w:p>
    <w:p>
      <w:pPr>
        <w:spacing w:after="200"/>
      </w:pPr>
      <w:r>
        <w:rPr>
          <w:rFonts w:ascii="Times New Roman" w:cs="Times New Roman" w:eastAsia="Times New Roman" w:hAnsi="Times New Roman"/>
          <w:color w:val="1E293B"/>
          <w:sz w:val="24"/>
          <w:szCs w:val="24"/>
        </w:rPr>
        <w:t xml:space="preserve">RateCondition encapsula las condiciones de tipo de interés, que varían significativamente entre hipotecas fijas, variables y mixtas. Esta entidad permite modelar de forma unificada escenarios como: hipoteca fija al 2,5% durante toda la vida; hipoteca variable Euríbor + 0,75%; o hipoteca mixta con tramo fijo de 5 años al 1,7% y posteriormente Euríbor + 0,65%. La entidad es versátil para representar todos estos casos manteniendo una estructura coherente.</w:t>
      </w:r>
    </w:p>
    <w:p>
      <w:pPr>
        <w:pStyle w:val="Heading2"/>
      </w:pPr>
      <w:r>
        <w:t xml:space="preserve">3.3 Trazabilidad: OfferSource</w:t>
      </w:r>
    </w:p>
    <w:p>
      <w:pPr>
        <w:spacing w:after="200"/>
      </w:pPr>
      <w:r>
        <w:rPr>
          <w:rFonts w:ascii="Times New Roman" w:cs="Times New Roman" w:eastAsia="Times New Roman" w:hAnsi="Times New Roman"/>
          <w:color w:val="1E293B"/>
          <w:sz w:val="24"/>
          <w:szCs w:val="24"/>
        </w:rPr>
        <w:t xml:space="preserve">OfferSource es quizás la entidad más importante para garantizar la transparencia del sistema. Registra el origen de cada dato, cuándo se obtuvo, y con qué nivel de confianza. Esta información se muestra al usuario final, permitiéndole evaluar la fiabilidad de cada oferta. Los niveles de confianza permiten comunicar claramente qué datos han sido verificados directamente, cuáles provienen de fuentes secundarias, y cuáles podrían estar desactualizados.</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800"/>
        <w:gridCol w:w="1800"/>
        <w:gridCol w:w="4760"/>
      </w:tblGrid>
      <w:tr>
        <w:trPr>
          <w:tblHeader/>
        </w:trPr>
        <w:tc>
          <w:tcPr>
            <w:tcBorders>
              <w:top w:val="single" w:color="64748B" w:sz="12"/>
              <w:left w:val="none"/>
              <w:bottom w:val="single" w:color="64748B" w:sz="12"/>
              <w:right w:val="none"/>
            </w:tcBorders>
            <w:shd w:fill="E2E8F0" w:val="clear"/>
          </w:tcPr>
          <w:p>
            <w:pPr>
              <w:jc w:val="center"/>
            </w:pPr>
            <w:r>
              <w:rPr>
                <w:b/>
                <w:bCs/>
                <w:sz w:val="22"/>
                <w:szCs w:val="22"/>
              </w:rPr>
              <w:t xml:space="preserve">Campo</w:t>
            </w:r>
          </w:p>
        </w:tc>
        <w:tc>
          <w:tcPr>
            <w:tcBorders>
              <w:top w:val="single" w:color="64748B" w:sz="12"/>
              <w:left w:val="none"/>
              <w:bottom w:val="single" w:color="64748B" w:sz="12"/>
              <w:right w:val="none"/>
            </w:tcBorders>
            <w:shd w:fill="E2E8F0" w:val="clear"/>
          </w:tcPr>
          <w:p>
            <w:pPr>
              <w:jc w:val="center"/>
            </w:pPr>
            <w:r>
              <w:rPr>
                <w:b/>
                <w:bCs/>
                <w:sz w:val="22"/>
                <w:szCs w:val="22"/>
              </w:rPr>
              <w:t xml:space="preserve">Tipo</w:t>
            </w:r>
          </w:p>
        </w:tc>
        <w:tc>
          <w:tcPr>
            <w:tcBorders>
              <w:top w:val="single" w:color="64748B" w:sz="12"/>
              <w:left w:val="none"/>
              <w:bottom w:val="single" w:color="64748B" w:sz="12"/>
              <w:right w:val="none"/>
            </w:tcBorders>
            <w:shd w:fill="E2E8F0" w:val="clear"/>
          </w:tcPr>
          <w:p>
            <w:pPr>
              <w:jc w:val="center"/>
            </w:pPr>
            <w:r>
              <w:rPr>
                <w:b/>
                <w:bCs/>
                <w:sz w:val="22"/>
                <w:szCs w:val="22"/>
              </w:rPr>
              <w:t xml:space="preserve">Descripción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primaryUrl</w:t>
            </w:r>
          </w:p>
        </w:tc>
        <w:tc>
          <w:tcPr>
            <w:tcBorders>
              <w:top w:val="single" w:color="64748B" w:sz="12"/>
              <w:left w:val="none"/>
              <w:bottom w:val="single" w:color="64748B" w:sz="12"/>
              <w:right w:val="none"/>
            </w:tcBorders>
          </w:tcPr>
          <w:p>
            <w:r>
              <w:rPr>
                <w:sz w:val="20"/>
                <w:szCs w:val="20"/>
              </w:rPr>
              <w:t xml:space="preserve">string</w:t>
            </w:r>
          </w:p>
        </w:tc>
        <w:tc>
          <w:tcPr>
            <w:tcBorders>
              <w:top w:val="single" w:color="64748B" w:sz="12"/>
              <w:left w:val="none"/>
              <w:bottom w:val="single" w:color="64748B" w:sz="12"/>
              <w:right w:val="none"/>
            </w:tcBorders>
          </w:tcPr>
          <w:p>
            <w:r>
              <w:rPr>
                <w:sz w:val="20"/>
                <w:szCs w:val="20"/>
              </w:rPr>
              <w:t xml:space="preserve">URL de la fuente primaria (web del banco)</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secondarySource</w:t>
            </w:r>
          </w:p>
        </w:tc>
        <w:tc>
          <w:tcPr>
            <w:tcBorders>
              <w:top w:val="single" w:color="64748B" w:sz="12"/>
              <w:left w:val="none"/>
              <w:bottom w:val="single" w:color="64748B" w:sz="12"/>
              <w:right w:val="none"/>
            </w:tcBorders>
          </w:tcPr>
          <w:p>
            <w:r>
              <w:rPr>
                <w:sz w:val="20"/>
                <w:szCs w:val="20"/>
              </w:rPr>
              <w:t xml:space="preserve">string?</w:t>
            </w:r>
          </w:p>
        </w:tc>
        <w:tc>
          <w:tcPr>
            <w:tcBorders>
              <w:top w:val="single" w:color="64748B" w:sz="12"/>
              <w:left w:val="none"/>
              <w:bottom w:val="single" w:color="64748B" w:sz="12"/>
              <w:right w:val="none"/>
            </w:tcBorders>
          </w:tcPr>
          <w:p>
            <w:r>
              <w:rPr>
                <w:sz w:val="20"/>
                <w:szCs w:val="20"/>
              </w:rPr>
              <w:t xml:space="preserve">Fuente secundaria de contraste (comparador)</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verifiedAt</w:t>
            </w:r>
          </w:p>
        </w:tc>
        <w:tc>
          <w:tcPr>
            <w:tcBorders>
              <w:top w:val="single" w:color="64748B" w:sz="12"/>
              <w:left w:val="none"/>
              <w:bottom w:val="single" w:color="64748B" w:sz="12"/>
              <w:right w:val="none"/>
            </w:tcBorders>
          </w:tcPr>
          <w:p>
            <w:r>
              <w:rPr>
                <w:sz w:val="20"/>
                <w:szCs w:val="20"/>
              </w:rPr>
              <w:t xml:space="preserve">Date</w:t>
            </w:r>
          </w:p>
        </w:tc>
        <w:tc>
          <w:tcPr>
            <w:tcBorders>
              <w:top w:val="single" w:color="64748B" w:sz="12"/>
              <w:left w:val="none"/>
              <w:bottom w:val="single" w:color="64748B" w:sz="12"/>
              <w:right w:val="none"/>
            </w:tcBorders>
          </w:tcPr>
          <w:p>
            <w:r>
              <w:rPr>
                <w:sz w:val="20"/>
                <w:szCs w:val="20"/>
              </w:rPr>
              <w:t xml:space="preserve">Fecha y hora de última verificación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confidenceLevel</w:t>
            </w:r>
          </w:p>
        </w:tc>
        <w:tc>
          <w:tcPr>
            <w:tcBorders>
              <w:top w:val="single" w:color="64748B" w:sz="12"/>
              <w:left w:val="none"/>
              <w:bottom w:val="single" w:color="64748B" w:sz="12"/>
              <w:right w:val="none"/>
            </w:tcBorders>
          </w:tcPr>
          <w:p>
            <w:r>
              <w:rPr>
                <w:sz w:val="20"/>
                <w:szCs w:val="20"/>
              </w:rPr>
              <w:t xml:space="preserve">enum</w:t>
            </w:r>
          </w:p>
        </w:tc>
        <w:tc>
          <w:tcPr>
            <w:tcBorders>
              <w:top w:val="single" w:color="64748B" w:sz="12"/>
              <w:left w:val="none"/>
              <w:bottom w:val="single" w:color="64748B" w:sz="12"/>
              <w:right w:val="none"/>
            </w:tcBorders>
          </w:tcPr>
          <w:p>
            <w:r>
              <w:rPr>
                <w:sz w:val="20"/>
                <w:szCs w:val="20"/>
              </w:rPr>
              <w:t xml:space="preserve">ALTA, MEDIA, BAJA, PENDIENTE_REVISION</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fieldsObtained</w:t>
            </w:r>
          </w:p>
        </w:tc>
        <w:tc>
          <w:tcPr>
            <w:tcBorders>
              <w:top w:val="single" w:color="64748B" w:sz="12"/>
              <w:left w:val="none"/>
              <w:bottom w:val="single" w:color="64748B" w:sz="12"/>
              <w:right w:val="none"/>
            </w:tcBorders>
          </w:tcPr>
          <w:p>
            <w:r>
              <w:rPr>
                <w:sz w:val="20"/>
                <w:szCs w:val="20"/>
              </w:rPr>
              <w:t xml:space="preserve">string[]</w:t>
            </w:r>
          </w:p>
        </w:tc>
        <w:tc>
          <w:tcPr>
            <w:tcBorders>
              <w:top w:val="single" w:color="64748B" w:sz="12"/>
              <w:left w:val="none"/>
              <w:bottom w:val="single" w:color="64748B" w:sz="12"/>
              <w:right w:val="none"/>
            </w:tcBorders>
          </w:tcPr>
          <w:p>
            <w:r>
              <w:rPr>
                <w:sz w:val="20"/>
                <w:szCs w:val="20"/>
              </w:rPr>
              <w:t xml:space="preserve">Campos que pudieron obtenerse de la fuente</w:t>
            </w:r>
          </w:p>
        </w:tc>
      </w:tr>
      <w:tr>
        <w:tc>
          <w:tcPr>
            <w:tcBorders>
              <w:top w:val="single" w:color="64748B" w:sz="12"/>
              <w:left w:val="none"/>
              <w:bottom w:val="single" w:color="64748B" w:sz="12"/>
              <w:right w:val="none"/>
            </w:tcBorders>
          </w:tcPr>
          <w:p>
            <w:r>
              <w:rPr>
                <w:rFonts w:ascii="Courier New" w:cs="Courier New" w:eastAsia="Courier New" w:hAnsi="Courier New"/>
                <w:sz w:val="20"/>
                <w:szCs w:val="20"/>
              </w:rPr>
              <w:t xml:space="preserve">fieldsMissing</w:t>
            </w:r>
          </w:p>
        </w:tc>
        <w:tc>
          <w:tcPr>
            <w:tcBorders>
              <w:top w:val="single" w:color="64748B" w:sz="12"/>
              <w:left w:val="none"/>
              <w:bottom w:val="single" w:color="64748B" w:sz="12"/>
              <w:right w:val="none"/>
            </w:tcBorders>
          </w:tcPr>
          <w:p>
            <w:r>
              <w:rPr>
                <w:sz w:val="20"/>
                <w:szCs w:val="20"/>
              </w:rPr>
              <w:t xml:space="preserve">string[]</w:t>
            </w:r>
          </w:p>
        </w:tc>
        <w:tc>
          <w:tcPr>
            <w:tcBorders>
              <w:top w:val="single" w:color="64748B" w:sz="12"/>
              <w:left w:val="none"/>
              <w:bottom w:val="single" w:color="64748B" w:sz="12"/>
              <w:right w:val="none"/>
            </w:tcBorders>
          </w:tcPr>
          <w:p>
            <w:r>
              <w:rPr>
                <w:sz w:val="20"/>
                <w:szCs w:val="20"/>
              </w:rPr>
              <w:t xml:space="preserve">Campos que no pudieron obtenerse</w:t>
            </w:r>
          </w:p>
        </w:tc>
      </w:tr>
    </w:tbl>
    <w:p>
      <w:pPr>
        <w:spacing w:after="300" w:before="100"/>
        <w:jc w:val="center"/>
      </w:pPr>
      <w:r>
        <w:rPr>
          <w:i/>
          <w:iCs/>
          <w:color w:val="64748B"/>
          <w:sz w:val="18"/>
          <w:szCs w:val="18"/>
        </w:rPr>
        <w:t xml:space="preserve">Tabla 5: Campos de la entidad OfferSource para trazabilidad</w:t>
      </w:r>
    </w:p>
    <w:p>
      <w:pPr>
        <w:pStyle w:val="Heading1"/>
      </w:pPr>
      <w:r>
        <w:t xml:space="preserve">4. Sistema de Scoring y Ranking</w:t>
      </w:r>
    </w:p>
    <w:p>
      <w:pPr>
        <w:pStyle w:val="Heading2"/>
      </w:pPr>
      <w:r>
        <w:t xml:space="preserve">4.1 Filosofía del Scoring</w:t>
      </w:r>
    </w:p>
    <w:p>
      <w:pPr>
        <w:spacing w:after="200"/>
      </w:pPr>
      <w:r>
        <w:rPr>
          <w:rFonts w:ascii="Times New Roman" w:cs="Times New Roman" w:eastAsia="Times New Roman" w:hAnsi="Times New Roman"/>
          <w:color w:val="1E293B"/>
          <w:sz w:val="24"/>
          <w:szCs w:val="24"/>
        </w:rPr>
        <w:t xml:space="preserve">El sistema de scoring está diseñado para proporcionar ordenaciones significativas y explicables, evitando los problemas comunes de otros comparadores que priorizan únicamente la cuota mensual inicial o el TIN. La puntuación final de cada oferta es una combinación ponderada de múltiples factores que reflejan diferentes aspectos de la calidad de una hipoteca. Los pesos de cada factor pueden ajustarse según el perfil del usuario: alguien con alta tolerancia al riesgo valorará más la cuota inicial de una variable, mientras que alguien conservador priorizará la estabilidad de una fija.</w:t>
      </w:r>
    </w:p>
    <w:p>
      <w:pPr>
        <w:pStyle w:val="Heading2"/>
      </w:pPr>
      <w:r>
        <w:t xml:space="preserve">4.2 Factores de Puntuación</w:t>
      </w:r>
    </w:p>
    <w:p>
      <w:pPr>
        <w:spacing w:after="200"/>
      </w:pPr>
      <w:r>
        <w:rPr>
          <w:rFonts w:ascii="Times New Roman" w:cs="Times New Roman" w:eastAsia="Times New Roman" w:hAnsi="Times New Roman"/>
          <w:color w:val="1E293B"/>
          <w:sz w:val="24"/>
          <w:szCs w:val="24"/>
        </w:rPr>
        <w:t xml:space="preserve">El sistema evalúa ocho factores principales que capturan los aspectos más relevantes de una hipoteca. Cada factor se puntúa de 0 a 100, y la puntuación final es una media ponderada que depende del perfil del usuario. Los factores han sido diseñados para ser mutuamente independientes en la medida de lo posible, evitando la doble penalización o recompensa por el mismo concepto.</w:t>
      </w:r>
    </w:p>
    <w:tbl>
      <w:tblPr>
        <w:tblW w:type="auto" w:w="100"/>
        <w:tblBorders>
          <w:top w:val="single" w:color="auto" w:sz="4"/>
          <w:left w:val="single" w:color="auto" w:sz="4"/>
          <w:bottom w:val="single" w:color="auto" w:sz="4"/>
          <w:right w:val="single" w:color="auto" w:sz="4"/>
          <w:insideH w:val="single" w:color="auto" w:sz="4"/>
          <w:insideV w:val="single" w:color="auto" w:sz="4"/>
        </w:tblBorders>
        <w:tblCellMar>
          <w:top w:type="dxa" w:w="100"/>
          <w:left w:type="dxa" w:w="180"/>
          <w:bottom w:type="dxa" w:w="100"/>
          <w:right w:type="dxa" w:w="180"/>
        </w:tblCellMar>
      </w:tblPr>
      <w:tblGrid>
        <w:gridCol w:w="2400"/>
        <w:gridCol w:w="1600"/>
        <w:gridCol w:w="2000"/>
        <w:gridCol w:w="3360"/>
      </w:tblGrid>
      <w:tr>
        <w:trPr>
          <w:tblHeader/>
        </w:trPr>
        <w:tc>
          <w:tcPr>
            <w:tcBorders>
              <w:top w:val="single" w:color="64748B" w:sz="12"/>
              <w:left w:val="none"/>
              <w:bottom w:val="single" w:color="64748B" w:sz="12"/>
              <w:right w:val="none"/>
            </w:tcBorders>
            <w:shd w:fill="E2E8F0" w:val="clear"/>
          </w:tcPr>
          <w:p>
            <w:pPr>
              <w:jc w:val="center"/>
            </w:pPr>
            <w:r>
              <w:rPr>
                <w:b/>
                <w:bCs/>
                <w:sz w:val="22"/>
                <w:szCs w:val="22"/>
              </w:rPr>
              <w:t xml:space="preserve">Factor</w:t>
            </w:r>
          </w:p>
        </w:tc>
        <w:tc>
          <w:tcPr>
            <w:tcBorders>
              <w:top w:val="single" w:color="64748B" w:sz="12"/>
              <w:left w:val="none"/>
              <w:bottom w:val="single" w:color="64748B" w:sz="12"/>
              <w:right w:val="none"/>
            </w:tcBorders>
            <w:shd w:fill="E2E8F0" w:val="clear"/>
          </w:tcPr>
          <w:p>
            <w:pPr>
              <w:jc w:val="center"/>
            </w:pPr>
            <w:r>
              <w:rPr>
                <w:b/>
                <w:bCs/>
                <w:sz w:val="22"/>
                <w:szCs w:val="22"/>
              </w:rPr>
              <w:t xml:space="preserve">Peso Base</w:t>
            </w:r>
          </w:p>
        </w:tc>
        <w:tc>
          <w:tcPr>
            <w:tcBorders>
              <w:top w:val="single" w:color="64748B" w:sz="12"/>
              <w:left w:val="none"/>
              <w:bottom w:val="single" w:color="64748B" w:sz="12"/>
              <w:right w:val="none"/>
            </w:tcBorders>
            <w:shd w:fill="E2E8F0" w:val="clear"/>
          </w:tcPr>
          <w:p>
            <w:pPr>
              <w:jc w:val="center"/>
            </w:pPr>
            <w:r>
              <w:rPr>
                <w:b/>
                <w:bCs/>
                <w:sz w:val="22"/>
                <w:szCs w:val="22"/>
              </w:rPr>
              <w:t xml:space="preserve">Rango Puntos</w:t>
            </w:r>
          </w:p>
        </w:tc>
        <w:tc>
          <w:tcPr>
            <w:tcBorders>
              <w:top w:val="single" w:color="64748B" w:sz="12"/>
              <w:left w:val="none"/>
              <w:bottom w:val="single" w:color="64748B" w:sz="12"/>
              <w:right w:val="none"/>
            </w:tcBorders>
            <w:shd w:fill="E2E8F0" w:val="clear"/>
          </w:tcPr>
          <w:p>
            <w:pPr>
              <w:jc w:val="center"/>
            </w:pPr>
            <w:r>
              <w:rPr>
                <w:b/>
                <w:bCs/>
                <w:sz w:val="22"/>
                <w:szCs w:val="22"/>
              </w:rPr>
              <w:t xml:space="preserve">Qué Evalúa</w:t>
            </w:r>
          </w:p>
        </w:tc>
      </w:tr>
      <w:tr>
        <w:tc>
          <w:tcPr>
            <w:tcBorders>
              <w:top w:val="single" w:color="64748B" w:sz="12"/>
              <w:left w:val="none"/>
              <w:bottom w:val="single" w:color="64748B" w:sz="12"/>
              <w:right w:val="none"/>
            </w:tcBorders>
          </w:tcPr>
          <w:p>
            <w:r>
              <w:rPr>
                <w:sz w:val="20"/>
                <w:szCs w:val="20"/>
              </w:rPr>
              <w:t xml:space="preserve">Coste Total</w:t>
            </w:r>
          </w:p>
        </w:tc>
        <w:tc>
          <w:tcPr>
            <w:tcBorders>
              <w:top w:val="single" w:color="64748B" w:sz="12"/>
              <w:left w:val="none"/>
              <w:bottom w:val="single" w:color="64748B" w:sz="12"/>
              <w:right w:val="none"/>
            </w:tcBorders>
          </w:tcPr>
          <w:p>
            <w:pPr>
              <w:jc w:val="center"/>
            </w:pPr>
            <w:r>
              <w:rPr>
                <w:sz w:val="20"/>
                <w:szCs w:val="20"/>
              </w:rPr>
              <w:t xml:space="preserve">25%</w:t>
            </w:r>
          </w:p>
        </w:tc>
        <w:tc>
          <w:tcPr>
            <w:tcBorders>
              <w:top w:val="single" w:color="64748B" w:sz="12"/>
              <w:left w:val="none"/>
              <w:bottom w:val="single" w:color="64748B" w:sz="12"/>
              <w:right w:val="none"/>
            </w:tcBorders>
          </w:tcPr>
          <w:p>
            <w:pPr>
              <w:jc w:val="center"/>
            </w:pPr>
            <w:r>
              <w:rPr>
                <w:sz w:val="20"/>
                <w:szCs w:val="20"/>
              </w:rPr>
              <w:t xml:space="preserve">0-100</w:t>
            </w:r>
          </w:p>
        </w:tc>
        <w:tc>
          <w:tcPr>
            <w:tcBorders>
              <w:top w:val="single" w:color="64748B" w:sz="12"/>
              <w:left w:val="none"/>
              <w:bottom w:val="single" w:color="64748B" w:sz="12"/>
              <w:right w:val="none"/>
            </w:tcBorders>
          </w:tcPr>
          <w:p>
            <w:r>
              <w:rPr>
                <w:sz w:val="20"/>
                <w:szCs w:val="20"/>
              </w:rPr>
              <w:t xml:space="preserve">Intereses totales + comisiones + gastos</w:t>
            </w:r>
          </w:p>
        </w:tc>
      </w:tr>
      <w:tr>
        <w:tc>
          <w:tcPr>
            <w:tcBorders>
              <w:top w:val="single" w:color="64748B" w:sz="12"/>
              <w:left w:val="none"/>
              <w:bottom w:val="single" w:color="64748B" w:sz="12"/>
              <w:right w:val="none"/>
            </w:tcBorders>
          </w:tcPr>
          <w:p>
            <w:r>
              <w:rPr>
                <w:sz w:val="20"/>
                <w:szCs w:val="20"/>
              </w:rPr>
              <w:t xml:space="preserve">Cuota Inicial</w:t>
            </w:r>
          </w:p>
        </w:tc>
        <w:tc>
          <w:tcPr>
            <w:tcBorders>
              <w:top w:val="single" w:color="64748B" w:sz="12"/>
              <w:left w:val="none"/>
              <w:bottom w:val="single" w:color="64748B" w:sz="12"/>
              <w:right w:val="none"/>
            </w:tcBorders>
          </w:tcPr>
          <w:p>
            <w:pPr>
              <w:jc w:val="center"/>
            </w:pPr>
            <w:r>
              <w:rPr>
                <w:sz w:val="20"/>
                <w:szCs w:val="20"/>
              </w:rPr>
              <w:t xml:space="preserve">15%</w:t>
            </w:r>
          </w:p>
        </w:tc>
        <w:tc>
          <w:tcPr>
            <w:tcBorders>
              <w:top w:val="single" w:color="64748B" w:sz="12"/>
              <w:left w:val="none"/>
              <w:bottom w:val="single" w:color="64748B" w:sz="12"/>
              <w:right w:val="none"/>
            </w:tcBorders>
          </w:tcPr>
          <w:p>
            <w:pPr>
              <w:jc w:val="center"/>
            </w:pPr>
            <w:r>
              <w:rPr>
                <w:sz w:val="20"/>
                <w:szCs w:val="20"/>
              </w:rPr>
              <w:t xml:space="preserve">0-100</w:t>
            </w:r>
          </w:p>
        </w:tc>
        <w:tc>
          <w:tcPr>
            <w:tcBorders>
              <w:top w:val="single" w:color="64748B" w:sz="12"/>
              <w:left w:val="none"/>
              <w:bottom w:val="single" w:color="64748B" w:sz="12"/>
              <w:right w:val="none"/>
            </w:tcBorders>
          </w:tcPr>
          <w:p>
            <w:r>
              <w:rPr>
                <w:sz w:val="20"/>
                <w:szCs w:val="20"/>
              </w:rPr>
              <w:t xml:space="preserve">Cuota mensual inicial en relación a ingresos</w:t>
            </w:r>
          </w:p>
        </w:tc>
      </w:tr>
      <w:tr>
        <w:tc>
          <w:tcPr>
            <w:tcBorders>
              <w:top w:val="single" w:color="64748B" w:sz="12"/>
              <w:left w:val="none"/>
              <w:bottom w:val="single" w:color="64748B" w:sz="12"/>
              <w:right w:val="none"/>
            </w:tcBorders>
          </w:tcPr>
          <w:p>
            <w:r>
              <w:rPr>
                <w:sz w:val="20"/>
                <w:szCs w:val="20"/>
              </w:rPr>
              <w:t xml:space="preserve">Vinculaciones</w:t>
            </w:r>
          </w:p>
        </w:tc>
        <w:tc>
          <w:tcPr>
            <w:tcBorders>
              <w:top w:val="single" w:color="64748B" w:sz="12"/>
              <w:left w:val="none"/>
              <w:bottom w:val="single" w:color="64748B" w:sz="12"/>
              <w:right w:val="none"/>
            </w:tcBorders>
          </w:tcPr>
          <w:p>
            <w:pPr>
              <w:jc w:val="center"/>
            </w:pPr>
            <w:r>
              <w:rPr>
                <w:sz w:val="20"/>
                <w:szCs w:val="20"/>
              </w:rPr>
              <w:t xml:space="preserve">15%</w:t>
            </w:r>
          </w:p>
        </w:tc>
        <w:tc>
          <w:tcPr>
            <w:tcBorders>
              <w:top w:val="single" w:color="64748B" w:sz="12"/>
              <w:left w:val="none"/>
              <w:bottom w:val="single" w:color="64748B" w:sz="12"/>
              <w:right w:val="none"/>
            </w:tcBorders>
          </w:tcPr>
          <w:p>
            <w:pPr>
              <w:jc w:val="center"/>
            </w:pPr>
            <w:r>
              <w:rPr>
                <w:sz w:val="20"/>
                <w:szCs w:val="20"/>
              </w:rPr>
              <w:t xml:space="preserve">0-100</w:t>
            </w:r>
          </w:p>
        </w:tc>
        <w:tc>
          <w:tcPr>
            <w:tcBorders>
              <w:top w:val="single" w:color="64748B" w:sz="12"/>
              <w:left w:val="none"/>
              <w:bottom w:val="single" w:color="64748B" w:sz="12"/>
              <w:right w:val="none"/>
            </w:tcBorders>
          </w:tcPr>
          <w:p>
            <w:r>
              <w:rPr>
                <w:sz w:val="20"/>
                <w:szCs w:val="20"/>
              </w:rPr>
              <w:t xml:space="preserve">Número y coste de productos asociados</w:t>
            </w:r>
          </w:p>
        </w:tc>
      </w:tr>
      <w:tr>
        <w:tc>
          <w:tcPr>
            <w:tcBorders>
              <w:top w:val="single" w:color="64748B" w:sz="12"/>
              <w:left w:val="none"/>
              <w:bottom w:val="single" w:color="64748B" w:sz="12"/>
              <w:right w:val="none"/>
            </w:tcBorders>
          </w:tcPr>
          <w:p>
            <w:r>
              <w:rPr>
                <w:sz w:val="20"/>
                <w:szCs w:val="20"/>
              </w:rPr>
              <w:t xml:space="preserve">Flexibilidad</w:t>
            </w:r>
          </w:p>
        </w:tc>
        <w:tc>
          <w:tcPr>
            <w:tcBorders>
              <w:top w:val="single" w:color="64748B" w:sz="12"/>
              <w:left w:val="none"/>
              <w:bottom w:val="single" w:color="64748B" w:sz="12"/>
              <w:right w:val="none"/>
            </w:tcBorders>
          </w:tcPr>
          <w:p>
            <w:pPr>
              <w:jc w:val="center"/>
            </w:pPr>
            <w:r>
              <w:rPr>
                <w:sz w:val="20"/>
                <w:szCs w:val="20"/>
              </w:rPr>
              <w:t xml:space="preserve">10%</w:t>
            </w:r>
          </w:p>
        </w:tc>
        <w:tc>
          <w:tcPr>
            <w:tcBorders>
              <w:top w:val="single" w:color="64748B" w:sz="12"/>
              <w:left w:val="none"/>
              <w:bottom w:val="single" w:color="64748B" w:sz="12"/>
              <w:right w:val="none"/>
            </w:tcBorders>
          </w:tcPr>
          <w:p>
            <w:pPr>
              <w:jc w:val="center"/>
            </w:pPr>
            <w:r>
              <w:rPr>
                <w:sz w:val="20"/>
                <w:szCs w:val="20"/>
              </w:rPr>
              <w:t xml:space="preserve">0-100</w:t>
            </w:r>
          </w:p>
        </w:tc>
        <w:tc>
          <w:tcPr>
            <w:tcBorders>
              <w:top w:val="single" w:color="64748B" w:sz="12"/>
              <w:left w:val="none"/>
              <w:bottom w:val="single" w:color="64748B" w:sz="12"/>
              <w:right w:val="none"/>
            </w:tcBorders>
          </w:tcPr>
          <w:p>
            <w:r>
              <w:rPr>
                <w:sz w:val="20"/>
                <w:szCs w:val="20"/>
              </w:rPr>
              <w:t xml:space="preserve">Facilidad de amortización anticipada</w:t>
            </w:r>
          </w:p>
        </w:tc>
      </w:tr>
      <w:tr>
        <w:tc>
          <w:tcPr>
            <w:tcBorders>
              <w:top w:val="single" w:color="64748B" w:sz="12"/>
              <w:left w:val="none"/>
              <w:bottom w:val="single" w:color="64748B" w:sz="12"/>
              <w:right w:val="none"/>
            </w:tcBorders>
          </w:tcPr>
          <w:p>
            <w:r>
              <w:rPr>
                <w:sz w:val="20"/>
                <w:szCs w:val="20"/>
              </w:rPr>
              <w:t xml:space="preserve">Riesgo de Tipo</w:t>
            </w:r>
          </w:p>
        </w:tc>
        <w:tc>
          <w:tcPr>
            <w:tcBorders>
              <w:top w:val="single" w:color="64748B" w:sz="12"/>
              <w:left w:val="none"/>
              <w:bottom w:val="single" w:color="64748B" w:sz="12"/>
              <w:right w:val="none"/>
            </w:tcBorders>
          </w:tcPr>
          <w:p>
            <w:pPr>
              <w:jc w:val="center"/>
            </w:pPr>
            <w:r>
              <w:rPr>
                <w:sz w:val="20"/>
                <w:szCs w:val="20"/>
              </w:rPr>
              <w:t xml:space="preserve">10%</w:t>
            </w:r>
          </w:p>
        </w:tc>
        <w:tc>
          <w:tcPr>
            <w:tcBorders>
              <w:top w:val="single" w:color="64748B" w:sz="12"/>
              <w:left w:val="none"/>
              <w:bottom w:val="single" w:color="64748B" w:sz="12"/>
              <w:right w:val="none"/>
            </w:tcBorders>
          </w:tcPr>
          <w:p>
            <w:pPr>
              <w:jc w:val="center"/>
            </w:pPr>
            <w:r>
              <w:rPr>
                <w:sz w:val="20"/>
                <w:szCs w:val="20"/>
              </w:rPr>
              <w:t xml:space="preserve">0-100</w:t>
            </w:r>
          </w:p>
        </w:tc>
        <w:tc>
          <w:tcPr>
            <w:tcBorders>
              <w:top w:val="single" w:color="64748B" w:sz="12"/>
              <w:left w:val="none"/>
              <w:bottom w:val="single" w:color="64748B" w:sz="12"/>
              <w:right w:val="none"/>
            </w:tcBorders>
          </w:tcPr>
          <w:p>
            <w:r>
              <w:rPr>
                <w:sz w:val="20"/>
                <w:szCs w:val="20"/>
              </w:rPr>
              <w:t xml:space="preserve">Incertidumbre en la evolución del tipo</w:t>
            </w:r>
          </w:p>
        </w:tc>
      </w:tr>
      <w:tr>
        <w:tc>
          <w:tcPr>
            <w:tcBorders>
              <w:top w:val="single" w:color="64748B" w:sz="12"/>
              <w:left w:val="none"/>
              <w:bottom w:val="single" w:color="64748B" w:sz="12"/>
              <w:right w:val="none"/>
            </w:tcBorders>
          </w:tcPr>
          <w:p>
            <w:r>
              <w:rPr>
                <w:sz w:val="20"/>
                <w:szCs w:val="20"/>
              </w:rPr>
              <w:t xml:space="preserve">Claridad</w:t>
            </w:r>
          </w:p>
        </w:tc>
        <w:tc>
          <w:tcPr>
            <w:tcBorders>
              <w:top w:val="single" w:color="64748B" w:sz="12"/>
              <w:left w:val="none"/>
              <w:bottom w:val="single" w:color="64748B" w:sz="12"/>
              <w:right w:val="none"/>
            </w:tcBorders>
          </w:tcPr>
          <w:p>
            <w:pPr>
              <w:jc w:val="center"/>
            </w:pPr>
            <w:r>
              <w:rPr>
                <w:sz w:val="20"/>
                <w:szCs w:val="20"/>
              </w:rPr>
              <w:t xml:space="preserve">10%</w:t>
            </w:r>
          </w:p>
        </w:tc>
        <w:tc>
          <w:tcPr>
            <w:tcBorders>
              <w:top w:val="single" w:color="64748B" w:sz="12"/>
              <w:left w:val="none"/>
              <w:bottom w:val="single" w:color="64748B" w:sz="12"/>
              <w:right w:val="none"/>
            </w:tcBorders>
          </w:tcPr>
          <w:p>
            <w:pPr>
              <w:jc w:val="center"/>
            </w:pPr>
            <w:r>
              <w:rPr>
                <w:sz w:val="20"/>
                <w:szCs w:val="20"/>
              </w:rPr>
              <w:t xml:space="preserve">0-100</w:t>
            </w:r>
          </w:p>
        </w:tc>
        <w:tc>
          <w:tcPr>
            <w:tcBorders>
              <w:top w:val="single" w:color="64748B" w:sz="12"/>
              <w:left w:val="none"/>
              <w:bottom w:val="single" w:color="64748B" w:sz="12"/>
              <w:right w:val="none"/>
            </w:tcBorders>
          </w:tcPr>
          <w:p>
            <w:r>
              <w:rPr>
                <w:sz w:val="20"/>
                <w:szCs w:val="20"/>
              </w:rPr>
              <w:t xml:space="preserve">Transparencia de condiciones publicadas</w:t>
            </w:r>
          </w:p>
        </w:tc>
      </w:tr>
      <w:tr>
        <w:tc>
          <w:tcPr>
            <w:tcBorders>
              <w:top w:val="single" w:color="64748B" w:sz="12"/>
              <w:left w:val="none"/>
              <w:bottom w:val="single" w:color="64748B" w:sz="12"/>
              <w:right w:val="none"/>
            </w:tcBorders>
          </w:tcPr>
          <w:p>
            <w:r>
              <w:rPr>
                <w:sz w:val="20"/>
                <w:szCs w:val="20"/>
              </w:rPr>
              <w:t xml:space="preserve">Confianza</w:t>
            </w:r>
          </w:p>
        </w:tc>
        <w:tc>
          <w:tcPr>
            <w:tcBorders>
              <w:top w:val="single" w:color="64748B" w:sz="12"/>
              <w:left w:val="none"/>
              <w:bottom w:val="single" w:color="64748B" w:sz="12"/>
              <w:right w:val="none"/>
            </w:tcBorders>
          </w:tcPr>
          <w:p>
            <w:pPr>
              <w:jc w:val="center"/>
            </w:pPr>
            <w:r>
              <w:rPr>
                <w:sz w:val="20"/>
                <w:szCs w:val="20"/>
              </w:rPr>
              <w:t xml:space="preserve">10%</w:t>
            </w:r>
          </w:p>
        </w:tc>
        <w:tc>
          <w:tcPr>
            <w:tcBorders>
              <w:top w:val="single" w:color="64748B" w:sz="12"/>
              <w:left w:val="none"/>
              <w:bottom w:val="single" w:color="64748B" w:sz="12"/>
              <w:right w:val="none"/>
            </w:tcBorders>
          </w:tcPr>
          <w:p>
            <w:pPr>
              <w:jc w:val="center"/>
            </w:pPr>
            <w:r>
              <w:rPr>
                <w:sz w:val="20"/>
                <w:szCs w:val="20"/>
              </w:rPr>
              <w:t xml:space="preserve">0-100</w:t>
            </w:r>
          </w:p>
        </w:tc>
        <w:tc>
          <w:tcPr>
            <w:tcBorders>
              <w:top w:val="single" w:color="64748B" w:sz="12"/>
              <w:left w:val="none"/>
              <w:bottom w:val="single" w:color="64748B" w:sz="12"/>
              <w:right w:val="none"/>
            </w:tcBorders>
          </w:tcPr>
          <w:p>
            <w:r>
              <w:rPr>
                <w:sz w:val="20"/>
                <w:szCs w:val="20"/>
              </w:rPr>
              <w:t xml:space="preserve">Fiabilidad y frescura de la fuente</w:t>
            </w:r>
          </w:p>
        </w:tc>
      </w:tr>
      <w:tr>
        <w:tc>
          <w:tcPr>
            <w:tcBorders>
              <w:top w:val="single" w:color="64748B" w:sz="12"/>
              <w:left w:val="none"/>
              <w:bottom w:val="single" w:color="64748B" w:sz="12"/>
              <w:right w:val="none"/>
            </w:tcBorders>
          </w:tcPr>
          <w:p>
            <w:r>
              <w:rPr>
                <w:sz w:val="20"/>
                <w:szCs w:val="20"/>
              </w:rPr>
              <w:t xml:space="preserve">Adecuación</w:t>
            </w:r>
          </w:p>
        </w:tc>
        <w:tc>
          <w:tcPr>
            <w:tcBorders>
              <w:top w:val="single" w:color="64748B" w:sz="12"/>
              <w:left w:val="none"/>
              <w:bottom w:val="single" w:color="64748B" w:sz="12"/>
              <w:right w:val="none"/>
            </w:tcBorders>
          </w:tcPr>
          <w:p>
            <w:pPr>
              <w:jc w:val="center"/>
            </w:pPr>
            <w:r>
              <w:rPr>
                <w:sz w:val="20"/>
                <w:szCs w:val="20"/>
              </w:rPr>
              <w:t xml:space="preserve">5%</w:t>
            </w:r>
          </w:p>
        </w:tc>
        <w:tc>
          <w:tcPr>
            <w:tcBorders>
              <w:top w:val="single" w:color="64748B" w:sz="12"/>
              <w:left w:val="none"/>
              <w:bottom w:val="single" w:color="64748B" w:sz="12"/>
              <w:right w:val="none"/>
            </w:tcBorders>
          </w:tcPr>
          <w:p>
            <w:pPr>
              <w:jc w:val="center"/>
            </w:pPr>
            <w:r>
              <w:rPr>
                <w:sz w:val="20"/>
                <w:szCs w:val="20"/>
              </w:rPr>
              <w:t xml:space="preserve">0-100</w:t>
            </w:r>
          </w:p>
        </w:tc>
        <w:tc>
          <w:tcPr>
            <w:tcBorders>
              <w:top w:val="single" w:color="64748B" w:sz="12"/>
              <w:left w:val="none"/>
              <w:bottom w:val="single" w:color="64748B" w:sz="12"/>
              <w:right w:val="none"/>
            </w:tcBorders>
          </w:tcPr>
          <w:p>
            <w:r>
              <w:rPr>
                <w:sz w:val="20"/>
                <w:szCs w:val="20"/>
              </w:rPr>
              <w:t xml:space="preserve">Compatibilidad con preferencias del usuario</w:t>
            </w:r>
          </w:p>
        </w:tc>
      </w:tr>
    </w:tbl>
    <w:p>
      <w:pPr>
        <w:spacing w:after="300" w:before="100"/>
        <w:jc w:val="center"/>
      </w:pPr>
      <w:r>
        <w:rPr>
          <w:i/>
          <w:iCs/>
          <w:color w:val="64748B"/>
          <w:sz w:val="18"/>
          <w:szCs w:val="18"/>
        </w:rPr>
        <w:t xml:space="preserve">Tabla 6: Factores de puntuación y sus pesos base</w:t>
      </w:r>
    </w:p>
    <w:p>
      <w:pPr>
        <w:pStyle w:val="Heading2"/>
      </w:pPr>
      <w:r>
        <w:t xml:space="preserve">4.3 Algoritmos de Puntuación por Factor</w:t>
      </w:r>
    </w:p>
    <w:p>
      <w:pPr>
        <w:pStyle w:val="Heading3"/>
      </w:pPr>
      <w:r>
        <w:t xml:space="preserve">4.3.1 Puntuación de Coste Total</w:t>
      </w:r>
    </w:p>
    <w:p>
      <w:pPr>
        <w:spacing w:after="200"/>
      </w:pPr>
      <w:r>
        <w:rPr>
          <w:rFonts w:ascii="Times New Roman" w:cs="Times New Roman" w:eastAsia="Times New Roman" w:hAnsi="Times New Roman"/>
          <w:color w:val="1E293B"/>
          <w:sz w:val="24"/>
          <w:szCs w:val="24"/>
        </w:rPr>
        <w:t xml:space="preserve">El coste total se calcula como la suma del capital prestado, los intereses totales durante la vida del préstamo, y todas las comisiones aplicables. Para hipotecas variables y mixtas, se utiliza el escenario base (Euríbor actual) para el cálculo. La puntuación se asigna mediante normalización relativa: la oferta con menor coste total recibe 100 puntos, y las demás reciben puntos proporcionalmente inversos a su coste. Este enfoque permite comparar objetivamente ofertas de diferente cuantía y plazo.</w:t>
      </w:r>
    </w:p>
    <w:p>
      <w:pPr>
        <w:pStyle w:val="Heading3"/>
      </w:pPr>
      <w:r>
        <w:t xml:space="preserve">4.3.2 Puntuación de Vinculaciones</w:t>
      </w:r>
    </w:p>
    <w:p>
      <w:pPr>
        <w:spacing w:after="200"/>
      </w:pPr>
      <w:r>
        <w:rPr>
          <w:rFonts w:ascii="Times New Roman" w:cs="Times New Roman" w:eastAsia="Times New Roman" w:hAnsi="Times New Roman"/>
          <w:color w:val="1E293B"/>
          <w:sz w:val="24"/>
          <w:szCs w:val="24"/>
        </w:rPr>
        <w:t xml:space="preserve">El factor de vinculaciones evalúa tanto el número de productos requeridos como su coste estimado. Una hipoteca sin bonificaciones recibe 100 puntos. Por cada producto vinculado, se restan puntos según una escala: domiciliación de nómina (-5 puntos), seguro de hogar (-10 puntos), seguro de vida (-10 puntos), plan de pensiones (-15 puntos), uso de tarjeta (-5 puntos). Adicionalmente, se penaliza el coste estimado de estos productos: por cada 100€ anuales de coste, se restan 5 puntos adicionales. Este algoritmo premia las hipotecas con bonificaciones fáciles de conseguir y penaliza aquellas que requieren un gasto significativo en productos asociados.</w:t>
      </w:r>
    </w:p>
    <w:p>
      <w:pPr>
        <w:pStyle w:val="Heading3"/>
      </w:pPr>
      <w:r>
        <w:t xml:space="preserve">4.3.3 Puntuación de Riesgo de Tipo</w:t>
      </w:r>
    </w:p>
    <w:p>
      <w:pPr>
        <w:spacing w:after="200"/>
      </w:pPr>
      <w:r>
        <w:rPr>
          <w:rFonts w:ascii="Times New Roman" w:cs="Times New Roman" w:eastAsia="Times New Roman" w:hAnsi="Times New Roman"/>
          <w:color w:val="1E293B"/>
          <w:sz w:val="24"/>
          <w:szCs w:val="24"/>
        </w:rPr>
        <w:t xml:space="preserve">Este factor es especialmente importante para hipotecas variables y mixtas. Las hipotecas fijas reciben automáticamente 100 puntos por estabilidad. Las variables se puntúan según el diferencial sobre Euríbor: a menor diferencial, menor riesgo de que las subidas de tipos impacten severamente. Las mixtas reciben una puntuación intermedia proporcional a la duración del tramo fijo: 5 años de tramo fijo podrían recibir 60 puntos, 10 años 80 puntos, 15 años 90 puntos. El cálculo considera también el escenario adverso proyectado: se simula un incremento del Euríbor de 2 puntos porcentuales y se evalúa el impacto en la cuota.</w:t>
      </w:r>
    </w:p>
    <w:p>
      <w:pPr>
        <w:pStyle w:val="Heading2"/>
      </w:pPr>
      <w:r>
        <w:t xml:space="preserve">4.4 Ajuste de Pesos por Perfil</w:t>
      </w:r>
    </w:p>
    <w:p>
      <w:pPr>
        <w:spacing w:after="200"/>
      </w:pPr>
      <w:r>
        <w:rPr>
          <w:rFonts w:ascii="Times New Roman" w:cs="Times New Roman" w:eastAsia="Times New Roman" w:hAnsi="Times New Roman"/>
          <w:color w:val="1E293B"/>
          <w:sz w:val="24"/>
          <w:szCs w:val="24"/>
        </w:rPr>
        <w:t xml:space="preserve">Los pesos base se ajustan según las características del usuario para personalizar el ranking. Los principales ajustes incluyen: si el usuario tiene tolerancia al riesgo ALTA, el peso de Riesgo de Tipo se reduce al 5% y el de Cuota Inicial aumenta al 20%; si el usuario prefiere menor cuota inicial sobre menor coste total, el peso de Cuota Inicial aumenta al 25% y Coste Total se reduce al 15%; si el usuario no acepta vinculaciones, el peso de Vinculaciones aumenta al 25% y se filtran ofertas que las requieren; y si el usuario planea amortizar anticipadamente, el peso de Flexibilidad aumenta al 20% y se evalúan las comisiones de amortización parcial.</w:t>
      </w:r>
    </w:p>
    <w:p>
      <w:pPr>
        <w:pStyle w:val="Heading1"/>
      </w:pPr>
      <w:r>
        <w:t xml:space="preserve">5. Motor de Cálculo Financiero</w:t>
      </w:r>
    </w:p>
    <w:p>
      <w:pPr>
        <w:pStyle w:val="Heading2"/>
      </w:pPr>
      <w:r>
        <w:t xml:space="preserve">5.1 Fórmulas Principales</w:t>
      </w:r>
    </w:p>
    <w:p>
      <w:pPr>
        <w:spacing w:after="200"/>
      </w:pPr>
      <w:r>
        <w:rPr>
          <w:rFonts w:ascii="Times New Roman" w:cs="Times New Roman" w:eastAsia="Times New Roman" w:hAnsi="Times New Roman"/>
          <w:color w:val="1E293B"/>
          <w:sz w:val="24"/>
          <w:szCs w:val="24"/>
        </w:rPr>
        <w:t xml:space="preserve">El motor de cálculo implementa las fórmulas financieras estándar del sistema de amortización francés, que es el predominante en hipotecas españolas. La cuota mensual se calcula mediante la fórmula de anualidad, donde P es el principal, r es el tipo de interés mensual y n es el número de pagos. Para el cálculo de intereses de cada período, se aplica la fórmula de interés sobre capital vivo. El capital amortizado es la diferencia entre la cuota y los intereses del período.</w:t>
      </w:r>
    </w:p>
    <w:p>
      <w:pPr>
        <w:pStyle w:val="Heading2"/>
      </w:pPr>
      <w:r>
        <w:t xml:space="preserve">5.2 Cálculo de TAE Estimada</w:t>
      </w:r>
    </w:p>
    <w:p>
      <w:pPr>
        <w:spacing w:after="200"/>
      </w:pPr>
      <w:r>
        <w:rPr>
          <w:rFonts w:ascii="Times New Roman" w:cs="Times New Roman" w:eastAsia="Times New Roman" w:hAnsi="Times New Roman"/>
          <w:color w:val="1E293B"/>
          <w:sz w:val="24"/>
          <w:szCs w:val="24"/>
        </w:rPr>
        <w:t xml:space="preserve">La Tasa Anual Equivalente (TAE) se calcula según la normativa europea, utilizando la fórmula de la Tasa Interna de Retorno (TIR) que iguala el valor presente de todos los flujos de caja con el importe prestado. Los flujos incluyen: cuotas mensuales, comisiones de apertura (pagadas al inicio), y gastos de tasación y otros costes iniciales. Para hipotecas variables, la TAE se calcula asumiendo que los tipos de referencia se mantienen constantes durante la vida del préstamo, lo cual es un supuesto regulatorio estándar pero debe comunicarse como una estimación.</w:t>
      </w:r>
    </w:p>
    <w:p>
      <w:pPr>
        <w:pStyle w:val="Heading2"/>
      </w:pPr>
      <w:r>
        <w:t xml:space="preserve">5.3 Simulación de Escenarios</w:t>
      </w:r>
    </w:p>
    <w:p>
      <w:pPr>
        <w:spacing w:after="200"/>
      </w:pPr>
      <w:r>
        <w:rPr>
          <w:rFonts w:ascii="Times New Roman" w:cs="Times New Roman" w:eastAsia="Times New Roman" w:hAnsi="Times New Roman"/>
          <w:color w:val="1E293B"/>
          <w:sz w:val="24"/>
          <w:szCs w:val="24"/>
        </w:rPr>
        <w:t xml:space="preserve">Para hipotecas variables y mixtas, el motor genera tres escenarios que permiten al usuario evaluar el riesgo de tipo. El escenario base utiliza el Euríbor actual publicado por el Banco de España. El escenario conservador asume un incremento del Euríbor de 1 punto porcentual durante los primeros 3 años, estabilizándose después. El escenario adverso asume un incremento de 2 puntos porcentuales durante los primeros 5 años. Para cada escenario, se calcula la evolución de la cuota, el coste total, y se generan alertas si el ratio cuota/ingresos supera el 35% en algún momento.</w:t>
      </w:r>
    </w:p>
    <w:p>
      <w:pPr>
        <w:pStyle w:val="Heading1"/>
      </w:pPr>
      <w:r>
        <w:t xml:space="preserve">6. Sistema de Validación y Reglas de Negocio</w:t>
      </w:r>
    </w:p>
    <w:p>
      <w:pPr>
        <w:pStyle w:val="Heading2"/>
      </w:pPr>
      <w:r>
        <w:t xml:space="preserve">6.1 Validaciones de Elegibilidad</w:t>
      </w:r>
    </w:p>
    <w:p>
      <w:pPr>
        <w:spacing w:after="200"/>
      </w:pPr>
      <w:r>
        <w:rPr>
          <w:rFonts w:ascii="Times New Roman" w:cs="Times New Roman" w:eastAsia="Times New Roman" w:hAnsi="Times New Roman"/>
          <w:color w:val="1E293B"/>
          <w:sz w:val="24"/>
          <w:szCs w:val="24"/>
        </w:rPr>
        <w:t xml:space="preserve">El sistema implementa un conjunto de validaciones que determinan si el usuario es elegible para una oferta específica. Las validaciones principales incluyen: ratio de endeudamiento máximo (cuota + deudas existentes no debe superar el 35-40% de ingresos netos), LTV máximo permitido por la oferta (el porcentaje de financiación solicitado no puede exceder el máximo de la oferta), ahorro mínimo necesario (el usuario debe tener al menos el 20% del valor de compra no financiado más un 10-12% para gastos), y requisitos de antigüedad laboral (mínimo 6 meses para asalariados fijos, 2 años para autónomos). Cada validación genera un mensaje de error o advertencia específico que se muestra al usuario.</w:t>
      </w:r>
    </w:p>
    <w:p>
      <w:pPr>
        <w:pStyle w:val="Heading2"/>
      </w:pPr>
      <w:r>
        <w:t xml:space="preserve">6.2 Mensajes y Advertencias</w:t>
      </w:r>
    </w:p>
    <w:p>
      <w:pPr>
        <w:spacing w:after="200"/>
      </w:pPr>
      <w:r>
        <w:rPr>
          <w:rFonts w:ascii="Times New Roman" w:cs="Times New Roman" w:eastAsia="Times New Roman" w:hAnsi="Times New Roman"/>
          <w:color w:val="1E293B"/>
          <w:sz w:val="24"/>
          <w:szCs w:val="24"/>
        </w:rPr>
        <w:t xml:space="preserve">El sistema genera mensajes informativos y advertencias que ayudan al usuario a entender las limitaciones y riesgos de cada oferta. Los tipos de mensaje incluyen: errores de elegibilidad (el usuario no cumple requisitos mínimos), advertencias de riesgo (el ratio cuota/ingresos es alto, la oferta tiene comisiones significativas, el dato está desactualizado), sugerencias de optimización (convendría más entrada, podría reducir plazo), e información sobre alternativas (otras ofertas con mejor puntuación en algún factor específico). Todos los mensajes son contextuales y específicos al perfil del usuario.</w:t>
      </w:r>
    </w:p>
    <w:p>
      <w:pPr>
        <w:pStyle w:val="Heading1"/>
      </w:pPr>
      <w:r>
        <w:t xml:space="preserve">7. Conclusiones y Consideraciones de Implementación</w:t>
      </w:r>
    </w:p>
    <w:p>
      <w:pPr>
        <w:spacing w:after="200"/>
      </w:pPr>
      <w:r>
        <w:rPr>
          <w:rFonts w:ascii="Times New Roman" w:cs="Times New Roman" w:eastAsia="Times New Roman" w:hAnsi="Times New Roman"/>
          <w:color w:val="1E293B"/>
          <w:sz w:val="24"/>
          <w:szCs w:val="24"/>
        </w:rPr>
        <w:t xml:space="preserve">El modelo de datos y el sistema de scoring propuestos constituyen una base sólida para implementar un comparador hipotecario profesional y transparente. La arquitectura de entidades permite representar de forma unificada la diversidad de productos hipotecarios del mercado español, mientras que el sistema de scoring ofrece ordenaciones significativas y explicables. La inclusión de metadatos de trazabilidad en cada dato garantiza la transparencia que diferencia a este comparador de otros en el mercado.</w:t>
      </w:r>
    </w:p>
    <w:p>
      <w:pPr>
        <w:spacing w:after="200"/>
      </w:pPr>
      <w:r>
        <w:rPr>
          <w:rFonts w:ascii="Times New Roman" w:cs="Times New Roman" w:eastAsia="Times New Roman" w:hAnsi="Times New Roman"/>
          <w:color w:val="1E293B"/>
          <w:sz w:val="24"/>
          <w:szCs w:val="24"/>
        </w:rPr>
        <w:t xml:space="preserve">Las consideraciones clave para la implementación incluyen: utilizar Zod o un esquema similar para validación en tiempo de ejecución, implementar el motor de cálculo como funciones puras para facilitar los tests, cachear los resultados de cálculos costosos (amortización completa), y diseñar la UI para mostrar siempre la trazabilidad de cada dato. El siguiente paso es definir los flujos UX y las pantallas que permitirán al usuario interactuar con este modelo de datos de forma intuitiva y eficiente.</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Página </w:t>
    </w:r>
    <w:r>
      <w:rPr>
        <w:sz w:val="18"/>
        <w:szCs w:val="18"/>
      </w:rPr>
      <w:fldChar w:fldCharType="begin"/>
      <w:instrText xml:space="preserve">PAGE</w:instrText>
      <w:fldChar w:fldCharType="separate"/>
      <w:fldChar w:fldCharType="end"/>
    </w:r>
    <w:r>
      <w:rPr>
        <w:sz w:val="18"/>
        <w:szCs w:val="18"/>
      </w:rPr>
      <w:t xml:space="preserve"> de </w:t>
    </w:r>
    <w:r>
      <w:rPr>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4A3B8"/>
        <w:sz w:val="18"/>
        <w:szCs w:val="18"/>
      </w:rPr>
      <w:t xml:space="preserve">Modelo de Datos y Scoring - Comparador Hipotecario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240"/>
      <w:jc w:val="center"/>
    </w:pPr>
    <w:rPr>
      <w:rFonts w:ascii="Times New Roman" w:cs="Times New Roman" w:eastAsia="Times New Roman" w:hAnsi="Times New Roman"/>
      <w:b/>
      <w:bCs/>
      <w:color w:val="020617"/>
      <w:sz w:val="56"/>
      <w:szCs w:val="56"/>
    </w:rPr>
  </w:style>
  <w:style w:type="paragraph" w:styleId="Heading1">
    <w:name w:val="Heading 1"/>
    <w:basedOn w:val="Normal"/>
    <w:next w:val="Normal"/>
    <w:qFormat/>
    <w:pPr>
      <w:spacing w:after="200" w:before="4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150" w:before="300"/>
      <w:outlineLvl w:val="1"/>
    </w:pPr>
    <w:rPr>
      <w:rFonts w:ascii="Times New Roman" w:cs="Times New Roman" w:eastAsia="Times New Roman" w:hAnsi="Times New Roman"/>
      <w:b/>
      <w:bCs/>
      <w:color w:val="020617"/>
      <w:sz w:val="28"/>
      <w:szCs w:val="28"/>
    </w:rPr>
  </w:style>
  <w:style w:type="paragraph" w:styleId="Heading3">
    <w:name w:val="Heading 3"/>
    <w:basedOn w:val="Normal"/>
    <w:next w:val="Normal"/>
    <w:qFormat/>
    <w:pPr>
      <w:spacing w:after="100" w:before="200"/>
      <w:outlineLvl w:val="2"/>
    </w:pPr>
    <w:rPr>
      <w:rFonts w:ascii="Times New Roman" w:cs="Times New Roman" w:eastAsia="Times New Roman" w:hAnsi="Times New Roman"/>
      <w:b/>
      <w:bCs/>
      <w:color w:val="1E293B"/>
      <w:sz w:val="24"/>
      <w:szCs w:val="24"/>
    </w:rPr>
  </w:style>
  <w:style w:type="paragraph" w:styleId="CodeBlock">
    <w:name w:val="Code Block"/>
    <w:basedOn w:val="Normal"/>
    <w:pPr>
      <w:spacing w:after="100" w:before="100"/>
    </w:pPr>
    <w:rPr>
      <w:rFonts w:ascii="Courier New" w:cs="Courier New" w:eastAsia="Courier New" w:hAnsi="Courier New"/>
      <w:color w:val="1E293B"/>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2026-03-27T10:26:15.531Z</dcterms:created>
  <dcterms:modified xsi:type="dcterms:W3CDTF">2026-03-27T10:26:15.531Z</dcterms:modified>
</cp:coreProperties>
</file>

<file path=docProps/custom.xml><?xml version="1.0" encoding="utf-8"?>
<Properties xmlns="http://schemas.openxmlformats.org/officeDocument/2006/custom-properties" xmlns:vt="http://schemas.openxmlformats.org/officeDocument/2006/docPropsVTypes"/>
</file>