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48"/>
          <w:szCs w:val="48"/>
        </w:rPr>
        <w:t xml:space="preserve">SITEMAP, FLUJOS UX Y PANTALLAS</w:t>
      </w:r>
    </w:p>
    <w:p>
      <w:pPr>
        <w:spacing w:before="400"/>
      </w:pPr>
    </w:p>
    <w:p>
      <w:pPr>
        <w:jc w:val="center"/>
      </w:pPr>
      <w:r>
        <w:rPr>
          <w:rFonts w:ascii="Times New Roman" w:cs="Times New Roman" w:eastAsia="Times New Roman" w:hAnsi="Times New Roman"/>
          <w:color w:val="64748B"/>
          <w:sz w:val="36"/>
          <w:szCs w:val="36"/>
        </w:rPr>
        <w:t xml:space="preserve">Comparador Hipotecario Profesional para España</w:t>
      </w:r>
    </w:p>
    <w:p>
      <w:pPr>
        <w:spacing w:before="800"/>
      </w:pPr>
    </w:p>
    <w:p>
      <w:pPr>
        <w:jc w:val="center"/>
      </w:pPr>
      <w:r>
        <w:rPr>
          <w:rFonts w:ascii="Times New Roman" w:cs="Times New Roman" w:eastAsia="Times New Roman" w:hAnsi="Times New Roman"/>
          <w:color w:val="1E293B"/>
          <w:sz w:val="24"/>
          <w:szCs w:val="24"/>
        </w:rPr>
        <w:t xml:space="preserve">Diseño de navegación, flujos de usuario y especificación de interfaces</w:t>
      </w:r>
    </w:p>
    <w:p>
      <w:pPr>
        <w:spacing w:before="2000"/>
      </w:pPr>
    </w:p>
    <w:p>
      <w:pPr>
        <w:jc w:val="center"/>
      </w:pPr>
      <w:r>
        <w:rPr>
          <w:rFonts w:ascii="Times New Roman" w:cs="Times New Roman" w:eastAsia="Times New Roman" w:hAnsi="Times New Roman"/>
          <w:color w:val="94A3B8"/>
          <w:sz w:val="22"/>
          <w:szCs w:val="22"/>
        </w:rPr>
        <w:t xml:space="preserve">Documento de Diseño UX - Fase 3</w:t>
      </w:r>
    </w:p>
    <w:p>
      <w:pPr>
        <w:jc w:val="center"/>
      </w:pPr>
      <w:r>
        <w:rPr>
          <w:rFonts w:ascii="Times New Roman" w:cs="Times New Roman" w:eastAsia="Times New Roman" w:hAnsi="Times New Roman"/>
          <w:color w:val="94A3B8"/>
          <w:sz w:val="22"/>
          <w:szCs w:val="22"/>
        </w:rPr>
        <w:t xml:space="preserve">27 de marzo de 2026</w:t>
      </w:r>
    </w:p>
    <w:p>
      <w:r>
        <w:br w:type="page"/>
      </w:r>
    </w:p>
    <w:p>
      <w:pPr>
        <w:sectPr>
          <w:pgSz w:w="11906" w:h="16838" w:orient="portrait"/>
          <w:pgMar w:top="0" w:right="0" w:bottom="0" w:left="0" w:header="708" w:footer="708" w:gutter="0"/>
          <w:pgNumType/>
          <w:docGrid w:linePitch="360"/>
        </w:sectPr>
      </w:pPr>
    </w:p>
    <w:sdt>
      <w:sdtPr>
        <w:alias w:val="Índice de Contenidos"/>
      </w:sdtPr>
      <w:sdtContent>
        <w:p>
          <w:r>
            <w:fldChar w:fldCharType="begin" w:dirty="true"/>
            <w:instrText xml:space="preserve">TOC \h \o "1-3"</w:instrText>
            <w:fldChar w:fldCharType="separate"/>
          </w:r>
        </w:p>
        <w:p>
          <w:pPr>
            <w:pStyle w:val="9"/>
            <w:tabs>
              <w:tab w:val="right" w:leader="dot" w:pos="9026"/>
            </w:tabs>
          </w:pPr>
          <w:r>
            <w:t>1. Sitemap de la Aplicación</w:t>
          </w:r>
          <w:r>
            <w:tab/>
          </w:r>
          <w:r>
            <w:t>3</w:t>
          </w:r>
        </w:p>
        <w:p>
          <w:pPr>
            <w:pStyle w:val="11"/>
            <w:ind w:left="360"/>
            <w:tabs>
              <w:tab w:val="right" w:leader="dot" w:pos="9026"/>
            </w:tabs>
          </w:pPr>
          <w:r>
            <w:t>1.1 Estructura Principal</w:t>
          </w:r>
          <w:r>
            <w:tab/>
          </w:r>
          <w:r>
            <w:t>3</w:t>
          </w:r>
        </w:p>
        <w:p>
          <w:pPr>
            <w:pStyle w:val="9"/>
            <w:tabs>
              <w:tab w:val="right" w:leader="dot" w:pos="9026"/>
            </w:tabs>
          </w:pPr>
          <w:r>
            <w:t>2. Flujos de Usuario Principales</w:t>
          </w:r>
          <w:r>
            <w:tab/>
          </w:r>
          <w:r>
            <w:t>4</w:t>
          </w:r>
        </w:p>
        <w:p>
          <w:pPr>
            <w:pStyle w:val="11"/>
            <w:ind w:left="360"/>
            <w:tabs>
              <w:tab w:val="right" w:leader="dot" w:pos="9026"/>
            </w:tabs>
          </w:pPr>
          <w:r>
            <w:t>2.1 Flujo de Captura de Perfil</w:t>
          </w:r>
          <w:r>
            <w:tab/>
          </w:r>
          <w:r>
            <w:t>4</w:t>
          </w:r>
        </w:p>
        <w:p>
          <w:pPr>
            <w:pStyle w:val="11"/>
            <w:ind w:left="360"/>
            <w:tabs>
              <w:tab w:val="right" w:leader="dot" w:pos="9026"/>
            </w:tabs>
          </w:pPr>
          <w:r>
            <w:t>2.2 Flujo de Comparación de Ofertas</w:t>
          </w:r>
          <w:r>
            <w:tab/>
          </w:r>
          <w:r>
            <w:t>5</w:t>
          </w:r>
        </w:p>
        <w:p>
          <w:pPr>
            <w:pStyle w:val="9"/>
            <w:tabs>
              <w:tab w:val="right" w:leader="dot" w:pos="9026"/>
            </w:tabs>
          </w:pPr>
          <w:r>
            <w:t>3. Especificación de Pantallas Principales</w:t>
          </w:r>
          <w:r>
            <w:tab/>
          </w:r>
          <w:r>
            <w:t>6</w:t>
          </w:r>
        </w:p>
        <w:p>
          <w:pPr>
            <w:pStyle w:val="9"/>
            <w:tabs>
              <w:tab w:val="right" w:leader="dot" w:pos="9026"/>
            </w:tabs>
          </w:pPr>
          <w:r>
            <w:t>4. Componentes de UI Específicos</w:t>
          </w:r>
          <w:r>
            <w:tab/>
          </w:r>
          <w:r>
            <w:t>9</w:t>
          </w:r>
        </w:p>
        <w:p>
          <w:pPr>
            <w:pStyle w:val="9"/>
            <w:tabs>
              <w:tab w:val="right" w:leader="dot" w:pos="9026"/>
            </w:tabs>
          </w:pPr>
          <w:r>
            <w:t>5. Consideraciones Responsive</w:t>
          </w:r>
          <w:r>
            <w:tab/>
          </w:r>
          <w:r>
            <w:t>11</w:t>
          </w:r>
        </w:p>
        <w:p>
          <w:pPr>
            <w:pStyle w:val="9"/>
            <w:tabs>
              <w:tab w:val="right" w:leader="dot" w:pos="9026"/>
            </w:tabs>
          </w:pPr>
          <w:r>
            <w:t>6. Próximos Pasos</w:t>
          </w:r>
          <w:r>
            <w:tab/>
          </w:r>
          <w:r>
            <w:t>12</w:t>
          </w:r>
        </w:p>
        <w:p>
          <w:r>
            <w:fldChar w:fldCharType="end"/>
          </w:r>
        </w:p>
      </w:sdtContent>
    </w:sdt>
    <w:p>
      <w:pPr>
        <w:jc w:val="center"/>
      </w:pPr>
      <w:r>
        <w:rPr>
          <w:color w:val="999999"/>
          <w:sz w:val="18"/>
          <w:szCs w:val="18"/>
        </w:rPr>
        <w:t xml:space="preserve">Nota: Este índice se genera mediante códigos de campo. Para actualizar los números de página, haga clic derecho sobre el índice y seleccione "Actualizar campo".</w:t>
      </w:r>
    </w:p>
    <w:p>
      <w:r>
        <w:br w:type="page"/>
      </w:r>
    </w:p>
    <w:p>
      <w:pPr>
        <w:pStyle w:val="Heading1"/>
      </w:pPr>
      <w:r>
        <w:t xml:space="preserve">1. Sitemap de la Aplicación</w:t>
      </w:r>
    </w:p>
    <w:p>
      <w:pPr>
        <w:spacing w:after="200"/>
      </w:pPr>
      <w:r>
        <w:rPr>
          <w:rFonts w:ascii="Times New Roman" w:cs="Times New Roman" w:eastAsia="Times New Roman" w:hAnsi="Times New Roman"/>
          <w:color w:val="1E293B"/>
          <w:sz w:val="24"/>
          <w:szCs w:val="24"/>
        </w:rPr>
        <w:t xml:space="preserve">El sitemap define la estructura de navegación completa de la aplicación, organizando las diferentes secciones y su jerarquía. La navegación está diseñada para ser intuitiva, minimizando la profundidad de la jerarquía y permitiendo al usuario acceder a cualquier funcionalidad en máximo 3 clics desde la página de inicio.</w:t>
      </w:r>
    </w:p>
    <w:p>
      <w:pPr>
        <w:pStyle w:val="Heading2"/>
      </w:pPr>
      <w:r>
        <w:t xml:space="preserve">1.1 Estructura Principal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000"/>
        <w:gridCol w:w="3360"/>
      </w:tblGrid>
      <w:tr>
        <w:trPr>
          <w:tblHeader/>
        </w:trPr>
        <w:tc>
          <w:tcPr>
            <w:tcBorders>
              <w:top w:val="single" w:color="64748B" w:sz="12"/>
              <w:left w:val="none"/>
              <w:bottom w:val="single" w:color="64748B" w:sz="12"/>
              <w:right w:val="none"/>
            </w:tcBorders>
            <w:shd w:fill="E2E8F0" w:val="clear"/>
          </w:tcPr>
          <w:p>
            <w:pPr>
              <w:jc w:val="center"/>
            </w:pPr>
            <w:r>
              <w:rPr>
                <w:b/>
                <w:bCs/>
                <w:sz w:val="22"/>
                <w:szCs w:val="22"/>
              </w:rPr>
              <w:t xml:space="preserve">Ruta</w:t>
            </w:r>
          </w:p>
        </w:tc>
        <w:tc>
          <w:tcPr>
            <w:tcBorders>
              <w:top w:val="single" w:color="64748B" w:sz="12"/>
              <w:left w:val="none"/>
              <w:bottom w:val="single" w:color="64748B" w:sz="12"/>
              <w:right w:val="none"/>
            </w:tcBorders>
            <w:shd w:fill="E2E8F0" w:val="clear"/>
          </w:tcPr>
          <w:p>
            <w:pPr>
              <w:jc w:val="center"/>
            </w:pPr>
            <w:r>
              <w:rPr>
                <w:b/>
                <w:bCs/>
                <w:sz w:val="22"/>
                <w:szCs w:val="22"/>
              </w:rPr>
              <w:t xml:space="preserve">Título</w:t>
            </w:r>
          </w:p>
        </w:tc>
        <w:tc>
          <w:tcPr>
            <w:tcBorders>
              <w:top w:val="single" w:color="64748B" w:sz="12"/>
              <w:left w:val="none"/>
              <w:bottom w:val="single" w:color="64748B" w:sz="12"/>
              <w:right w:val="none"/>
            </w:tcBorders>
            <w:shd w:fill="E2E8F0" w:val="clear"/>
          </w:tcPr>
          <w:p>
            <w:pPr>
              <w:jc w:val="center"/>
            </w:pPr>
            <w:r>
              <w:rPr>
                <w:b/>
                <w:bCs/>
                <w:sz w:val="22"/>
                <w:szCs w:val="22"/>
              </w:rPr>
              <w:t xml:space="preserve">Descripción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w:t>
            </w:r>
          </w:p>
        </w:tc>
        <w:tc>
          <w:tcPr>
            <w:tcBorders>
              <w:top w:val="single" w:color="64748B" w:sz="12"/>
              <w:left w:val="none"/>
              <w:bottom w:val="single" w:color="64748B" w:sz="12"/>
              <w:right w:val="none"/>
            </w:tcBorders>
          </w:tcPr>
          <w:p>
            <w:r>
              <w:rPr>
                <w:sz w:val="20"/>
                <w:szCs w:val="20"/>
              </w:rPr>
              <w:t xml:space="preserve">Inicio</w:t>
            </w:r>
          </w:p>
        </w:tc>
        <w:tc>
          <w:tcPr>
            <w:tcBorders>
              <w:top w:val="single" w:color="64748B" w:sz="12"/>
              <w:left w:val="none"/>
              <w:bottom w:val="single" w:color="64748B" w:sz="12"/>
              <w:right w:val="none"/>
            </w:tcBorders>
          </w:tcPr>
          <w:p>
            <w:r>
              <w:rPr>
                <w:sz w:val="20"/>
                <w:szCs w:val="20"/>
              </w:rPr>
              <w:t xml:space="preserve">Página principal con propuesta de valor</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/perfil</w:t>
            </w:r>
          </w:p>
        </w:tc>
        <w:tc>
          <w:tcPr>
            <w:tcBorders>
              <w:top w:val="single" w:color="64748B" w:sz="12"/>
              <w:left w:val="none"/>
              <w:bottom w:val="single" w:color="64748B" w:sz="12"/>
              <w:right w:val="none"/>
            </w:tcBorders>
          </w:tcPr>
          <w:p>
            <w:r>
              <w:rPr>
                <w:sz w:val="20"/>
                <w:szCs w:val="20"/>
              </w:rPr>
              <w:t xml:space="preserve">Mi Perfil Hipotecario</w:t>
            </w:r>
          </w:p>
        </w:tc>
        <w:tc>
          <w:tcPr>
            <w:tcBorders>
              <w:top w:val="single" w:color="64748B" w:sz="12"/>
              <w:left w:val="none"/>
              <w:bottom w:val="single" w:color="64748B" w:sz="12"/>
              <w:right w:val="none"/>
            </w:tcBorders>
          </w:tcPr>
          <w:p>
            <w:r>
              <w:rPr>
                <w:sz w:val="20"/>
                <w:szCs w:val="20"/>
              </w:rPr>
              <w:t xml:space="preserve">Wizard de captura de datos del usuario</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/comparador</w:t>
            </w:r>
          </w:p>
        </w:tc>
        <w:tc>
          <w:tcPr>
            <w:tcBorders>
              <w:top w:val="single" w:color="64748B" w:sz="12"/>
              <w:left w:val="none"/>
              <w:bottom w:val="single" w:color="64748B" w:sz="12"/>
              <w:right w:val="none"/>
            </w:tcBorders>
          </w:tcPr>
          <w:p>
            <w:r>
              <w:rPr>
                <w:sz w:val="20"/>
                <w:szCs w:val="20"/>
              </w:rPr>
              <w:t xml:space="preserve">Comparador de Ofertas</w:t>
            </w:r>
          </w:p>
        </w:tc>
        <w:tc>
          <w:tcPr>
            <w:tcBorders>
              <w:top w:val="single" w:color="64748B" w:sz="12"/>
              <w:left w:val="none"/>
              <w:bottom w:val="single" w:color="64748B" w:sz="12"/>
              <w:right w:val="none"/>
            </w:tcBorders>
          </w:tcPr>
          <w:p>
            <w:r>
              <w:rPr>
                <w:sz w:val="20"/>
                <w:szCs w:val="20"/>
              </w:rPr>
              <w:t xml:space="preserve">Listado y comparación de ofertas hipotecarias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/oferta/[id]</w:t>
            </w:r>
          </w:p>
        </w:tc>
        <w:tc>
          <w:tcPr>
            <w:tcBorders>
              <w:top w:val="single" w:color="64748B" w:sz="12"/>
              <w:left w:val="none"/>
              <w:bottom w:val="single" w:color="64748B" w:sz="12"/>
              <w:right w:val="none"/>
            </w:tcBorders>
          </w:tcPr>
          <w:p>
            <w:r>
              <w:rPr>
                <w:sz w:val="20"/>
                <w:szCs w:val="20"/>
              </w:rPr>
              <w:t xml:space="preserve">Detalle de Oferta</w:t>
            </w:r>
          </w:p>
        </w:tc>
        <w:tc>
          <w:tcPr>
            <w:tcBorders>
              <w:top w:val="single" w:color="64748B" w:sz="12"/>
              <w:left w:val="none"/>
              <w:bottom w:val="single" w:color="64748B" w:sz="12"/>
              <w:right w:val="none"/>
            </w:tcBorders>
          </w:tcPr>
          <w:p>
            <w:r>
              <w:rPr>
                <w:sz w:val="20"/>
                <w:szCs w:val="20"/>
              </w:rPr>
              <w:t xml:space="preserve">Ficha completa de una oferta específica</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/simulador</w:t>
            </w:r>
          </w:p>
        </w:tc>
        <w:tc>
          <w:tcPr>
            <w:tcBorders>
              <w:top w:val="single" w:color="64748B" w:sz="12"/>
              <w:left w:val="none"/>
              <w:bottom w:val="single" w:color="64748B" w:sz="12"/>
              <w:right w:val="none"/>
            </w:tcBorders>
          </w:tcPr>
          <w:p>
            <w:r>
              <w:rPr>
                <w:sz w:val="20"/>
                <w:szCs w:val="20"/>
              </w:rPr>
              <w:t xml:space="preserve">Simulador Avanzado</w:t>
            </w:r>
          </w:p>
        </w:tc>
        <w:tc>
          <w:tcPr>
            <w:tcBorders>
              <w:top w:val="single" w:color="64748B" w:sz="12"/>
              <w:left w:val="none"/>
              <w:bottom w:val="single" w:color="64748B" w:sz="12"/>
              <w:right w:val="none"/>
            </w:tcBorders>
          </w:tcPr>
          <w:p>
            <w:r>
              <w:rPr>
                <w:sz w:val="20"/>
                <w:szCs w:val="20"/>
              </w:rPr>
              <w:t xml:space="preserve">Simulación interactiva con gráficos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/mejora</w:t>
            </w:r>
          </w:p>
        </w:tc>
        <w:tc>
          <w:tcPr>
            <w:tcBorders>
              <w:top w:val="single" w:color="64748B" w:sz="12"/>
              <w:left w:val="none"/>
              <w:bottom w:val="single" w:color="64748B" w:sz="12"/>
              <w:right w:val="none"/>
            </w:tcBorders>
          </w:tcPr>
          <w:p>
            <w:r>
              <w:rPr>
                <w:sz w:val="20"/>
                <w:szCs w:val="20"/>
              </w:rPr>
              <w:t xml:space="preserve">Mejora tu Hipoteca</w:t>
            </w:r>
          </w:p>
        </w:tc>
        <w:tc>
          <w:tcPr>
            <w:tcBorders>
              <w:top w:val="single" w:color="64748B" w:sz="12"/>
              <w:left w:val="none"/>
              <w:bottom w:val="single" w:color="64748B" w:sz="12"/>
              <w:right w:val="none"/>
            </w:tcBorders>
          </w:tcPr>
          <w:p>
            <w:r>
              <w:rPr>
                <w:sz w:val="20"/>
                <w:szCs w:val="20"/>
              </w:rPr>
              <w:t xml:space="preserve">Análisis de subrogación/novación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/documentacion</w:t>
            </w:r>
          </w:p>
        </w:tc>
        <w:tc>
          <w:tcPr>
            <w:tcBorders>
              <w:top w:val="single" w:color="64748B" w:sz="12"/>
              <w:left w:val="none"/>
              <w:bottom w:val="single" w:color="64748B" w:sz="12"/>
              <w:right w:val="none"/>
            </w:tcBorders>
          </w:tcPr>
          <w:p>
            <w:r>
              <w:rPr>
                <w:sz w:val="20"/>
                <w:szCs w:val="20"/>
              </w:rPr>
              <w:t xml:space="preserve">Centro Documental</w:t>
            </w:r>
          </w:p>
        </w:tc>
        <w:tc>
          <w:tcPr>
            <w:tcBorders>
              <w:top w:val="single" w:color="64748B" w:sz="12"/>
              <w:left w:val="none"/>
              <w:bottom w:val="single" w:color="64748B" w:sz="12"/>
              <w:right w:val="none"/>
            </w:tcBorders>
          </w:tcPr>
          <w:p>
            <w:r>
              <w:rPr>
                <w:sz w:val="20"/>
                <w:szCs w:val="20"/>
              </w:rPr>
              <w:t xml:space="preserve">Glosario y explicación de términos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/metodologia</w:t>
            </w:r>
          </w:p>
        </w:tc>
        <w:tc>
          <w:tcPr>
            <w:tcBorders>
              <w:top w:val="single" w:color="64748B" w:sz="12"/>
              <w:left w:val="none"/>
              <w:bottom w:val="single" w:color="64748B" w:sz="12"/>
              <w:right w:val="none"/>
            </w:tcBorders>
          </w:tcPr>
          <w:p>
            <w:r>
              <w:rPr>
                <w:sz w:val="20"/>
                <w:szCs w:val="20"/>
              </w:rPr>
              <w:t xml:space="preserve">Metodología y Fuentes</w:t>
            </w:r>
          </w:p>
        </w:tc>
        <w:tc>
          <w:tcPr>
            <w:tcBorders>
              <w:top w:val="single" w:color="64748B" w:sz="12"/>
              <w:left w:val="none"/>
              <w:bottom w:val="single" w:color="64748B" w:sz="12"/>
              <w:right w:val="none"/>
            </w:tcBorders>
          </w:tcPr>
          <w:p>
            <w:r>
              <w:rPr>
                <w:sz w:val="20"/>
                <w:szCs w:val="20"/>
              </w:rPr>
              <w:t xml:space="preserve">Panel de confianza y transparencia</w:t>
            </w:r>
          </w:p>
        </w:tc>
      </w:tr>
    </w:tbl>
    <w:p>
      <w:pPr>
        <w:spacing w:after="300" w:before="100"/>
        <w:jc w:val="center"/>
      </w:pPr>
      <w:r>
        <w:rPr>
          <w:i/>
          <w:iCs/>
          <w:color w:val="64748B"/>
          <w:sz w:val="18"/>
          <w:szCs w:val="18"/>
        </w:rPr>
        <w:t xml:space="preserve">Tabla 1: Sitemap principal de la aplicación</w:t>
      </w:r>
    </w:p>
    <w:p>
      <w:pPr>
        <w:pStyle w:val="Heading1"/>
      </w:pPr>
      <w:r>
        <w:t xml:space="preserve">2. Flujos de Usuario Principales</w:t>
      </w:r>
    </w:p>
    <w:p>
      <w:pPr>
        <w:pStyle w:val="Heading2"/>
      </w:pPr>
      <w:r>
        <w:t xml:space="preserve">2.1 Flujo de Captura de Perfil</w:t>
      </w:r>
    </w:p>
    <w:p>
      <w:pPr>
        <w:spacing w:after="200"/>
      </w:pPr>
      <w:r>
        <w:rPr>
          <w:rFonts w:ascii="Times New Roman" w:cs="Times New Roman" w:eastAsia="Times New Roman" w:hAnsi="Times New Roman"/>
          <w:color w:val="1E293B"/>
          <w:sz w:val="24"/>
          <w:szCs w:val="24"/>
        </w:rPr>
        <w:t xml:space="preserve">El flujo de captura de perfil es el corazón de la aplicación. Permite recoger toda la información necesaria para personalizar las recomendaciones y realizar los cálculos de elegibilidad. El wizard está dividido en 4 pasos lógicos que guían al usuario de forma progresiva, con validación en tiempo real y guardado automático de su progreso.</w:t>
      </w:r>
    </w:p>
    <w:p>
      <w:pPr>
        <w:pStyle w:val="ListParagraph"/>
        <w:numPr>
          <w:ilvl w:val="0"/>
          <w:numId w:val="2"/>
        </w:numPr>
      </w:pPr>
      <w:r>
        <w:rPr>
          <w:rFonts w:ascii="Times New Roman" w:cs="Times New Roman" w:eastAsia="Times New Roman" w:hAnsi="Times New Roman"/>
          <w:sz w:val="24"/>
          <w:szCs w:val="24"/>
        </w:rPr>
        <w:t xml:space="preserve">Paso 1 - Datos de la Operación: Tipo de compra, ubicación, precio del inmueble, importe a financiar, plazo deseado, ahorros disponibles. Este paso establece el contexto financiero básico.</w:t>
      </w:r>
    </w:p>
    <w:p>
      <w:pPr>
        <w:pStyle w:val="ListParagraph"/>
        <w:numPr>
          <w:ilvl w:val="0"/>
          <w:numId w:val="2"/>
        </w:numPr>
      </w:pPr>
      <w:r>
        <w:rPr>
          <w:rFonts w:ascii="Times New Roman" w:cs="Times New Roman" w:eastAsia="Times New Roman" w:hAnsi="Times New Roman"/>
          <w:sz w:val="24"/>
          <w:szCs w:val="24"/>
        </w:rPr>
        <w:t xml:space="preserve">Paso 2 - Perfil Económico: Ingresos, tipo de contrato, antigüedad laboral, deudas existentes. Este paso determina la capacidad de pago y el ratio de endeudamiento.</w:t>
      </w:r>
    </w:p>
    <w:p>
      <w:pPr>
        <w:pStyle w:val="ListParagraph"/>
        <w:numPr>
          <w:ilvl w:val="0"/>
          <w:numId w:val="2"/>
        </w:numPr>
      </w:pPr>
      <w:r>
        <w:rPr>
          <w:rFonts w:ascii="Times New Roman" w:cs="Times New Roman" w:eastAsia="Times New Roman" w:hAnsi="Times New Roman"/>
          <w:sz w:val="24"/>
          <w:szCs w:val="24"/>
        </w:rPr>
        <w:t xml:space="preserve">Paso 3 - Preferencias: Tipo de hipoteca preferido, tolerancia al riesgo, disposición a vinculaciones. Este paso permite filtrar y ordenar las ofertas según las preferencias personales.</w:t>
      </w:r>
    </w:p>
    <w:p>
      <w:pPr>
        <w:pStyle w:val="ListParagraph"/>
        <w:numPr>
          <w:ilvl w:val="0"/>
          <w:numId w:val="2"/>
        </w:numPr>
        <w:spacing w:after="200"/>
      </w:pPr>
      <w:r>
        <w:rPr>
          <w:rFonts w:ascii="Times New Roman" w:cs="Times New Roman" w:eastAsia="Times New Roman" w:hAnsi="Times New Roman"/>
          <w:sz w:val="24"/>
          <w:szCs w:val="24"/>
        </w:rPr>
        <w:t xml:space="preserve">Paso 4 - Hipoteca Existente (opcional): Si el usuario ya tiene hipoteca, se recogen los datos para análisis de subrogación/novación. Este paso solo aparece si el usuario indica que busca mejorar su hipoteca actual.</w:t>
      </w:r>
    </w:p>
    <w:p>
      <w:pPr>
        <w:pStyle w:val="Heading2"/>
      </w:pPr>
      <w:r>
        <w:t xml:space="preserve">2.2 Flujo de Comparación de Ofertas</w:t>
      </w:r>
    </w:p>
    <w:p>
      <w:pPr>
        <w:spacing w:after="200"/>
      </w:pPr>
      <w:r>
        <w:rPr>
          <w:rFonts w:ascii="Times New Roman" w:cs="Times New Roman" w:eastAsia="Times New Roman" w:hAnsi="Times New Roman"/>
          <w:color w:val="1E293B"/>
          <w:sz w:val="24"/>
          <w:szCs w:val="24"/>
        </w:rPr>
        <w:t xml:space="preserve">Una vez completado el perfil, el usuario accede al comparador donde ve un listado ordenado de ofertas según el scoring calculado. El flujo permite múltiples interacciones: filtrar por tipo de hipoteca, ordenar por diferentes criterios, comparar 2-4 ofertas lado a lado en vista de tabla o fichas, y acceder al detalle completo de cada oferta.</w:t>
      </w:r>
    </w:p>
    <w:p>
      <w:pPr>
        <w:pStyle w:val="ListParagraph"/>
        <w:numPr>
          <w:ilvl w:val="0"/>
          <w:numId w:val="3"/>
        </w:numPr>
      </w:pPr>
      <w:r>
        <w:rPr>
          <w:rFonts w:ascii="Times New Roman" w:cs="Times New Roman" w:eastAsia="Times New Roman" w:hAnsi="Times New Roman"/>
          <w:sz w:val="24"/>
          <w:szCs w:val="24"/>
        </w:rPr>
        <w:t xml:space="preserve">Vista inicial: Lista de ofertas ordenadas por puntuación global, con indicadores clave visibles (TIN, cuota estimada, puntuación). Se muestran badges de nivel de confianza.</w:t>
      </w:r>
    </w:p>
    <w:p>
      <w:pPr>
        <w:pStyle w:val="ListParagraph"/>
        <w:numPr>
          <w:ilvl w:val="0"/>
          <w:numId w:val="3"/>
        </w:numPr>
      </w:pPr>
      <w:r>
        <w:rPr>
          <w:rFonts w:ascii="Times New Roman" w:cs="Times New Roman" w:eastAsia="Times New Roman" w:hAnsi="Times New Roman"/>
          <w:sz w:val="24"/>
          <w:szCs w:val="24"/>
        </w:rPr>
        <w:t xml:space="preserve">Filtros: Por tipo (fija/variable/mixta), por rango de TIN, por entidad, por nivel de vinculaciones. Los filtros se aplican en tiempo real sin recargar página.</w:t>
      </w:r>
    </w:p>
    <w:p>
      <w:pPr>
        <w:pStyle w:val="ListParagraph"/>
        <w:numPr>
          <w:ilvl w:val="0"/>
          <w:numId w:val="3"/>
        </w:numPr>
      </w:pPr>
      <w:r>
        <w:rPr>
          <w:rFonts w:ascii="Times New Roman" w:cs="Times New Roman" w:eastAsia="Times New Roman" w:hAnsi="Times New Roman"/>
          <w:sz w:val="24"/>
          <w:szCs w:val="24"/>
        </w:rPr>
        <w:t xml:space="preserve">Modo comparación: Selección de 2-4 ofertas para vista lado a lado. Se destacan diferencias en verde (ventajas) y ámbar (desventajas) para cada oferta.</w:t>
      </w:r>
    </w:p>
    <w:p>
      <w:pPr>
        <w:pStyle w:val="ListParagraph"/>
        <w:numPr>
          <w:ilvl w:val="0"/>
          <w:numId w:val="3"/>
        </w:numPr>
        <w:spacing w:after="200"/>
      </w:pPr>
      <w:r>
        <w:rPr>
          <w:rFonts w:ascii="Times New Roman" w:cs="Times New Roman" w:eastAsia="Times New Roman" w:hAnsi="Times New Roman"/>
          <w:sz w:val="24"/>
          <w:szCs w:val="24"/>
        </w:rPr>
        <w:t xml:space="preserve">Acceso a detalle: Click en cualquier oferta abre la ficha completa con toda la información, escenarios, y trazabilidad de la fuente.</w:t>
      </w:r>
    </w:p>
    <w:p>
      <w:pPr>
        <w:pStyle w:val="Heading1"/>
      </w:pPr>
      <w:r>
        <w:t xml:space="preserve">3. Especificación de Pantallas Principales</w:t>
      </w:r>
    </w:p>
    <w:p>
      <w:pPr>
        <w:pStyle w:val="Heading2"/>
      </w:pPr>
      <w:r>
        <w:t xml:space="preserve">3.1 Pantalla de Inicio</w:t>
      </w:r>
    </w:p>
    <w:p>
      <w:pPr>
        <w:spacing w:after="200"/>
      </w:pPr>
      <w:r>
        <w:rPr>
          <w:rFonts w:ascii="Times New Roman" w:cs="Times New Roman" w:eastAsia="Times New Roman" w:hAnsi="Times New Roman"/>
          <w:color w:val="1E293B"/>
          <w:sz w:val="24"/>
          <w:szCs w:val="24"/>
        </w:rPr>
        <w:t xml:space="preserve">La pantalla de inicio establece el tono profesional y transparente de la aplicación. No utiliza marketing agresivo ni promesas engañosas. Presenta claramente qué hace la herramienta y cuáles son sus limitaciones. Incluye un call-to-action principal ("Comenzar análisis") y accesos directos a las secciones principales.</w:t>
      </w:r>
    </w:p>
    <w:p>
      <w:pPr>
        <w:pStyle w:val="ListParagraph"/>
        <w:numPr>
          <w:ilvl w:val="0"/>
          <w:numId w:val="4"/>
        </w:numPr>
      </w:pPr>
      <w:r>
        <w:rPr>
          <w:rFonts w:ascii="Times New Roman" w:cs="Times New Roman" w:eastAsia="Times New Roman" w:hAnsi="Times New Roman"/>
          <w:sz w:val="24"/>
          <w:szCs w:val="24"/>
        </w:rPr>
        <w:t xml:space="preserve">Header limpio con logo y navegación a secciones principales</w:t>
      </w:r>
    </w:p>
    <w:p>
      <w:pPr>
        <w:pStyle w:val="ListParagraph"/>
        <w:numPr>
          <w:ilvl w:val="0"/>
          <w:numId w:val="4"/>
        </w:numPr>
      </w:pPr>
      <w:r>
        <w:rPr>
          <w:rFonts w:ascii="Times New Roman" w:cs="Times New Roman" w:eastAsia="Times New Roman" w:hAnsi="Times New Roman"/>
          <w:sz w:val="24"/>
          <w:szCs w:val="24"/>
        </w:rPr>
        <w:t xml:space="preserve">Hero section con propuesta de valor clara y honesta</w:t>
      </w:r>
    </w:p>
    <w:p>
      <w:pPr>
        <w:pStyle w:val="ListParagraph"/>
        <w:numPr>
          <w:ilvl w:val="0"/>
          <w:numId w:val="4"/>
        </w:numPr>
      </w:pPr>
      <w:r>
        <w:rPr>
          <w:rFonts w:ascii="Times New Roman" w:cs="Times New Roman" w:eastAsia="Times New Roman" w:hAnsi="Times New Roman"/>
          <w:sz w:val="24"/>
          <w:szCs w:val="24"/>
        </w:rPr>
        <w:t xml:space="preserve">Bloque "Qué puedes hacer" con 4-6 funcionalidades clave</w:t>
      </w:r>
    </w:p>
    <w:p>
      <w:pPr>
        <w:pStyle w:val="ListParagraph"/>
        <w:numPr>
          <w:ilvl w:val="0"/>
          <w:numId w:val="4"/>
        </w:numPr>
      </w:pPr>
      <w:r>
        <w:rPr>
          <w:rFonts w:ascii="Times New Roman" w:cs="Times New Roman" w:eastAsia="Times New Roman" w:hAnsi="Times New Roman"/>
          <w:sz w:val="24"/>
          <w:szCs w:val="24"/>
        </w:rPr>
        <w:t xml:space="preserve">Bloque "Lo que NO somos" con limitaciones claras</w:t>
      </w:r>
    </w:p>
    <w:p>
      <w:pPr>
        <w:pStyle w:val="ListParagraph"/>
        <w:numPr>
          <w:ilvl w:val="0"/>
          <w:numId w:val="4"/>
        </w:numPr>
      </w:pPr>
      <w:r>
        <w:rPr>
          <w:rFonts w:ascii="Times New Roman" w:cs="Times New Roman" w:eastAsia="Times New Roman" w:hAnsi="Times New Roman"/>
          <w:sz w:val="24"/>
          <w:szCs w:val="24"/>
        </w:rPr>
        <w:t xml:space="preserve">Indicador de última actualización de datos</w:t>
      </w:r>
    </w:p>
    <w:p>
      <w:pPr>
        <w:pStyle w:val="ListParagraph"/>
        <w:numPr>
          <w:ilvl w:val="0"/>
          <w:numId w:val="4"/>
        </w:numPr>
        <w:spacing w:after="200"/>
      </w:pPr>
      <w:r>
        <w:rPr>
          <w:rFonts w:ascii="Times New Roman" w:cs="Times New Roman" w:eastAsia="Times New Roman" w:hAnsi="Times New Roman"/>
          <w:sz w:val="24"/>
          <w:szCs w:val="24"/>
        </w:rPr>
        <w:t xml:space="preserve">Footer con enlaces a documentación, metodología y aviso legal</w:t>
      </w:r>
    </w:p>
    <w:p>
      <w:pPr>
        <w:pStyle w:val="Heading2"/>
      </w:pPr>
      <w:r>
        <w:t xml:space="preserve">3.2 Pantalla de Wizard de Perfil</w:t>
      </w:r>
    </w:p>
    <w:p>
      <w:pPr>
        <w:spacing w:after="200"/>
      </w:pPr>
      <w:r>
        <w:rPr>
          <w:rFonts w:ascii="Times New Roman" w:cs="Times New Roman" w:eastAsia="Times New Roman" w:hAnsi="Times New Roman"/>
          <w:color w:val="1E293B"/>
          <w:sz w:val="24"/>
          <w:szCs w:val="24"/>
        </w:rPr>
        <w:t xml:space="preserve">El wizard de perfil es la interfaz más compleja de la aplicación. Debe ser intuitivo, con validación en tiempo real, y capacidad de guardar el progreso para continuar después. El diseño sigue el principio de "progressive disclosure", mostrando solo los campos necesarios en cada paso y evitando abrumar al usuario.</w:t>
      </w:r>
    </w:p>
    <w:p>
      <w:pPr>
        <w:pStyle w:val="ListParagraph"/>
        <w:numPr>
          <w:ilvl w:val="0"/>
          <w:numId w:val="5"/>
        </w:numPr>
      </w:pPr>
      <w:r>
        <w:rPr>
          <w:rFonts w:ascii="Times New Roman" w:cs="Times New Roman" w:eastAsia="Times New Roman" w:hAnsi="Times New Roman"/>
          <w:sz w:val="24"/>
          <w:szCs w:val="24"/>
        </w:rPr>
        <w:t xml:space="preserve">Indicador de progreso visual (pasos completados/total)</w:t>
      </w:r>
    </w:p>
    <w:p>
      <w:pPr>
        <w:pStyle w:val="ListParagraph"/>
        <w:numPr>
          <w:ilvl w:val="0"/>
          <w:numId w:val="5"/>
        </w:numPr>
      </w:pPr>
      <w:r>
        <w:rPr>
          <w:rFonts w:ascii="Times New Roman" w:cs="Times New Roman" w:eastAsia="Times New Roman" w:hAnsi="Times New Roman"/>
          <w:sz w:val="24"/>
          <w:szCs w:val="24"/>
        </w:rPr>
        <w:t xml:space="preserve">Navegación anterior/siguiente con guardado automático</w:t>
      </w:r>
    </w:p>
    <w:p>
      <w:pPr>
        <w:pStyle w:val="ListParagraph"/>
        <w:numPr>
          <w:ilvl w:val="0"/>
          <w:numId w:val="5"/>
        </w:numPr>
      </w:pPr>
      <w:r>
        <w:rPr>
          <w:rFonts w:ascii="Times New Roman" w:cs="Times New Roman" w:eastAsia="Times New Roman" w:hAnsi="Times New Roman"/>
          <w:sz w:val="24"/>
          <w:szCs w:val="24"/>
        </w:rPr>
        <w:t xml:space="preserve">Validación en tiempo real con mensajes claros</w:t>
      </w:r>
    </w:p>
    <w:p>
      <w:pPr>
        <w:pStyle w:val="ListParagraph"/>
        <w:numPr>
          <w:ilvl w:val="0"/>
          <w:numId w:val="5"/>
        </w:numPr>
      </w:pPr>
      <w:r>
        <w:rPr>
          <w:rFonts w:ascii="Times New Roman" w:cs="Times New Roman" w:eastAsia="Times New Roman" w:hAnsi="Times New Roman"/>
          <w:sz w:val="24"/>
          <w:szCs w:val="24"/>
        </w:rPr>
        <w:t xml:space="preserve">Tooltips/ayuda contextual en campos complejos</w:t>
      </w:r>
    </w:p>
    <w:p>
      <w:pPr>
        <w:pStyle w:val="ListParagraph"/>
        <w:numPr>
          <w:ilvl w:val="0"/>
          <w:numId w:val="5"/>
        </w:numPr>
      </w:pPr>
      <w:r>
        <w:rPr>
          <w:rFonts w:ascii="Times New Roman" w:cs="Times New Roman" w:eastAsia="Times New Roman" w:hAnsi="Times New Roman"/>
          <w:sz w:val="24"/>
          <w:szCs w:val="24"/>
        </w:rPr>
        <w:t xml:space="preserve">Resumen final antes de confirmar</w:t>
      </w:r>
    </w:p>
    <w:p>
      <w:pPr>
        <w:pStyle w:val="ListParagraph"/>
        <w:numPr>
          <w:ilvl w:val="0"/>
          <w:numId w:val="5"/>
        </w:numPr>
        <w:spacing w:after="200"/>
      </w:pPr>
      <w:r>
        <w:rPr>
          <w:rFonts w:ascii="Times New Roman" w:cs="Times New Roman" w:eastAsia="Times New Roman" w:hAnsi="Times New Roman"/>
          <w:sz w:val="24"/>
          <w:szCs w:val="24"/>
        </w:rPr>
        <w:t xml:space="preserve">Opción de editar cualquier paso desde el resumen</w:t>
      </w:r>
    </w:p>
    <w:p>
      <w:pPr>
        <w:pStyle w:val="Heading2"/>
      </w:pPr>
      <w:r>
        <w:t xml:space="preserve">3.3 Pantalla de Comparador</w:t>
      </w:r>
    </w:p>
    <w:p>
      <w:pPr>
        <w:spacing w:after="200"/>
      </w:pPr>
      <w:r>
        <w:rPr>
          <w:rFonts w:ascii="Times New Roman" w:cs="Times New Roman" w:eastAsia="Times New Roman" w:hAnsi="Times New Roman"/>
          <w:color w:val="1E293B"/>
          <w:sz w:val="24"/>
          <w:szCs w:val="24"/>
        </w:rPr>
        <w:t xml:space="preserve">El comparador es la pantalla donde el usuario pasa más tiempo analizando opciones. Debe ser altamente funcional con capacidades de filtrado, ordenación y comparación lado a lado. El diseño prioriza la densidad de información útil sobre elementos decorativos.</w:t>
      </w:r>
    </w:p>
    <w:p>
      <w:pPr>
        <w:pStyle w:val="ListParagraph"/>
        <w:numPr>
          <w:ilvl w:val="0"/>
          <w:numId w:val="4"/>
        </w:numPr>
      </w:pPr>
      <w:r>
        <w:rPr>
          <w:rFonts w:ascii="Times New Roman" w:cs="Times New Roman" w:eastAsia="Times New Roman" w:hAnsi="Times New Roman"/>
          <w:sz w:val="24"/>
          <w:szCs w:val="24"/>
        </w:rPr>
        <w:t xml:space="preserve">Barra de filtros con chips para filtros activos</w:t>
      </w:r>
    </w:p>
    <w:p>
      <w:pPr>
        <w:pStyle w:val="ListParagraph"/>
        <w:numPr>
          <w:ilvl w:val="0"/>
          <w:numId w:val="4"/>
        </w:numPr>
      </w:pPr>
      <w:r>
        <w:rPr>
          <w:rFonts w:ascii="Times New Roman" w:cs="Times New Roman" w:eastAsia="Times New Roman" w:hAnsi="Times New Roman"/>
          <w:sz w:val="24"/>
          <w:szCs w:val="24"/>
        </w:rPr>
        <w:t xml:space="preserve">Selector de ordenación (coste total, cuota, puntuación)</w:t>
      </w:r>
    </w:p>
    <w:p>
      <w:pPr>
        <w:pStyle w:val="ListParagraph"/>
        <w:numPr>
          <w:ilvl w:val="0"/>
          <w:numId w:val="4"/>
        </w:numPr>
      </w:pPr>
      <w:r>
        <w:rPr>
          <w:rFonts w:ascii="Times New Roman" w:cs="Times New Roman" w:eastAsia="Times New Roman" w:hAnsi="Times New Roman"/>
          <w:sz w:val="24"/>
          <w:szCs w:val="24"/>
        </w:rPr>
        <w:t xml:space="preserve">Toggle entre vista de tarjetas y vista de tabla</w:t>
      </w:r>
    </w:p>
    <w:p>
      <w:pPr>
        <w:pStyle w:val="ListParagraph"/>
        <w:numPr>
          <w:ilvl w:val="0"/>
          <w:numId w:val="4"/>
        </w:numPr>
      </w:pPr>
      <w:r>
        <w:rPr>
          <w:rFonts w:ascii="Times New Roman" w:cs="Times New Roman" w:eastAsia="Times New Roman" w:hAnsi="Times New Roman"/>
          <w:sz w:val="24"/>
          <w:szCs w:val="24"/>
        </w:rPr>
        <w:t xml:space="preserve">Tarjetas de oferta con información clave visible</w:t>
      </w:r>
    </w:p>
    <w:p>
      <w:pPr>
        <w:pStyle w:val="ListParagraph"/>
        <w:numPr>
          <w:ilvl w:val="0"/>
          <w:numId w:val="4"/>
        </w:numPr>
      </w:pPr>
      <w:r>
        <w:rPr>
          <w:rFonts w:ascii="Times New Roman" w:cs="Times New Roman" w:eastAsia="Times New Roman" w:hAnsi="Times New Roman"/>
          <w:sz w:val="24"/>
          <w:szCs w:val="24"/>
        </w:rPr>
        <w:t xml:space="preserve">Indicador de confianza (color/badge) en cada tarjeta</w:t>
      </w:r>
    </w:p>
    <w:p>
      <w:pPr>
        <w:pStyle w:val="ListParagraph"/>
        <w:numPr>
          <w:ilvl w:val="0"/>
          <w:numId w:val="4"/>
        </w:numPr>
      </w:pPr>
      <w:r>
        <w:rPr>
          <w:rFonts w:ascii="Times New Roman" w:cs="Times New Roman" w:eastAsia="Times New Roman" w:hAnsi="Times New Roman"/>
          <w:sz w:val="24"/>
          <w:szCs w:val="24"/>
        </w:rPr>
        <w:t xml:space="preserve">Checkbox para selección de comparación lado a lado</w:t>
      </w:r>
    </w:p>
    <w:p>
      <w:pPr>
        <w:pStyle w:val="ListParagraph"/>
        <w:numPr>
          <w:ilvl w:val="0"/>
          <w:numId w:val="4"/>
        </w:numPr>
        <w:spacing w:after="200"/>
      </w:pPr>
      <w:r>
        <w:rPr>
          <w:rFonts w:ascii="Times New Roman" w:cs="Times New Roman" w:eastAsia="Times New Roman" w:hAnsi="Times New Roman"/>
          <w:sz w:val="24"/>
          <w:szCs w:val="24"/>
        </w:rPr>
        <w:t xml:space="preserve">Panel de comparación cuando hay ofertas seleccionadas</w:t>
      </w:r>
    </w:p>
    <w:p>
      <w:pPr>
        <w:pStyle w:val="Heading2"/>
      </w:pPr>
      <w:r>
        <w:t xml:space="preserve">3.4 Pantalla de Detalle de Oferta</w:t>
      </w:r>
    </w:p>
    <w:p>
      <w:pPr>
        <w:spacing w:after="200"/>
      </w:pPr>
      <w:r>
        <w:rPr>
          <w:rFonts w:ascii="Times New Roman" w:cs="Times New Roman" w:eastAsia="Times New Roman" w:hAnsi="Times New Roman"/>
          <w:color w:val="1E293B"/>
          <w:sz w:val="24"/>
          <w:szCs w:val="24"/>
        </w:rPr>
        <w:t xml:space="preserve">La ficha de detalle de oferta presenta toda la información disponible sobre un producto hipotecario específico. Está organizada en secciones claramente diferenciadas que permiten al usuario entender tanto las condiciones como los riesgos y la fiabilidad del dato.</w:t>
      </w:r>
    </w:p>
    <w:p>
      <w:pPr>
        <w:pStyle w:val="ListParagraph"/>
        <w:numPr>
          <w:ilvl w:val="0"/>
          <w:numId w:val="5"/>
        </w:numPr>
      </w:pPr>
      <w:r>
        <w:rPr>
          <w:rFonts w:ascii="Times New Roman" w:cs="Times New Roman" w:eastAsia="Times New Roman" w:hAnsi="Times New Roman"/>
          <w:sz w:val="24"/>
          <w:szCs w:val="24"/>
        </w:rPr>
        <w:t xml:space="preserve">Header con nombre de entidad, producto, tipo y badge de confianza</w:t>
      </w:r>
    </w:p>
    <w:p>
      <w:pPr>
        <w:pStyle w:val="ListParagraph"/>
        <w:numPr>
          <w:ilvl w:val="0"/>
          <w:numId w:val="5"/>
        </w:numPr>
      </w:pPr>
      <w:r>
        <w:rPr>
          <w:rFonts w:ascii="Times New Roman" w:cs="Times New Roman" w:eastAsia="Times New Roman" w:hAnsi="Times New Roman"/>
          <w:sz w:val="24"/>
          <w:szCs w:val="24"/>
        </w:rPr>
        <w:t xml:space="preserve">Resumen ejecutivo con puntuación y posición en ranking</w:t>
      </w:r>
    </w:p>
    <w:p>
      <w:pPr>
        <w:pStyle w:val="ListParagraph"/>
        <w:numPr>
          <w:ilvl w:val="0"/>
          <w:numId w:val="5"/>
        </w:numPr>
      </w:pPr>
      <w:r>
        <w:rPr>
          <w:rFonts w:ascii="Times New Roman" w:cs="Times New Roman" w:eastAsia="Times New Roman" w:hAnsi="Times New Roman"/>
          <w:sz w:val="24"/>
          <w:szCs w:val="24"/>
        </w:rPr>
        <w:t xml:space="preserve">Sección de condiciones financieras (TIN, diferencial, plazo, LTV)</w:t>
      </w:r>
    </w:p>
    <w:p>
      <w:pPr>
        <w:pStyle w:val="ListParagraph"/>
        <w:numPr>
          <w:ilvl w:val="0"/>
          <w:numId w:val="5"/>
        </w:numPr>
      </w:pPr>
      <w:r>
        <w:rPr>
          <w:rFonts w:ascii="Times New Roman" w:cs="Times New Roman" w:eastAsia="Times New Roman" w:hAnsi="Times New Roman"/>
          <w:sz w:val="24"/>
          <w:szCs w:val="24"/>
        </w:rPr>
        <w:t xml:space="preserve">Sección de bonificaciones y productos vinculados</w:t>
      </w:r>
    </w:p>
    <w:p>
      <w:pPr>
        <w:pStyle w:val="ListParagraph"/>
        <w:numPr>
          <w:ilvl w:val="0"/>
          <w:numId w:val="5"/>
        </w:numPr>
      </w:pPr>
      <w:r>
        <w:rPr>
          <w:rFonts w:ascii="Times New Roman" w:cs="Times New Roman" w:eastAsia="Times New Roman" w:hAnsi="Times New Roman"/>
          <w:sz w:val="24"/>
          <w:szCs w:val="24"/>
        </w:rPr>
        <w:t xml:space="preserve">Sección de comisiones (apertura, amortización, cancelación)</w:t>
      </w:r>
    </w:p>
    <w:p>
      <w:pPr>
        <w:pStyle w:val="ListParagraph"/>
        <w:numPr>
          <w:ilvl w:val="0"/>
          <w:numId w:val="5"/>
        </w:numPr>
      </w:pPr>
      <w:r>
        <w:rPr>
          <w:rFonts w:ascii="Times New Roman" w:cs="Times New Roman" w:eastAsia="Times New Roman" w:hAnsi="Times New Roman"/>
          <w:sz w:val="24"/>
          <w:szCs w:val="24"/>
        </w:rPr>
        <w:t xml:space="preserve">Sección de simulación con escenarios (para variables/mixtas)</w:t>
      </w:r>
    </w:p>
    <w:p>
      <w:pPr>
        <w:pStyle w:val="ListParagraph"/>
        <w:numPr>
          <w:ilvl w:val="0"/>
          <w:numId w:val="5"/>
        </w:numPr>
      </w:pPr>
      <w:r>
        <w:rPr>
          <w:rFonts w:ascii="Times New Roman" w:cs="Times New Roman" w:eastAsia="Times New Roman" w:hAnsi="Times New Roman"/>
          <w:sz w:val="24"/>
          <w:szCs w:val="24"/>
        </w:rPr>
        <w:t xml:space="preserve">Sección de riesgos y advertencias</w:t>
      </w:r>
    </w:p>
    <w:p>
      <w:pPr>
        <w:pStyle w:val="ListParagraph"/>
        <w:numPr>
          <w:ilvl w:val="0"/>
          <w:numId w:val="5"/>
        </w:numPr>
        <w:spacing w:after="200"/>
      </w:pPr>
      <w:r>
        <w:rPr>
          <w:rFonts w:ascii="Times New Roman" w:cs="Times New Roman" w:eastAsia="Times New Roman" w:hAnsi="Times New Roman"/>
          <w:sz w:val="24"/>
          <w:szCs w:val="24"/>
        </w:rPr>
        <w:t xml:space="preserve">Sección de trazabilidad (fuente, fecha verificación, campos obtenidos)</w:t>
      </w:r>
    </w:p>
    <w:p>
      <w:pPr>
        <w:pStyle w:val="Heading1"/>
      </w:pPr>
      <w:r>
        <w:t xml:space="preserve">4. Componentes de UI Específicos</w:t>
      </w:r>
    </w:p>
    <w:p>
      <w:pPr>
        <w:pStyle w:val="Heading2"/>
      </w:pPr>
      <w:r>
        <w:t xml:space="preserve">4.1 Sistema de Confianza Visual</w:t>
      </w:r>
    </w:p>
    <w:p>
      <w:pPr>
        <w:spacing w:after="200"/>
      </w:pPr>
      <w:r>
        <w:rPr>
          <w:rFonts w:ascii="Times New Roman" w:cs="Times New Roman" w:eastAsia="Times New Roman" w:hAnsi="Times New Roman"/>
          <w:color w:val="1E293B"/>
          <w:sz w:val="24"/>
          <w:szCs w:val="24"/>
        </w:rPr>
        <w:t xml:space="preserve">El sistema de confianza visual es crítico para la transparencia del comparador. Cada dato muestra su nivel de confianza mediante indicadores visuales consistentes que el usuario aprende rápidamente a interpretar.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2400"/>
        <w:gridCol w:w="4560"/>
      </w:tblGrid>
      <w:tr>
        <w:trPr>
          <w:tblHeader/>
        </w:trPr>
        <w:tc>
          <w:tcPr>
            <w:tcBorders>
              <w:top w:val="single" w:color="64748B" w:sz="12"/>
              <w:left w:val="none"/>
              <w:bottom w:val="single" w:color="64748B" w:sz="12"/>
              <w:right w:val="none"/>
            </w:tcBorders>
            <w:shd w:fill="E2E8F0" w:val="clear"/>
          </w:tcPr>
          <w:p>
            <w:pPr>
              <w:jc w:val="center"/>
            </w:pPr>
            <w:r>
              <w:rPr>
                <w:b/>
                <w:bCs/>
                <w:sz w:val="22"/>
                <w:szCs w:val="22"/>
              </w:rPr>
              <w:t xml:space="preserve">Nivel</w:t>
            </w:r>
          </w:p>
        </w:tc>
        <w:tc>
          <w:tcPr>
            <w:tcBorders>
              <w:top w:val="single" w:color="64748B" w:sz="12"/>
              <w:left w:val="none"/>
              <w:bottom w:val="single" w:color="64748B" w:sz="12"/>
              <w:right w:val="none"/>
            </w:tcBorders>
            <w:shd w:fill="E2E8F0" w:val="clear"/>
          </w:tcPr>
          <w:p>
            <w:pPr>
              <w:jc w:val="center"/>
            </w:pPr>
            <w:r>
              <w:rPr>
                <w:b/>
                <w:bCs/>
                <w:sz w:val="22"/>
                <w:szCs w:val="22"/>
              </w:rPr>
              <w:t xml:space="preserve">Color/Indicador</w:t>
            </w:r>
          </w:p>
        </w:tc>
        <w:tc>
          <w:tcPr>
            <w:tcBorders>
              <w:top w:val="single" w:color="64748B" w:sz="12"/>
              <w:left w:val="none"/>
              <w:bottom w:val="single" w:color="64748B" w:sz="12"/>
              <w:right w:val="none"/>
            </w:tcBorders>
            <w:shd w:fill="E2E8F0" w:val="clear"/>
          </w:tcPr>
          <w:p>
            <w:pPr>
              <w:jc w:val="center"/>
            </w:pPr>
            <w:r>
              <w:rPr>
                <w:b/>
                <w:bCs/>
                <w:sz w:val="22"/>
                <w:szCs w:val="22"/>
              </w:rPr>
              <w:t xml:space="preserve">Significado</w:t>
            </w:r>
          </w:p>
        </w:tc>
      </w:tr>
      <w:tr>
        <w:tc>
          <w:tcPr>
            <w:tcBorders>
              <w:top w:val="single" w:color="64748B" w:sz="12"/>
              <w:left w:val="none"/>
              <w:bottom w:val="single" w:color="64748B" w:sz="12"/>
              <w:right w:val="none"/>
            </w:tcBorders>
          </w:tcPr>
          <w:p>
            <w:r>
              <w:rPr>
                <w:b/>
                <w:bCs/>
                <w:color w:val="16A34A"/>
                <w:sz w:val="20"/>
                <w:szCs w:val="20"/>
              </w:rPr>
              <w:t xml:space="preserve">ALTA</w:t>
            </w:r>
          </w:p>
        </w:tc>
        <w:tc>
          <w:tcPr>
            <w:tcBorders>
              <w:top w:val="single" w:color="64748B" w:sz="12"/>
              <w:left w:val="none"/>
              <w:bottom w:val="single" w:color="64748B" w:sz="12"/>
              <w:right w:val="none"/>
            </w:tcBorders>
          </w:tcPr>
          <w:p>
            <w:r>
              <w:rPr>
                <w:sz w:val="20"/>
                <w:szCs w:val="20"/>
              </w:rPr>
              <w:t xml:space="preserve">Verde / Badge sólido</w:t>
            </w:r>
          </w:p>
        </w:tc>
        <w:tc>
          <w:tcPr>
            <w:tcBorders>
              <w:top w:val="single" w:color="64748B" w:sz="12"/>
              <w:left w:val="none"/>
              <w:bottom w:val="single" w:color="64748B" w:sz="12"/>
              <w:right w:val="none"/>
            </w:tcBorders>
          </w:tcPr>
          <w:p>
            <w:r>
              <w:rPr>
                <w:sz w:val="20"/>
                <w:szCs w:val="20"/>
              </w:rPr>
              <w:t xml:space="preserve">Dato verificado directamente de fuente primaria, actualizado hace menos de 7 días</w:t>
            </w:r>
          </w:p>
        </w:tc>
      </w:tr>
      <w:tr>
        <w:tc>
          <w:tcPr>
            <w:tcBorders>
              <w:top w:val="single" w:color="64748B" w:sz="12"/>
              <w:left w:val="none"/>
              <w:bottom w:val="single" w:color="64748B" w:sz="12"/>
              <w:right w:val="none"/>
            </w:tcBorders>
          </w:tcPr>
          <w:p>
            <w:r>
              <w:rPr>
                <w:b/>
                <w:bCs/>
                <w:color w:val="CA8A04"/>
                <w:sz w:val="20"/>
                <w:szCs w:val="20"/>
              </w:rPr>
              <w:t xml:space="preserve">MEDIA</w:t>
            </w:r>
          </w:p>
        </w:tc>
        <w:tc>
          <w:tcPr>
            <w:tcBorders>
              <w:top w:val="single" w:color="64748B" w:sz="12"/>
              <w:left w:val="none"/>
              <w:bottom w:val="single" w:color="64748B" w:sz="12"/>
              <w:right w:val="none"/>
            </w:tcBorders>
          </w:tcPr>
          <w:p>
            <w:r>
              <w:rPr>
                <w:sz w:val="20"/>
                <w:szCs w:val="20"/>
              </w:rPr>
              <w:t xml:space="preserve">Ámbar / Badge medio</w:t>
            </w:r>
          </w:p>
        </w:tc>
        <w:tc>
          <w:tcPr>
            <w:tcBorders>
              <w:top w:val="single" w:color="64748B" w:sz="12"/>
              <w:left w:val="none"/>
              <w:bottom w:val="single" w:color="64748B" w:sz="12"/>
              <w:right w:val="none"/>
            </w:tcBorders>
          </w:tcPr>
          <w:p>
            <w:r>
              <w:rPr>
                <w:sz w:val="20"/>
                <w:szCs w:val="20"/>
              </w:rPr>
              <w:t xml:space="preserve">Dato contrastado con fuente secundaria, o actualizado hace 7-30 días</w:t>
            </w:r>
          </w:p>
        </w:tc>
      </w:tr>
      <w:tr>
        <w:tc>
          <w:tcPr>
            <w:tcBorders>
              <w:top w:val="single" w:color="64748B" w:sz="12"/>
              <w:left w:val="none"/>
              <w:bottom w:val="single" w:color="64748B" w:sz="12"/>
              <w:right w:val="none"/>
            </w:tcBorders>
          </w:tcPr>
          <w:p>
            <w:r>
              <w:rPr>
                <w:b/>
                <w:bCs/>
                <w:color w:val="DC2626"/>
                <w:sz w:val="20"/>
                <w:szCs w:val="20"/>
              </w:rPr>
              <w:t xml:space="preserve">BAJA</w:t>
            </w:r>
          </w:p>
        </w:tc>
        <w:tc>
          <w:tcPr>
            <w:tcBorders>
              <w:top w:val="single" w:color="64748B" w:sz="12"/>
              <w:left w:val="none"/>
              <w:bottom w:val="single" w:color="64748B" w:sz="12"/>
              <w:right w:val="none"/>
            </w:tcBorders>
          </w:tcPr>
          <w:p>
            <w:r>
              <w:rPr>
                <w:sz w:val="20"/>
                <w:szCs w:val="20"/>
              </w:rPr>
              <w:t xml:space="preserve">Rojo / Badge alerta</w:t>
            </w:r>
          </w:p>
        </w:tc>
        <w:tc>
          <w:tcPr>
            <w:tcBorders>
              <w:top w:val="single" w:color="64748B" w:sz="12"/>
              <w:left w:val="none"/>
              <w:bottom w:val="single" w:color="64748B" w:sz="12"/>
              <w:right w:val="none"/>
            </w:tcBorders>
          </w:tcPr>
          <w:p>
            <w:r>
              <w:rPr>
                <w:sz w:val="20"/>
                <w:szCs w:val="20"/>
              </w:rPr>
              <w:t xml:space="preserve">Dato con campos faltantes o actualizado hace más de 30 días</w:t>
            </w:r>
          </w:p>
        </w:tc>
      </w:tr>
      <w:tr>
        <w:tc>
          <w:tcPr>
            <w:tcBorders>
              <w:top w:val="single" w:color="64748B" w:sz="12"/>
              <w:left w:val="none"/>
              <w:bottom w:val="single" w:color="64748B" w:sz="12"/>
              <w:right w:val="none"/>
            </w:tcBorders>
          </w:tcPr>
          <w:p>
            <w:r>
              <w:rPr>
                <w:b/>
                <w:bCs/>
                <w:color w:val="6B7280"/>
                <w:sz w:val="20"/>
                <w:szCs w:val="20"/>
              </w:rPr>
              <w:t xml:space="preserve">PENDIENTE</w:t>
            </w:r>
          </w:p>
        </w:tc>
        <w:tc>
          <w:tcPr>
            <w:tcBorders>
              <w:top w:val="single" w:color="64748B" w:sz="12"/>
              <w:left w:val="none"/>
              <w:bottom w:val="single" w:color="64748B" w:sz="12"/>
              <w:right w:val="none"/>
            </w:tcBorders>
          </w:tcPr>
          <w:p>
            <w:r>
              <w:rPr>
                <w:sz w:val="20"/>
                <w:szCs w:val="20"/>
              </w:rPr>
              <w:t xml:space="preserve">Gris / Badge pendiente</w:t>
            </w:r>
          </w:p>
        </w:tc>
        <w:tc>
          <w:tcPr>
            <w:tcBorders>
              <w:top w:val="single" w:color="64748B" w:sz="12"/>
              <w:left w:val="none"/>
              <w:bottom w:val="single" w:color="64748B" w:sz="12"/>
              <w:right w:val="none"/>
            </w:tcBorders>
          </w:tcPr>
          <w:p>
            <w:r>
              <w:rPr>
                <w:sz w:val="20"/>
                <w:szCs w:val="20"/>
              </w:rPr>
              <w:t xml:space="preserve">Dato pendiente de verificación, usar con precaución</w:t>
            </w:r>
          </w:p>
        </w:tc>
      </w:tr>
    </w:tbl>
    <w:p>
      <w:pPr>
        <w:spacing w:after="300" w:before="100"/>
        <w:jc w:val="center"/>
      </w:pPr>
      <w:r>
        <w:rPr>
          <w:i/>
          <w:iCs/>
          <w:color w:val="64748B"/>
          <w:sz w:val="18"/>
          <w:szCs w:val="18"/>
        </w:rPr>
        <w:t xml:space="preserve">Tabla 2: Sistema de indicadores visuales de confianza</w:t>
      </w:r>
    </w:p>
    <w:p>
      <w:pPr>
        <w:pStyle w:val="Heading2"/>
      </w:pPr>
      <w:r>
        <w:t xml:space="preserve">4.2 Componentes de Riesgo</w:t>
      </w:r>
    </w:p>
    <w:p>
      <w:pPr>
        <w:spacing w:after="200"/>
      </w:pPr>
      <w:r>
        <w:rPr>
          <w:rFonts w:ascii="Times New Roman" w:cs="Times New Roman" w:eastAsia="Times New Roman" w:hAnsi="Times New Roman"/>
          <w:color w:val="1E293B"/>
          <w:sz w:val="24"/>
          <w:szCs w:val="24"/>
        </w:rPr>
        <w:t xml:space="preserve">Los indicadores de riesgo ayudan al usuario a entender la incertidumbre asociada a cada oferta, especialmente importante para hipotecas variables y mixtas. El diseño usa iconografía y colores consistentes con el sistema de confianza general.</w:t>
      </w:r>
    </w:p>
    <w:p>
      <w:pPr>
        <w:pStyle w:val="ListParagraph"/>
        <w:numPr>
          <w:ilvl w:val="0"/>
          <w:numId w:val="{bullet-terciary-0}"/>
        </w:numPr>
      </w:pPr>
      <w:r>
        <w:rPr>
          <w:rFonts w:ascii="Times New Roman" w:cs="Times New Roman" w:eastAsia="Times New Roman" w:hAnsi="Times New Roman"/>
          <w:sz w:val="24"/>
          <w:szCs w:val="24"/>
        </w:rPr>
        <w:t xml:space="preserve">Indicador de riesgo de tipo: Barra visual con nivel de riesgo (bajo/medio/alto)</w:t>
      </w:r>
    </w:p>
    <w:p>
      <w:pPr>
        <w:pStyle w:val="ListParagraph"/>
        <w:numPr>
          <w:ilvl w:val="0"/>
          <w:numId w:val="{bullet-terciary-0}"/>
        </w:numPr>
      </w:pPr>
      <w:r>
        <w:rPr>
          <w:rFonts w:ascii="Times New Roman" w:cs="Times New Roman" w:eastAsia="Times New Roman" w:hAnsi="Times New Roman"/>
          <w:sz w:val="24"/>
          <w:szCs w:val="24"/>
        </w:rPr>
        <w:t xml:space="preserve">Gráfico de escenarios: Líneas comparativas de evolución de cuota</w:t>
      </w:r>
    </w:p>
    <w:p>
      <w:pPr>
        <w:pStyle w:val="ListParagraph"/>
        <w:numPr>
          <w:ilvl w:val="0"/>
          <w:numId w:val="{bullet-terciary-0}"/>
        </w:numPr>
      </w:pPr>
      <w:r>
        <w:rPr>
          <w:rFonts w:ascii="Times New Roman" w:cs="Times New Roman" w:eastAsia="Times New Roman" w:hAnsi="Times New Roman"/>
          <w:sz w:val="24"/>
          <w:szCs w:val="24"/>
        </w:rPr>
        <w:t xml:space="preserve">Badge de advertencia: Para condiciones restrictivas o comisiones altas</w:t>
      </w:r>
    </w:p>
    <w:p>
      <w:pPr>
        <w:pStyle w:val="ListParagraph"/>
        <w:numPr>
          <w:ilvl w:val="0"/>
          <w:numId w:val="{bullet-terciary-0}"/>
        </w:numPr>
        <w:spacing w:after="200"/>
      </w:pPr>
      <w:r>
        <w:rPr>
          <w:rFonts w:ascii="Times New Roman" w:cs="Times New Roman" w:eastAsia="Times New Roman" w:hAnsi="Times New Roman"/>
          <w:sz w:val="24"/>
          <w:szCs w:val="24"/>
        </w:rPr>
        <w:t xml:space="preserve">Callout de información: Para aclaraciones sobre supuestos de cálculo</w:t>
      </w:r>
    </w:p>
    <w:p>
      <w:pPr>
        <w:pStyle w:val="Heading1"/>
      </w:pPr>
      <w:r>
        <w:t xml:space="preserve">5. Consideraciones Responsive</w:t>
      </w:r>
    </w:p>
    <w:p>
      <w:pPr>
        <w:spacing w:after="200"/>
      </w:pPr>
      <w:r>
        <w:rPr>
          <w:rFonts w:ascii="Times New Roman" w:cs="Times New Roman" w:eastAsia="Times New Roman" w:hAnsi="Times New Roman"/>
          <w:color w:val="1E293B"/>
          <w:sz w:val="24"/>
          <w:szCs w:val="24"/>
        </w:rPr>
        <w:t xml:space="preserve">La aplicación debe funcionar perfectamente en dispositivos móviles y escritorio. Dado el carácter financiero y la cantidad de información a mostrar, se prioriza la legibilidad sobre la densidad de información en móvil. Algunas vistas de tabla se convierten a lista en móvil, y las comparaciones lado a lado se vuelven secuenciales.</w:t>
      </w:r>
    </w:p>
    <w:p>
      <w:pPr>
        <w:pStyle w:val="ListParagraph"/>
        <w:numPr>
          <w:ilvl w:val="0"/>
          <w:numId w:val="4"/>
        </w:numPr>
      </w:pPr>
      <w:r>
        <w:rPr>
          <w:rFonts w:ascii="Times New Roman" w:cs="Times New Roman" w:eastAsia="Times New Roman" w:hAnsi="Times New Roman"/>
          <w:sz w:val="24"/>
          <w:szCs w:val="24"/>
        </w:rPr>
        <w:t xml:space="preserve">Wizard: Pasos se muestran uno a la vez con scroll vertical en móvil</w:t>
      </w:r>
    </w:p>
    <w:p>
      <w:pPr>
        <w:pStyle w:val="ListParagraph"/>
        <w:numPr>
          <w:ilvl w:val="0"/>
          <w:numId w:val="4"/>
        </w:numPr>
      </w:pPr>
      <w:r>
        <w:rPr>
          <w:rFonts w:ascii="Times New Roman" w:cs="Times New Roman" w:eastAsia="Times New Roman" w:hAnsi="Times New Roman"/>
          <w:sz w:val="24"/>
          <w:szCs w:val="24"/>
        </w:rPr>
        <w:t xml:space="preserve">Comparador: Vista de tarjetas por defecto en móvil, tabla solo en escritorio</w:t>
      </w:r>
    </w:p>
    <w:p>
      <w:pPr>
        <w:pStyle w:val="ListParagraph"/>
        <w:numPr>
          <w:ilvl w:val="0"/>
          <w:numId w:val="4"/>
        </w:numPr>
      </w:pPr>
      <w:r>
        <w:rPr>
          <w:rFonts w:ascii="Times New Roman" w:cs="Times New Roman" w:eastAsia="Times New Roman" w:hAnsi="Times New Roman"/>
          <w:sz w:val="24"/>
          <w:szCs w:val="24"/>
        </w:rPr>
        <w:t xml:space="preserve">Comparación lado a lado: Scroll horizontal o vista secuencial en móvil</w:t>
      </w:r>
    </w:p>
    <w:p>
      <w:pPr>
        <w:pStyle w:val="ListParagraph"/>
        <w:numPr>
          <w:ilvl w:val="0"/>
          <w:numId w:val="4"/>
        </w:numPr>
      </w:pPr>
      <w:r>
        <w:rPr>
          <w:rFonts w:ascii="Times New Roman" w:cs="Times New Roman" w:eastAsia="Times New Roman" w:hAnsi="Times New Roman"/>
          <w:sz w:val="24"/>
          <w:szCs w:val="24"/>
        </w:rPr>
        <w:t xml:space="preserve">Gráficos de simulación: Versión simplificada en móvil con datos clave</w:t>
      </w:r>
    </w:p>
    <w:p>
      <w:pPr>
        <w:pStyle w:val="ListParagraph"/>
        <w:numPr>
          <w:ilvl w:val="0"/>
          <w:numId w:val="4"/>
        </w:numPr>
        <w:spacing w:after="200"/>
      </w:pPr>
      <w:r>
        <w:rPr>
          <w:rFonts w:ascii="Times New Roman" w:cs="Times New Roman" w:eastAsia="Times New Roman" w:hAnsi="Times New Roman"/>
          <w:sz w:val="24"/>
          <w:szCs w:val="24"/>
        </w:rPr>
        <w:t xml:space="preserve">Filtros: Drawer modal en móvil, barra visible en escritorio</w:t>
      </w:r>
    </w:p>
    <w:p>
      <w:pPr>
        <w:pStyle w:val="Heading1"/>
      </w:pPr>
      <w:r>
        <w:t xml:space="preserve">6. Próximos Pasos</w:t>
      </w:r>
    </w:p>
    <w:p>
      <w:pPr>
        <w:spacing w:after="200"/>
      </w:pPr>
      <w:r>
        <w:rPr>
          <w:rFonts w:ascii="Times New Roman" w:cs="Times New Roman" w:eastAsia="Times New Roman" w:hAnsi="Times New Roman"/>
          <w:color w:val="1E293B"/>
          <w:sz w:val="24"/>
          <w:szCs w:val="24"/>
        </w:rPr>
        <w:t xml:space="preserve">Con el sitemap, flujos de usuario y especificación de pantallas definidos, el siguiente paso es establecer la arquitectura técnica final y la estructura de carpetas del proyecto. Esto permitirá comenzar la implementación del MVP con una base sólida de diseño.</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Sitemap y UX - Comparador Hipotecario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2026-03-27T10:31:50.619Z</dcterms:created>
  <dcterms:modified xsi:type="dcterms:W3CDTF">2026-03-27T10:31:50.619Z</dcterms:modified>
</cp:coreProperties>
</file>

<file path=docProps/custom.xml><?xml version="1.0" encoding="utf-8"?>
<Properties xmlns="http://schemas.openxmlformats.org/officeDocument/2006/custom-properties" xmlns:vt="http://schemas.openxmlformats.org/officeDocument/2006/docPropsVTypes"/>
</file>