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B4532A"/>
          <w:sz w:val="20"/>
        </w:rPr>
        <w:t>ACOP 2026  ·  CUI TUTORIAL  ·  HANDS-ON 2  ·  STUDENT WORKSHEET</w:t>
      </w:r>
    </w:p>
    <w:p>
      <w:pPr>
        <w:spacing w:after="80" w:before="120" w:line="259" w:lineRule="auto"/>
      </w:pPr>
      <w:r>
        <w:rPr>
          <w:rFonts w:ascii="Calibri" w:hAnsi="Calibri" w:eastAsia="Calibri"/>
          <w:b/>
          <w:i w:val="0"/>
          <w:color w:val="1B365D"/>
          <w:sz w:val="28"/>
        </w:rPr>
        <w:t>Dummy elagolix CUI — endometriosis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color w:val="2C2C2C"/>
          <w:sz w:val="20"/>
        </w:rPr>
        <w:t>Walk Exercise2_Elagolix_CUI_Walkthrough.pptx after Exercise 1. Same two formulas. Horizon locked at 6 months. Local app. Not a third approved dose.</w:t>
      </w:r>
    </w:p>
    <w:p>
      <w:pPr>
        <w:spacing w:after="80" w:before="0" w:line="259" w:lineRule="auto"/>
      </w:pPr>
      <w:r>
        <w:rPr>
          <w:rFonts w:ascii="Calibri" w:hAnsi="Calibri" w:eastAsia="Calibri"/>
          <w:b/>
          <w:i w:val="0"/>
          <w:color w:val="2C2C2C"/>
          <w:sz w:val="22"/>
        </w:rPr>
        <w:t>Question.  For a dummy oral GnRH antagonist, which total daily dose maximizes CUI — and does that change when preferences change?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Approved-like: 150 mg QD (TDD 150) and 200 mg BID (TDD 400). Personalized-dose question, not MTD / RP2D. Default form = sum (Winzenborg PSP 2021 Eq. 1).</w:t>
      </w:r>
    </w:p>
    <w:p>
      <w:pPr>
        <w:spacing w:after="80" w:before="80" w:line="259" w:lineRule="auto"/>
      </w:pPr>
      <w:r>
        <w:rPr>
          <w:rFonts w:ascii="Calibri" w:hAnsi="Calibri" w:eastAsia="Calibri"/>
          <w:b/>
          <w:i w:val="0"/>
          <w:color w:val="2C2C2C"/>
          <w:sz w:val="22"/>
        </w:rPr>
        <w:t>Attributes  (invert harm first)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Benefit:  DYSM, NMPP, DYSP  = responder probabilities  (150 mg DYSP was NS; 200 BID was significant).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Risk:     NoHF = 1 − P(mod/severe hot flush)     BMDok = 1 − P(BMD loss &gt; 1%)   (1% is the Winzenborg surrogate, not the published &gt;5% rate).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Additive (this exercise)   U(d) = Σ  ŵᵢ · EPᵢ(d)          Product (Exercise 1)   CUI(d) = Π  EPᵢ(d)^ŵᵢ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DCE average (Poulos 2019)  NoHF 3.62 · DYSP 1.70 · NMPP 1.49 · DYSM 1.48 · BMDok 0.49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B4532A"/>
          <w:sz w:val="20"/>
        </w:rPr>
        <w:t>LAPTOP  ·  HANDS_ON2_20THSEPT2026 / MATERIALS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setwd(".../Hands_On2_20thSept2026/Materials")     shiny::runApp("scripts/03_app.R")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Packages: dplyr, tidyr, ggplot2, patchwork, shiny, bslib, plotly.  Form starts on Additive. No Task 0 — you already did the arithmetic in Exercise 1.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B4532A"/>
          <w:sz w:val="20"/>
        </w:rPr>
        <w:t>TASKS A–D  ·  SAME DUMMY E–R  ·  FILL FROM THE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864"/>
            <w:shd w:fill="1B365D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3168"/>
            <w:shd w:fill="1B365D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Persona</w:t>
            </w:r>
          </w:p>
        </w:tc>
        <w:tc>
          <w:tcPr>
            <w:tcW w:type="dxa" w:w="1296"/>
            <w:shd w:fill="1B365D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Form</w:t>
            </w:r>
          </w:p>
        </w:tc>
        <w:tc>
          <w:tcPr>
            <w:tcW w:type="dxa" w:w="1584"/>
            <w:shd w:fill="1B365D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Peak TDD</w:t>
            </w:r>
          </w:p>
        </w:tc>
        <w:tc>
          <w:tcPr>
            <w:tcW w:type="dxa" w:w="2304"/>
            <w:shd w:fill="1B365D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Nearer label</w:t>
            </w:r>
          </w:p>
        </w:tc>
        <w:tc>
          <w:tcPr>
            <w:tcW w:type="dxa" w:w="1440"/>
            <w:shd w:fill="1B365D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Approved?</w:t>
            </w:r>
          </w:p>
        </w:tc>
      </w:tr>
      <w:tr>
        <w:tc>
          <w:tcPr>
            <w:tcW w:type="dxa" w:w="864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A</w:t>
            </w:r>
          </w:p>
        </w:tc>
        <w:tc>
          <w:tcPr>
            <w:tcW w:type="dxa" w:w="3168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trial-like  DYSP = 0</w:t>
            </w:r>
          </w:p>
        </w:tc>
        <w:tc>
          <w:tcPr>
            <w:tcW w:type="dxa" w:w="1296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sum</w:t>
            </w:r>
          </w:p>
        </w:tc>
        <w:tc>
          <w:tcPr>
            <w:tcW w:type="dxa" w:w="1584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  <w:tc>
          <w:tcPr>
            <w:tcW w:type="dxa" w:w="2304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150 QD / 200 BID</w:t>
            </w:r>
          </w:p>
        </w:tc>
        <w:tc>
          <w:tcPr>
            <w:tcW w:type="dxa" w:w="1440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y / n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B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dyspareunia  DYSP = 2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sum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150 QD / 200 BID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y / n</w:t>
            </w:r>
          </w:p>
        </w:tc>
      </w:tr>
      <w:tr>
        <w:tc>
          <w:tcPr>
            <w:tcW w:type="dxa" w:w="864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C</w:t>
            </w:r>
          </w:p>
        </w:tc>
        <w:tc>
          <w:tcPr>
            <w:tcW w:type="dxa" w:w="3168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DCE average</w:t>
            </w:r>
          </w:p>
        </w:tc>
        <w:tc>
          <w:tcPr>
            <w:tcW w:type="dxa" w:w="1296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sum</w:t>
            </w:r>
          </w:p>
        </w:tc>
        <w:tc>
          <w:tcPr>
            <w:tcW w:type="dxa" w:w="1584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  <w:tc>
          <w:tcPr>
            <w:tcW w:type="dxa" w:w="2304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150 QD / 200 BID</w:t>
            </w:r>
          </w:p>
        </w:tc>
        <w:tc>
          <w:tcPr>
            <w:tcW w:type="dxa" w:w="1440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y / n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D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DCE average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product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150 QD / 200 BID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y / n</w:t>
            </w:r>
          </w:p>
        </w:tc>
      </w:tr>
      <w:tr>
        <w:tc>
          <w:tcPr>
            <w:tcW w:type="dxa" w:w="864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D</w:t>
            </w:r>
          </w:p>
        </w:tc>
        <w:tc>
          <w:tcPr>
            <w:tcW w:type="dxa" w:w="3168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bone-sparing</w:t>
            </w:r>
          </w:p>
        </w:tc>
        <w:tc>
          <w:tcPr>
            <w:tcW w:type="dxa" w:w="1296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sum</w:t>
            </w:r>
          </w:p>
        </w:tc>
        <w:tc>
          <w:tcPr>
            <w:tcW w:type="dxa" w:w="1584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  <w:tc>
          <w:tcPr>
            <w:tcW w:type="dxa" w:w="2304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150 QD / 200 BID</w:t>
            </w:r>
          </w:p>
        </w:tc>
        <w:tc>
          <w:tcPr>
            <w:tcW w:type="dxa" w:w="1440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y / n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D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bone-sparing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product</w:t>
            </w:r>
          </w:p>
        </w:tc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150 QD / 200 BID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y / n</w:t>
            </w:r>
          </w:p>
        </w:tc>
      </w:tr>
    </w:tbl>
    <w:p>
      <w:pPr>
        <w:spacing w:after="80" w:before="12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A also: CUI at 150 = ______     CUI at 400 = ______     Should 200 BID win if DYSP is worth nothing?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B: did the argmax move from A?  yes / no     Same data; only the DYSP weight changed.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C: paper reported ~230 mg. Is your peak an approved dose?  yes / no     A DCE-average peak is a hypothesis, not a third label.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D (if time): a product vetos only when a high-weight EP is near zero. DCE barely weights BMD — the product need not move left.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B4532A"/>
          <w:sz w:val="20"/>
        </w:rPr>
        <w:t>OPTIONAL IF TIME  ·  VIRTUAL PATIENTS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Pain-dominant peak TDD = ________     Bone-sparing peak TDD = ________     A flatter CUI is a result, not a failure.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B4532A"/>
          <w:sz w:val="20"/>
        </w:rPr>
        <w:t>AFTER THE DEBRIEF SLIDE — DO NOT FILL THIS UNTIL THEN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Take-home: write the weights and the form before you report a peak. Weights are the model.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