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5 · Confidence Intervals in Practice</w:t>
      </w:r>
    </w:p>
    <w:p>
      <w:pPr>
        <w:pStyle w:val="Subtitle"/>
      </w:pPr>
      <w:r>
        <w:t xml:space="preserve">CRJU 705 · due by 11:59 pm Sunday ahead of Session 6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This homework uses the Alaska traffic-crash data from Lab 4 — 20,000 real-world-style crash incidents.</w:t>
      </w:r>
      <w:r>
        <w:t xml:space="preserve"> </w:t>
      </w:r>
      <w:r>
        <w:rPr>
          <w:b/>
          <w:bCs/>
        </w:rPr>
        <w:t xml:space="preserve">Our research question: do crashes involving an intoxicated driver injure more people than crashes that don’t?</w:t>
      </w:r>
      <w:r>
        <w:t xml:space="preserve"> </w:t>
      </w:r>
      <w:r>
        <w:t xml:space="preserve">Every step below is one you ran in Lab 5, pointed at a new question.</w:t>
      </w:r>
    </w:p>
    <w:p>
      <w:pPr>
        <w:pStyle w:val="BodyText"/>
      </w:pPr>
      <w:r>
        <w:t xml:space="preserve">Start your script with: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crashes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"https://smourtgos.github.io/crju705/data/crash-ak.csv"</w:t>
      </w:r>
      <w:r>
        <w:rPr>
          <w:rStyle w:val="NormalTok"/>
        </w:rPr>
        <w:t xml:space="preserve">)</w:t>
      </w:r>
    </w:p>
    <w:bookmarkStart w:id="20" w:name="part-1-import-and-name-the-groups"/>
    <w:p>
      <w:pPr>
        <w:pStyle w:val="Heading2"/>
      </w:pPr>
      <w:r>
        <w:t xml:space="preserve">Part 1: Import and Name the Groups</w:t>
      </w:r>
    </w:p>
    <w:p>
      <w:pPr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glimpse(crashes)</w:t>
      </w:r>
      <w:r>
        <w:t xml:space="preserve">. The column</w:t>
      </w:r>
      <w:r>
        <w:t xml:space="preserve"> </w:t>
      </w:r>
      <w:r>
        <w:rPr>
          <w:rStyle w:val="VerbatimChar"/>
        </w:rPr>
        <w:t xml:space="preserve">intox_any</w:t>
      </w:r>
      <w:r>
        <w:t xml:space="preserve"> </w:t>
      </w:r>
      <w:r>
        <w:t xml:space="preserve">is 1 when the driver was intoxicated and 0 when not.</w:t>
      </w:r>
    </w:p>
    <w:p>
      <w:pPr>
        <w:numPr>
          <w:ilvl w:val="0"/>
          <w:numId w:val="1001"/>
        </w:numPr>
      </w:pPr>
      <w:r>
        <w:t xml:space="preserve">Copy this line into your script and run it. It labels each crash in words, so every later result reads</w:t>
      </w:r>
      <w:r>
        <w:t xml:space="preserve"> </w:t>
      </w:r>
      <w:r>
        <w:t xml:space="preserve">“Intoxicated”</w:t>
      </w:r>
      <w:r>
        <w:t xml:space="preserve"> </w:t>
      </w:r>
      <w:r>
        <w:t xml:space="preserve">and</w:t>
      </w:r>
      <w:r>
        <w:t xml:space="preserve"> </w:t>
      </w:r>
      <w:r>
        <w:t xml:space="preserve">“Sober”</w:t>
      </w:r>
      <w:r>
        <w:t xml:space="preserve"> </w:t>
      </w:r>
      <w:r>
        <w:t xml:space="preserve">instead of 1 and 0: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crashes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intox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(intox_any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"Intoxicated"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"Sober"</w:t>
      </w:r>
      <w:r>
        <w:rPr>
          <w:rStyle w:val="NormalTok"/>
        </w:rPr>
        <w:t xml:space="preserve">))</w:t>
      </w:r>
    </w:p>
    <w:p>
      <w:pPr>
        <w:numPr>
          <w:ilvl w:val="0"/>
          <w:numId w:val="1001"/>
        </w:numPr>
      </w:pPr>
      <w:r>
        <w:t xml:space="preserve">Count the two groups with</w:t>
      </w:r>
      <w:r>
        <w:t xml:space="preserve"> </w:t>
      </w:r>
      <w:r>
        <w:rPr>
          <w:rStyle w:val="VerbatimChar"/>
        </w:rPr>
        <w:t xml:space="preserve">crashes |&gt; count(intox)</w:t>
      </w:r>
      <w:r>
        <w:t xml:space="preserve">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how many crashes are in each group? You will type these two numbers into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 </w:t>
      </w:r>
      <w:r>
        <w:t xml:space="preserve">in Part 5.</w:t>
      </w:r>
    </w:p>
    <w:bookmarkEnd w:id="20"/>
    <w:bookmarkStart w:id="21" w:name="part-2-point-estimates-and-spread"/>
    <w:p>
      <w:pPr>
        <w:pStyle w:val="Heading2"/>
      </w:pPr>
      <w:r>
        <w:t xml:space="preserve">Part 2: Point Estimates and Spread</w:t>
      </w:r>
    </w:p>
    <w:p>
      <w:pPr>
        <w:numPr>
          <w:ilvl w:val="0"/>
          <w:numId w:val="1002"/>
        </w:numPr>
      </w:pPr>
      <w:r>
        <w:t xml:space="preserve">Get the mean and standard deviation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for each group in one table: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crashes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mean_injuries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(injuries), </w:t>
      </w:r>
      <w:r>
        <w:rPr>
          <w:rStyle w:val="AttributeTok"/>
        </w:rPr>
        <w:t xml:space="preserve">sd_injuries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(injuries),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intox)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(intox)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write down each mean. Which group has the higher average injury count? Remember what these numbers are —</w:t>
      </w:r>
      <w:r>
        <w:t xml:space="preserve"> </w:t>
      </w:r>
      <w:r>
        <w:rPr>
          <w:i/>
          <w:iCs/>
        </w:rPr>
        <w:t xml:space="preserve">point estimates</w:t>
      </w:r>
      <w:r>
        <w:t xml:space="preserve">, not the final word.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compare the two standard deviations. Which group’s injury counts vary more?</w:t>
      </w:r>
    </w:p>
    <w:bookmarkEnd w:id="21"/>
    <w:bookmarkStart w:id="22" w:name="part-3-visualize"/>
    <w:p>
      <w:pPr>
        <w:pStyle w:val="Heading2"/>
      </w:pPr>
      <w:r>
        <w:t xml:space="preserve">Part 3: Visualize</w:t>
      </w:r>
    </w:p>
    <w:p>
      <w:pPr>
        <w:numPr>
          <w:ilvl w:val="0"/>
          <w:numId w:val="1003"/>
        </w:numPr>
      </w:pPr>
      <w:r>
        <w:t xml:space="preserve">Make a boxplot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for the two groups: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(crashes,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intox,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injuries))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interpret the plot. Injury counts are small whole numbers, so the boxes look blocky — can you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a difference between the groups, or do you need inference to settle it?</w:t>
      </w:r>
    </w:p>
    <w:bookmarkEnd w:id="22"/>
    <w:bookmarkStart w:id="23" w:name="part-4-the-interval-with-t.test"/>
    <w:p>
      <w:pPr>
        <w:pStyle w:val="Heading2"/>
      </w:pPr>
      <w:r>
        <w:t xml:space="preserve">Part 4: The Interval, with</w:t>
      </w:r>
      <w:r>
        <w:t xml:space="preserve"> </w:t>
      </w:r>
      <w:r>
        <w:rPr>
          <w:rStyle w:val="VerbatimChar"/>
        </w:rPr>
        <w:t xml:space="preserve">t.test()</w:t>
      </w:r>
    </w:p>
    <w:p>
      <w:pPr>
        <w:numPr>
          <w:ilvl w:val="0"/>
          <w:numId w:val="1004"/>
        </w:numPr>
      </w:pPr>
      <w:r>
        <w:t xml:space="preserve">Run the two-sample t-test, exactly as in Lab 5: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(injuries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intox,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crashes)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copy down the 95% confidence interval. Does it include 0? Then do the direction check from lab: the output lists Intoxicated first, so the interval is</w:t>
      </w:r>
      <w:r>
        <w:t xml:space="preserve"> </w:t>
      </w:r>
      <w:r>
        <w:rPr>
          <w:b/>
          <w:bCs/>
        </w:rPr>
        <w:t xml:space="preserve">Intoxicated minus Sober</w:t>
      </w:r>
      <w:r>
        <w:t xml:space="preserve">. Confirm that its sign agrees with the two group means at the bottom of the output.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say what the interval means in words, the way we did in class: about how many more (or fewer) injuries per crash, and does the data settle the direction?</w:t>
      </w:r>
    </w:p>
    <w:bookmarkEnd w:id="23"/>
    <w:bookmarkStart w:id="24" w:name="part-5-a-proportion-for-practice"/>
    <w:p>
      <w:pPr>
        <w:pStyle w:val="Heading2"/>
      </w:pPr>
      <w:r>
        <w:t xml:space="preserve">Part 5: A Proportion, for Practice</w:t>
      </w:r>
    </w:p>
    <w:p>
      <w:pPr>
        <w:numPr>
          <w:ilvl w:val="0"/>
          <w:numId w:val="1005"/>
        </w:numPr>
      </w:pPr>
      <w:r>
        <w:t xml:space="preserve">Compute a 95% confidence interval for the</w:t>
      </w:r>
      <w:r>
        <w:t xml:space="preserve"> </w:t>
      </w:r>
      <w:r>
        <w:rPr>
          <w:b/>
          <w:bCs/>
        </w:rPr>
        <w:t xml:space="preserve">proportion of all crashes that involve an intoxicated driver</w:t>
      </w:r>
      <w:r>
        <w:t xml:space="preserve">. Type the two numbers from your Part 1 count into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: how many intoxicated, out of how many crashes.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report the interval in one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sentence — one that would survive the</w:t>
      </w:r>
      <w:r>
        <w:t xml:space="preserve"> </w:t>
      </w:r>
      <w:r>
        <w:t xml:space="preserve">“Saying It Out Loud”</w:t>
      </w:r>
      <w:r>
        <w:t xml:space="preserve"> </w:t>
      </w:r>
      <w:r>
        <w:t xml:space="preserve">slide from class.</w:t>
      </w:r>
    </w:p>
    <w:bookmarkEnd w:id="24"/>
    <w:bookmarkStart w:id="25" w:name="wrap-up-questions-answer-in-comments"/>
    <w:p>
      <w:pPr>
        <w:pStyle w:val="Heading2"/>
      </w:pPr>
      <w:r>
        <w:t xml:space="preserve">Wrap-Up Questions (answer in comments)</w:t>
      </w:r>
    </w:p>
    <w:p>
      <w:pPr>
        <w:pStyle w:val="Compact"/>
        <w:numPr>
          <w:ilvl w:val="0"/>
          <w:numId w:val="1006"/>
        </w:numPr>
      </w:pPr>
      <w:r>
        <w:t xml:space="preserve">How does the confidence interval help us make an inference about the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of Alaska crashes, when we only ever see a sample?</w:t>
      </w:r>
    </w:p>
    <w:p>
      <w:pPr>
        <w:pStyle w:val="Compact"/>
        <w:numPr>
          <w:ilvl w:val="0"/>
          <w:numId w:val="1006"/>
        </w:numPr>
      </w:pPr>
      <w:r>
        <w:t xml:space="preserve">What would happen to the width of the CI if we doubled the sample size? Why?</w:t>
      </w:r>
    </w:p>
    <w:p>
      <w:pPr>
        <w:pStyle w:val="Compact"/>
        <w:numPr>
          <w:ilvl w:val="0"/>
          <w:numId w:val="1006"/>
        </w:numPr>
      </w:pPr>
      <w:r>
        <w:t xml:space="preserve">How does this example compare to John Snow’s inference about the cholera pumps?</w:t>
      </w:r>
    </w:p>
    <w:bookmarkEnd w:id="25"/>
    <w:bookmarkStart w:id="27" w:name="r4ds-exercises-required"/>
    <w:p>
      <w:pPr>
        <w:pStyle w:val="Heading2"/>
      </w:pPr>
      <w:r>
        <w:t xml:space="preserve">R4DS Exercises (required)</w:t>
      </w:r>
    </w:p>
    <w:p>
      <w:pPr>
        <w:pStyle w:val="FirstParagraph"/>
      </w:pPr>
      <w:r>
        <w:t xml:space="preserve">From your R4DS reading for Session 6 —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Ch. 16, Factors</w:t>
        </w:r>
      </w:hyperlink>
      <w:r>
        <w:t xml:space="preserve">. No new packages: the</w:t>
      </w:r>
      <w:r>
        <w:t xml:space="preserve"> </w:t>
      </w:r>
      <w:r>
        <w:rPr>
          <w:rStyle w:val="VerbatimChar"/>
        </w:rPr>
        <w:t xml:space="preserve">gss_cat</w:t>
      </w:r>
      <w:r>
        <w:t xml:space="preserve"> </w:t>
      </w:r>
      <w:r>
        <w:t xml:space="preserve">survey data ships with the tidyverse. All four exercises are about one idea from today: the order of the groups is a choice you make, not something R knows.</w:t>
      </w:r>
    </w:p>
    <w:p>
      <w:pPr>
        <w:pStyle w:val="BodyText"/>
      </w:pPr>
      <w:r>
        <w:t xml:space="preserve">Work these in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  <w:r>
        <w:t xml:space="preserve">, under a</w:t>
      </w:r>
      <w:r>
        <w:t xml:space="preserve"> </w:t>
      </w:r>
      <w:r>
        <w:rPr>
          <w:rStyle w:val="VerbatimChar"/>
        </w:rPr>
        <w:t xml:space="preserve"># ---- R4DS ----</w:t>
      </w:r>
      <w:r>
        <w:t xml:space="preserve"> </w:t>
      </w:r>
      <w:r>
        <w:t xml:space="preserve">header.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16.3.1</w:t>
      </w:r>
      <w:r>
        <w:t xml:space="preserve"> </w:t>
      </w:r>
      <w:r>
        <w:t xml:space="preserve">#2 — what is the most common</w:t>
      </w:r>
      <w:r>
        <w:t xml:space="preserve"> </w:t>
      </w:r>
      <w:r>
        <w:rPr>
          <w:rStyle w:val="VerbatimChar"/>
        </w:rPr>
        <w:t xml:space="preserve">relig</w:t>
      </w:r>
      <w:r>
        <w:t xml:space="preserve"> </w:t>
      </w:r>
      <w:r>
        <w:t xml:space="preserve">in this survey? The most common</w:t>
      </w:r>
      <w:r>
        <w:t xml:space="preserve"> </w:t>
      </w:r>
      <w:r>
        <w:rPr>
          <w:rStyle w:val="VerbatimChar"/>
        </w:rPr>
        <w:t xml:space="preserve">partyid</w:t>
      </w:r>
      <w:r>
        <w:t xml:space="preserve">? (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will do it.)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16.3.1</w:t>
      </w:r>
      <w:r>
        <w:t xml:space="preserve"> </w:t>
      </w:r>
      <w:r>
        <w:t xml:space="preserve">#1 — make the default bar chart of</w:t>
      </w:r>
      <w:r>
        <w:t xml:space="preserve"> </w:t>
      </w:r>
      <w:r>
        <w:rPr>
          <w:rStyle w:val="VerbatimChar"/>
        </w:rPr>
        <w:t xml:space="preserve">rincome</w:t>
      </w:r>
      <w:r>
        <w:t xml:space="preserve">. What makes it hard to read? How could you improve it? (Hint: the two problems are the overlapping labels and the order of the levels.</w:t>
      </w:r>
      <w:r>
        <w:t xml:space="preserve"> </w:t>
      </w:r>
      <w:r>
        <w:rPr>
          <w:rStyle w:val="VerbatimChar"/>
        </w:rPr>
        <w:t xml:space="preserve">aes(y = rincome)</w:t>
      </w:r>
      <w:r>
        <w:t xml:space="preserve"> </w:t>
      </w:r>
      <w:r>
        <w:t xml:space="preserve">fixes the first one.)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16.4.1</w:t>
      </w:r>
      <w:r>
        <w:t xml:space="preserve"> </w:t>
      </w:r>
      <w:r>
        <w:t xml:space="preserve">#2 — for each of the six factor columns in</w:t>
      </w:r>
      <w:r>
        <w:t xml:space="preserve"> </w:t>
      </w:r>
      <w:r>
        <w:rPr>
          <w:rStyle w:val="VerbatimChar"/>
        </w:rPr>
        <w:t xml:space="preserve">gss_cat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rincome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relig</w:t>
      </w:r>
      <w:r>
        <w:t xml:space="preserve">,</w:t>
      </w:r>
      <w:r>
        <w:t xml:space="preserve"> </w:t>
      </w:r>
      <w:r>
        <w:rPr>
          <w:rStyle w:val="VerbatimChar"/>
        </w:rPr>
        <w:t xml:space="preserve">denom</w:t>
      </w:r>
      <w:r>
        <w:t xml:space="preserve">), is the order of the levels arbitrary or principled? One comment line each.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the column, or run</w:t>
      </w:r>
      <w:r>
        <w:t xml:space="preserve"> </w:t>
      </w:r>
      <w:r>
        <w:rPr>
          <w:rStyle w:val="VerbatimChar"/>
        </w:rPr>
        <w:t xml:space="preserve">levels()</w:t>
      </w:r>
      <w:r>
        <w:t xml:space="preserve"> </w:t>
      </w:r>
      <w:r>
        <w:t xml:space="preserve">on it, to see the order.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16.5.1</w:t>
      </w:r>
      <w:r>
        <w:t xml:space="preserve"> </w:t>
      </w:r>
      <w:r>
        <w:t xml:space="preserve">#2 — collapse</w:t>
      </w:r>
      <w:r>
        <w:t xml:space="preserve"> </w:t>
      </w:r>
      <w:r>
        <w:rPr>
          <w:rStyle w:val="VerbatimChar"/>
        </w:rPr>
        <w:t xml:space="preserve">rincome</w:t>
      </w:r>
      <w:r>
        <w:t xml:space="preserve"> </w:t>
      </w:r>
      <w:r>
        <w:t xml:space="preserve">into a small set of categories. Start from this, which runs as-is: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gss_cat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rincome2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fct_collapse</w:t>
      </w:r>
      <w:r>
        <w:rPr>
          <w:rStyle w:val="NormalTok"/>
        </w:rPr>
        <w:t xml:space="preserve">(rincome,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applicable"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"Under $10,000"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"Lt $1000"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"$1000 to 2999"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"$3000 to 3999"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"$4000 to 4999"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"$5000 to 5999"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"$6000 to 6999"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"$7000 to 7999"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"$8000 to 9999"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(rincome2)</w:t>
      </w:r>
    </w:p>
    <w:p>
      <w:pPr>
        <w:numPr>
          <w:ilvl w:val="0"/>
          <w:numId w:val="1000"/>
        </w:numPr>
      </w:pPr>
      <w:r>
        <w:t xml:space="preserve">Then add the four remaining bands (</w:t>
      </w:r>
      <w:r>
        <w:rPr>
          <w:rStyle w:val="VerbatimChar"/>
        </w:rPr>
        <w:t xml:space="preserve">"$10000 - 14999"</w:t>
      </w:r>
      <w:r>
        <w:t xml:space="preserve">,</w:t>
      </w:r>
      <w:r>
        <w:t xml:space="preserve"> </w:t>
      </w:r>
      <w:r>
        <w:rPr>
          <w:rStyle w:val="VerbatimChar"/>
        </w:rPr>
        <w:t xml:space="preserve">"$15000 - 19999"</w:t>
      </w:r>
      <w:r>
        <w:t xml:space="preserve">,</w:t>
      </w:r>
      <w:r>
        <w:t xml:space="preserve"> </w:t>
      </w:r>
      <w:r>
        <w:rPr>
          <w:rStyle w:val="VerbatimChar"/>
        </w:rPr>
        <w:t xml:space="preserve">"$20000 - 24999"</w:t>
      </w:r>
      <w:r>
        <w:t xml:space="preserve">,</w:t>
      </w:r>
      <w:r>
        <w:t xml:space="preserve"> </w:t>
      </w:r>
      <w:r>
        <w:rPr>
          <w:rStyle w:val="VerbatimChar"/>
        </w:rPr>
        <w:t xml:space="preserve">"$25000 or more"</w:t>
      </w:r>
      <w:r>
        <w:t xml:space="preserve">) into one or two groups of your choosing, and run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again.</w:t>
      </w:r>
    </w:p>
    <w:p>
      <w:pPr>
        <w:pStyle w:val="FirstParagraph"/>
      </w:pPr>
      <w:r>
        <w:t xml:space="preserve">Chapter 16 has more exercises than these. Skip them; these four are the ones worth your time.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r4ds.hadley.nz/factor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r4ds.hadley.nz/factor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5 · Confidence Intervals in Practice</dc:title>
  <dc:creator/>
  <cp:keywords/>
  <dcterms:created xsi:type="dcterms:W3CDTF">2026-10-20T23:12:50Z</dcterms:created>
  <dcterms:modified xsi:type="dcterms:W3CDTF">2026-10-20T23:12:50Z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 ahead of Session 6</vt:lpwstr>
  </property>
  <property fmtid="{D5CDD505-2E9C-101B-9397-08002B2CF9AE}" pid="9" name="toc-title">
    <vt:lpwstr>Table of contents</vt:lpwstr>
  </property>
</Properties>
</file>