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before noon Tuesday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5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</w:p>
    <w:bookmarkStart w:id="20" w:name="part-1-import-and-clean"/>
    <w:p>
      <w:pPr>
        <w:pStyle w:val="Heading2"/>
      </w:pPr>
      <w:r>
        <w:t xml:space="preserve">Part 1: Import and Clean</w:t>
      </w:r>
    </w:p>
    <w:p>
      <w:pPr>
        <w:numPr>
          <w:ilvl w:val="0"/>
          <w:numId w:val="1001"/>
        </w:numPr>
      </w:pPr>
      <w:r>
        <w:t xml:space="preserve">Import the crash data directly from the web: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Check what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guessed with</w:t>
      </w:r>
      <w:r>
        <w:t xml:space="preserve"> </w:t>
      </w:r>
      <w:r>
        <w:rPr>
          <w:rStyle w:val="VerbatimChar"/>
        </w:rPr>
        <w:t xml:space="preserve">spec()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 One column that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a date is not. Fix it using</w:t>
      </w:r>
      <w:r>
        <w:t xml:space="preserve"> </w:t>
      </w:r>
      <w:r>
        <w:rPr>
          <w:rStyle w:val="VerbatimChar"/>
        </w:rPr>
        <w:t xml:space="preserve">mdy()</w:t>
      </w:r>
      <w:r>
        <w:t xml:space="preserve"> </w:t>
      </w:r>
      <w:r>
        <w:t xml:space="preserve">from lubridate (as in Lab 5), and verify your parse worked with</w:t>
      </w:r>
      <w:r>
        <w:t xml:space="preserve"> </w:t>
      </w:r>
      <w:r>
        <w:rPr>
          <w:rStyle w:val="VerbatimChar"/>
        </w:rPr>
        <w:t xml:space="preserve">sum(is.na(crashes$date))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from your parsed date and count crashes per year.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one year has almost no crashes — is that a data problem or something else? (Hint: check the latest date in the data with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.)</w:t>
      </w:r>
    </w:p>
    <w:bookmarkEnd w:id="20"/>
    <w:bookmarkStart w:id="21" w:name="part-2-point-estimates"/>
    <w:p>
      <w:pPr>
        <w:pStyle w:val="Heading2"/>
      </w:pPr>
      <w:r>
        <w:t xml:space="preserve">Part 2: Point Estimates</w:t>
      </w:r>
    </w:p>
    <w:p>
      <w:pPr>
        <w:numPr>
          <w:ilvl w:val="0"/>
          <w:numId w:val="1002"/>
        </w:numPr>
      </w:pPr>
      <w:r>
        <w:t xml:space="preserve">Calculate the mean number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separately for crashes with an intoxicated driver (</w:t>
      </w:r>
      <w:r>
        <w:rPr>
          <w:rStyle w:val="VerbatimChar"/>
        </w:rPr>
        <w:t xml:space="preserve">intox_any == 1</w:t>
      </w:r>
      <w:r>
        <w:t xml:space="preserve">) and without (</w:t>
      </w:r>
      <w:r>
        <w:rPr>
          <w:rStyle w:val="VerbatimChar"/>
        </w:rPr>
        <w:t xml:space="preserve">intox_any == 0</w:t>
      </w:r>
      <w:r>
        <w:t xml:space="preserve">). You can use the Lab 2 approach: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intox_any)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bookmarkEnd w:id="21"/>
    <w:bookmarkStart w:id="22" w:name="part-3-standard-deviations"/>
    <w:p>
      <w:pPr>
        <w:pStyle w:val="Heading2"/>
      </w:pPr>
      <w:r>
        <w:t xml:space="preserve">Part 3: Standard Deviations</w:t>
      </w:r>
    </w:p>
    <w:p>
      <w:pPr>
        <w:numPr>
          <w:ilvl w:val="0"/>
          <w:numId w:val="1003"/>
        </w:numPr>
      </w:pPr>
      <w:r>
        <w:t xml:space="preserve">Calculate the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(add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variability. Which group’s injury counts vary more?</w:t>
      </w:r>
    </w:p>
    <w:bookmarkEnd w:id="22"/>
    <w:bookmarkStart w:id="23" w:name="part-4-visualize"/>
    <w:p>
      <w:pPr>
        <w:pStyle w:val="Heading2"/>
      </w:pPr>
      <w:r>
        <w:t xml:space="preserve">Part 4: Visualize</w:t>
      </w:r>
    </w:p>
    <w:p>
      <w:pPr>
        <w:numPr>
          <w:ilvl w:val="0"/>
          <w:numId w:val="1004"/>
        </w:numPr>
      </w:pPr>
      <w:r>
        <w:t xml:space="preserve">Create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groups. Because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stored as 0/1, wrap it in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(intox_any),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3"/>
    <w:bookmarkStart w:id="24" w:name="part-5-sampling-variability"/>
    <w:p>
      <w:pPr>
        <w:pStyle w:val="Heading2"/>
      </w:pPr>
      <w:r>
        <w:t xml:space="preserve">Part 5: Sampling Variability</w:t>
      </w:r>
    </w:p>
    <w:p>
      <w:pPr>
        <w:numPr>
          <w:ilvl w:val="0"/>
          <w:numId w:val="1005"/>
        </w:numPr>
      </w:pPr>
      <w:r>
        <w:t xml:space="preserve">Resample each group (with replacement, at its full size) 100 times and compute the distribution of differences in mean injuries (intoxicated − sober), as we did in class: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sober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intox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mean_diffs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(intox,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(intox),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(sober,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(sober),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005"/>
        </w:numPr>
      </w:pPr>
      <w:r>
        <w:t xml:space="preserve">Plot a histogram of</w:t>
      </w:r>
      <w:r>
        <w:t xml:space="preserve"> </w:t>
      </w:r>
      <w:r>
        <w:rPr>
          <w:rStyle w:val="VerbatimChar"/>
        </w:rPr>
        <w:t xml:space="preserve">mean_diffs</w:t>
      </w:r>
      <w:r>
        <w:t xml:space="preserve"> </w:t>
      </w:r>
      <w:r>
        <w:t xml:space="preserve">and compute</w:t>
      </w:r>
      <w:r>
        <w:t xml:space="preserve"> </w:t>
      </w:r>
      <w:r>
        <w:rPr>
          <w:rStyle w:val="VerbatimChar"/>
        </w:rPr>
        <w:t xml:space="preserve">quantile(mean_diffs, c(0.025, 0.975))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what does the spread of the histogram suggest? Are the resampled differences consistently on one side of zero?</w:t>
      </w:r>
    </w:p>
    <w:bookmarkEnd w:id="24"/>
    <w:bookmarkStart w:id="25" w:name="part-6-confidence-interval-with-t.test"/>
    <w:p>
      <w:pPr>
        <w:pStyle w:val="Heading2"/>
      </w:pPr>
      <w:r>
        <w:t xml:space="preserve">Part 6: Confidence Interval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6"/>
        </w:numPr>
      </w:pPr>
      <w:r>
        <w:t xml:space="preserve">Run a two-sample t-test comparing injuries across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intox_any,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What does that tell us about the difference?</w:t>
      </w:r>
      <w:r>
        <w:t xml:space="preserve"> </w:t>
      </w:r>
      <w:r>
        <w:rPr>
          <w:i/>
          <w:iCs/>
        </w:rPr>
        <w:t xml:space="preserve">(Careful with direction: R computes group 0 − group 1 here, so compare the sign against your Part 5 histogram.)</w:t>
      </w:r>
    </w:p>
    <w:bookmarkEnd w:id="25"/>
    <w:bookmarkStart w:id="26" w:name="part-7-a-proportion-for-practice"/>
    <w:p>
      <w:pPr>
        <w:pStyle w:val="Heading2"/>
      </w:pPr>
      <w:r>
        <w:t xml:space="preserve">Part 7: A Proportion, for Practice</w:t>
      </w:r>
    </w:p>
    <w:p>
      <w:pPr>
        <w:numPr>
          <w:ilvl w:val="0"/>
          <w:numId w:val="1007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prop.test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(crashes))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6"/>
    <w:bookmarkStart w:id="27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8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8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8"/>
        </w:numPr>
      </w:pPr>
      <w:r>
        <w:t xml:space="preserve">How does this example compare to John Snow’s inference about the cholera pumps?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2026-07-06T00:05:29Z</dcterms:created>
  <dcterms:modified xsi:type="dcterms:W3CDTF">2026-07-06T00:05:29Z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6</vt:lpwstr>
  </property>
  <property fmtid="{D5CDD505-2E9C-101B-9397-08002B2CF9AE}" pid="9" name="toc-title">
    <vt:lpwstr>Table of contents</vt:lpwstr>
  </property>
</Properties>
</file>