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200"/>
        <w:jc w:val="center"/>
      </w:pPr>
      <w:r>
        <w:rPr>
          <w:rFonts w:ascii="Times New Roman" w:hAnsi="Times New Roman" w:eastAsia="黑体"/>
          <w:b w:val="0"/>
          <w:sz w:val="44"/>
        </w:rPr>
        <w:t>五个班级学业成绩的数据挖掘与分析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8"/>
        </w:rPr>
        <w:t>——基于KDD流程的数据预处理、统计描述与聚类分析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课程名称：</w:t>
      </w:r>
      <w:r>
        <w:rPr>
          <w:rFonts w:ascii="Times New Roman" w:hAnsi="Times New Roman" w:eastAsia="宋体"/>
          <w:b w:val="0"/>
          <w:sz w:val="28"/>
        </w:rPr>
        <w:t>人工智能（第二章  数据挖掘）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作业题目：</w:t>
      </w:r>
      <w:r>
        <w:rPr>
          <w:rFonts w:ascii="Times New Roman" w:hAnsi="Times New Roman" w:eastAsia="宋体"/>
          <w:b w:val="0"/>
          <w:sz w:val="28"/>
        </w:rPr>
        <w:t>作业一  五个班级成绩数据挖掘与分析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姓    名：</w:t>
      </w:r>
      <w:r>
        <w:rPr>
          <w:rFonts w:ascii="Times New Roman" w:hAnsi="Times New Roman" w:eastAsia="宋体"/>
          <w:b w:val="0"/>
          <w:sz w:val="28"/>
        </w:rPr>
        <w:t>______________________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学    号：</w:t>
      </w:r>
      <w:r>
        <w:rPr>
          <w:rFonts w:ascii="Times New Roman" w:hAnsi="Times New Roman" w:eastAsia="宋体"/>
          <w:b w:val="0"/>
          <w:sz w:val="28"/>
        </w:rPr>
        <w:t>______________________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学    院：</w:t>
      </w:r>
      <w:r>
        <w:rPr>
          <w:rFonts w:ascii="Times New Roman" w:hAnsi="Times New Roman" w:eastAsia="宋体"/>
          <w:b w:val="0"/>
          <w:sz w:val="28"/>
        </w:rPr>
        <w:t>______________________</w:t>
      </w:r>
    </w:p>
    <w:p>
      <w:pPr>
        <w:spacing w:line="432" w:lineRule="auto" w:before="0" w:after="0"/>
        <w:jc w:val="center"/>
      </w:pPr>
      <w:r>
        <w:rPr>
          <w:rFonts w:ascii="Times New Roman" w:hAnsi="Times New Roman" w:eastAsia="黑体"/>
          <w:b w:val="0"/>
          <w:sz w:val="28"/>
        </w:rPr>
        <w:t>提交日期：</w:t>
      </w:r>
      <w:r>
        <w:rPr>
          <w:rFonts w:ascii="Times New Roman" w:hAnsi="Times New Roman" w:eastAsia="宋体"/>
          <w:b w:val="0"/>
          <w:sz w:val="28"/>
        </w:rPr>
        <w:t>2026年10月</w:t>
      </w:r>
    </w:p>
    <w:p>
      <w:r>
        <w:br w:type="page"/>
      </w:r>
    </w:p>
    <w:p>
      <w:pPr>
        <w:spacing w:line="360" w:lineRule="auto" w:before="0" w:after="200"/>
        <w:jc w:val="center"/>
      </w:pPr>
      <w:r>
        <w:rPr>
          <w:rFonts w:ascii="Times New Roman" w:hAnsi="Times New Roman" w:eastAsia="黑体"/>
          <w:b w:val="0"/>
          <w:sz w:val="30"/>
        </w:rPr>
        <w:t>摘  要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以五个班级178名学生的学期成绩汇总数据为对象，按照知识发现（KDD）流程进行数据挖掘与分析。预处理阶段审查了数据质量，处理了数值以文本存储、通过率记录格式不统一以及修读门数不同导致总分不可比等问题，并构造课程平均分，进行Min-Max归一化与Z-score标准化。分析阶段对各班成绩进行描述性统计与可视化（直方图、箱线图、Q-Q图、平行坐标图），以单因素方差分析和Kruskal-Wallis检验比较班级差异，以主成分分析和K-means聚类识别学生群体。五个班级的学分加权平均分差异显著（</w:t>
      </w:r>
      <w:r>
        <w:rPr>
          <w:rFonts w:ascii="Times New Roman" w:hAnsi="Times New Roman" w:eastAsia="宋体"/>
          <w:b w:val="0"/>
          <w:i/>
          <w:sz w:val="24"/>
        </w:rPr>
        <w:t>H</w:t>
      </w:r>
      <w:r>
        <w:rPr>
          <w:rFonts w:ascii="Times New Roman" w:hAnsi="Times New Roman" w:eastAsia="宋体"/>
          <w:b w:val="0"/>
          <w:sz w:val="24"/>
        </w:rPr>
        <w:t xml:space="preserve"> = 63.28，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&lt; 0.001，</w:t>
      </w:r>
      <w:r>
        <w:rPr>
          <w:rFonts w:ascii="Times New Roman" w:hAnsi="Times New Roman" w:eastAsia="宋体"/>
          <w:b w:val="0"/>
          <w:i/>
          <w:sz w:val="24"/>
        </w:rPr>
        <w:t>ε²</w:t>
      </w:r>
      <w:r>
        <w:rPr>
          <w:rFonts w:ascii="Times New Roman" w:hAnsi="Times New Roman" w:eastAsia="宋体"/>
          <w:b w:val="0"/>
          <w:sz w:val="24"/>
        </w:rPr>
        <w:t xml:space="preserve"> = 0.34），均值由高到低依次为BD、T1、T2、D2与D1；BD班均值最高、标准差最小；D1班不及格率为40.0%，不及格门次占五个班级总数的55%；同一培养方案的平行班之间差异不显著。K-means聚类将学生分为学业优良、中等与学业预警三类，其中学业预警学生22名。</w:t>
      </w:r>
    </w:p>
    <w:p>
      <w:pPr>
        <w:spacing w:line="360" w:lineRule="auto" w:before="160" w:after="0"/>
        <w:jc w:val="both"/>
      </w:pPr>
      <w:r>
        <w:rPr>
          <w:rFonts w:ascii="Times New Roman" w:hAnsi="Times New Roman" w:eastAsia="黑体"/>
          <w:b w:val="0"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数据挖掘；数据预处理；描述性统计；箱线图；K-means聚类；学业预警</w:t>
      </w:r>
    </w:p>
    <w:p>
      <w:r>
        <w:br w:type="page"/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1  引言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高校教学管理积累了大量学生成绩数据。成绩汇总表逐行记录每名学生的学业指标，直接阅读难以看出班级间差异、成绩分布特征和需要关注的学生。数据挖掘是从大量数据中提取隐含的、先前未知的、潜在有用的模式的过程，适用于此类问题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以五个班级同一学期的成绩汇总数据为对象，依据KDD流程完成数据预处理、统计描述、可视化分析与数据挖掘。具体工作包括：评估原始数据质量，经清洗、集成与变换形成分析数据集；比较各班成绩的集中趋势与离散趋势，并检验班级差异的显著性；识别成绩离群的个体，并以聚类方法划分学生群体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2  数据来源与变量说明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来自课程提供的Excel文件，含5个工作表，分别对应D1、D2、BD、T1、T2五个班级，合计178条学生记录，每条记录10个字段。每条记录为一个数据对象，每个字段为一个属性。各字段的定义及属性类型见表1，其中班级与成绩等级为预处理中构造的衍生属性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表1  变量定义与属性类型</w:t>
      </w:r>
    </w:p>
    <w:tbl>
      <w:tblPr>
        <w:jc w:val="center"/>
        <w:tblLayout w:type="fixed"/>
        <w:tblLook w:firstColumn="1" w:firstRow="1" w:lastColumn="0" w:lastRow="0" w:noHBand="0" w:noVBand="1" w:val="04A0"/>
        <w:tblW w:w="8618" w:type="dxa"/>
      </w:tblPr>
      <w:tblGrid>
        <w:gridCol w:w="1814"/>
        <w:gridCol w:w="4195"/>
        <w:gridCol w:w="2608"/>
      </w:tblGrid>
      <w:tr>
        <w:trPr>
          <w:cantSplit/>
        </w:trP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4195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2608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属性类型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ID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学生编号（BD表中列名为</w:t>
            </w:r>
            <w:r>
              <w:rPr>
                <w:rFonts w:ascii="宋体" w:hAnsi="宋体" w:eastAsia="宋体" w:cs="宋体" w:hint="eastAsia"/>
                <w:b w:val="0"/>
                <w:sz w:val="21"/>
              </w:rPr>
              <w:t xml:space="preserve">“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姓名</w:t>
            </w:r>
            <w:r>
              <w:rPr>
                <w:rFonts w:ascii="宋体" w:hAnsi="宋体" w:eastAsia="宋体" w:cs="宋体" w:hint="eastAsia"/>
                <w:b w:val="0"/>
                <w:sz w:val="21"/>
              </w:rPr>
              <w:t xml:space="preserve">”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）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标称属性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学分加权平均分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Σ(课程成绩×学分)/Σ学分，百分制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获得学分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本学期已获得的学分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不及格学分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不及格课程对应的学分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总学分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本学期应修学分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不及格门次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不及格课程的门数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平均学分绩点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GPA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通过率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获得学分/总学分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门数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本学期修读课程门数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总分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各门课程成绩之和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班级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数据来源工作表（衍生）</w:t>
            </w:r>
          </w:p>
        </w:tc>
        <w:tc>
          <w:tcPr>
            <w:tcW w:type="dxa" w:w="260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标称属性</w:t>
            </w:r>
          </w:p>
        </w:tc>
      </w:tr>
      <w:tr>
        <w:trPr>
          <w:cantSplit/>
        </w:trPr>
        <w:tc>
          <w:tcPr>
            <w:tcW w:type="dxa" w:w="181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成绩等级</w:t>
            </w:r>
          </w:p>
        </w:tc>
        <w:tc>
          <w:tcPr>
            <w:tcW w:type="dxa" w:w="4195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按学分加权平均分离散化（衍生）</w:t>
            </w:r>
          </w:p>
        </w:tc>
        <w:tc>
          <w:tcPr>
            <w:tcW w:type="dxa" w:w="2608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序数属性</w:t>
            </w:r>
          </w:p>
        </w:tc>
      </w:tr>
    </w:tbl>
    <w:p>
      <w:pPr>
        <w:spacing w:line="240" w:lineRule="auto" w:before="0" w:after="60"/>
        <w:jc w:val="both"/>
      </w:pP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3  数据预处理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预处理依次进行数据清洗、数据集成、数据变换与数据规约。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3.1  数据质量审查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从准确性、完整性和一致性三方面审查五个工作表，结果见表2。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表2  各工作表数据质量审查结果</w:t>
      </w:r>
    </w:p>
    <w:tbl>
      <w:tblPr>
        <w:jc w:val="center"/>
        <w:tblLayout w:type="fixed"/>
        <w:tblLook w:firstColumn="1" w:firstRow="1" w:lastColumn="0" w:lastRow="0" w:noHBand="0" w:noVBand="1" w:val="04A0"/>
        <w:tblW w:w="8646" w:type="dxa"/>
      </w:tblPr>
      <w:tblGrid>
        <w:gridCol w:w="3402"/>
        <w:gridCol w:w="1048"/>
        <w:gridCol w:w="1048"/>
        <w:gridCol w:w="1048"/>
        <w:gridCol w:w="1048"/>
        <w:gridCol w:w="1048"/>
      </w:tblGrid>
      <w:tr>
        <w:trPr>
          <w:cantSplit/>
        </w:trPr>
        <w:tc>
          <w:tcPr>
            <w:tcW w:type="dxa" w:w="3402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审查项目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D1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D2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BD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T1</w:t>
            </w:r>
          </w:p>
        </w:tc>
        <w:tc>
          <w:tcPr>
            <w:tcW w:type="dxa" w:w="1049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记录数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34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以文本格式存储的数值单元格数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314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306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360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首列列名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姓名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ID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学号示例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21BD1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21T111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21T211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通过率记录格式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文本(%)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文本(%)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数值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文本(%)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数值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缺失值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重复学号/重复记录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0/0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越界值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违反</w:t>
            </w:r>
            <w:r>
              <w:rPr>
                <w:rFonts w:ascii="宋体" w:hAnsi="宋体" w:eastAsia="宋体" w:cs="宋体" w:hint="eastAsia"/>
                <w:b w:val="0"/>
                <w:sz w:val="19"/>
              </w:rPr>
              <w:t xml:space="preserve">“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获得学分+不及格学分=总学分</w:t>
            </w:r>
            <w:r>
              <w:rPr>
                <w:rFonts w:ascii="宋体" w:hAnsi="宋体" w:eastAsia="宋体" w:cs="宋体" w:hint="eastAsia"/>
                <w:b w:val="0"/>
                <w:sz w:val="19"/>
              </w:rPr>
              <w:t xml:space="preserve">”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违反</w:t>
            </w:r>
            <w:r>
              <w:rPr>
                <w:rFonts w:ascii="宋体" w:hAnsi="宋体" w:eastAsia="宋体" w:cs="宋体" w:hint="eastAsia"/>
                <w:b w:val="0"/>
                <w:sz w:val="19"/>
              </w:rPr>
              <w:t xml:space="preserve">“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通过率=获得学分/总学分</w:t>
            </w:r>
            <w:r>
              <w:rPr>
                <w:rFonts w:ascii="宋体" w:hAnsi="宋体" w:eastAsia="宋体" w:cs="宋体" w:hint="eastAsia"/>
                <w:b w:val="0"/>
                <w:sz w:val="19"/>
              </w:rPr>
              <w:t xml:space="preserve">”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应修学分/课程门数（众数）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28/11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28/11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27/11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25/10</w:t>
            </w:r>
          </w:p>
        </w:tc>
        <w:tc>
          <w:tcPr>
            <w:tcW w:type="dxa" w:w="1049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25/10</w:t>
            </w:r>
          </w:p>
        </w:tc>
      </w:tr>
      <w:tr>
        <w:trPr>
          <w:cantSplit/>
        </w:trPr>
        <w:tc>
          <w:tcPr>
            <w:tcW w:type="dxa" w:w="3402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修读门数低于本班标准的人数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49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</w:tr>
    </w:tbl>
    <w:p>
      <w:pPr>
        <w:spacing w:line="288" w:lineRule="auto" w:before="60" w:after="120"/>
        <w:jc w:val="both"/>
      </w:pPr>
      <w:r>
        <w:rPr>
          <w:rFonts w:ascii="Times New Roman" w:hAnsi="Times New Roman" w:eastAsia="宋体"/>
          <w:b w:val="0"/>
          <w:sz w:val="18"/>
        </w:rPr>
        <w:t>注：越界值指学分加权平均分不在[0, 100]、平均学分绩点不在[0, 5]或通过率不在[0, 1]内的取值；</w:t>
      </w:r>
      <w:r>
        <w:rPr>
          <w:rFonts w:ascii="宋体" w:hAnsi="宋体" w:eastAsia="宋体" w:cs="宋体" w:hint="eastAsia"/>
          <w:b w:val="0"/>
          <w:sz w:val="18"/>
        </w:rPr>
        <w:t xml:space="preserve">“</w:t>
      </w:r>
      <w:r>
        <w:rPr>
          <w:rFonts w:ascii="Times New Roman" w:hAnsi="Times New Roman" w:eastAsia="宋体"/>
          <w:b w:val="0"/>
          <w:sz w:val="18"/>
        </w:rPr>
        <w:t xml:space="preserve">文本(%)</w:t>
      </w:r>
      <w:r>
        <w:rPr>
          <w:rFonts w:ascii="宋体" w:hAnsi="宋体" w:eastAsia="宋体" w:cs="宋体" w:hint="eastAsia"/>
          <w:b w:val="0"/>
          <w:sz w:val="18"/>
        </w:rPr>
        <w:t xml:space="preserve">”</w:t>
      </w:r>
      <w:r>
        <w:rPr>
          <w:rFonts w:ascii="Times New Roman" w:hAnsi="Times New Roman" w:eastAsia="宋体"/>
          <w:b w:val="0"/>
          <w:sz w:val="18"/>
        </w:rPr>
        <w:t xml:space="preserve">指形如</w:t>
      </w:r>
      <w:r>
        <w:rPr>
          <w:rFonts w:ascii="Times New Roman" w:hAnsi="Times New Roman" w:eastAsia="宋体" w:cs="Times New Roman"/>
          <w:b w:val="0"/>
          <w:sz w:val="18"/>
        </w:rPr>
        <w:t xml:space="preserve">"</w:t>
      </w:r>
      <w:r>
        <w:rPr>
          <w:rFonts w:ascii="Times New Roman" w:hAnsi="Times New Roman" w:eastAsia="宋体"/>
          <w:b w:val="0"/>
          <w:sz w:val="18"/>
        </w:rPr>
        <w:t xml:space="preserve">82.14%</w:t>
      </w:r>
      <w:r>
        <w:rPr>
          <w:rFonts w:ascii="Times New Roman" w:hAnsi="Times New Roman" w:eastAsia="宋体" w:cs="Times New Roman"/>
          <w:b w:val="0"/>
          <w:sz w:val="18"/>
        </w:rPr>
        <w:t xml:space="preserve">"</w:t>
      </w:r>
      <w:r>
        <w:rPr>
          <w:rFonts w:ascii="Times New Roman" w:hAnsi="Times New Roman" w:eastAsia="宋体"/>
          <w:b w:val="0"/>
          <w:sz w:val="18"/>
        </w:rPr>
        <w:t xml:space="preserve">的文本，</w:t>
      </w:r>
      <w:r>
        <w:rPr>
          <w:rFonts w:ascii="宋体" w:hAnsi="宋体" w:eastAsia="宋体" w:cs="宋体" w:hint="eastAsia"/>
          <w:b w:val="0"/>
          <w:sz w:val="18"/>
        </w:rPr>
        <w:t xml:space="preserve">“</w:t>
      </w:r>
      <w:r>
        <w:rPr>
          <w:rFonts w:ascii="Times New Roman" w:hAnsi="Times New Roman" w:eastAsia="宋体"/>
          <w:b w:val="0"/>
          <w:sz w:val="18"/>
        </w:rPr>
        <w:t xml:space="preserve">数值</w:t>
      </w:r>
      <w:r>
        <w:rPr>
          <w:rFonts w:ascii="宋体" w:hAnsi="宋体" w:eastAsia="宋体" w:cs="宋体" w:hint="eastAsia"/>
          <w:b w:val="0"/>
          <w:sz w:val="18"/>
        </w:rPr>
        <w:t xml:space="preserve">”</w:t>
      </w:r>
      <w:r>
        <w:rPr>
          <w:rFonts w:ascii="Times New Roman" w:hAnsi="Times New Roman" w:eastAsia="宋体"/>
          <w:b w:val="0"/>
          <w:sz w:val="18"/>
        </w:rPr>
        <w:t xml:space="preserve">指数值型小数。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原始数据无缺失值、重复记录和越界值，全部记录均满足两项业务规则（获得学分+不及格学分=总学分；通过率=获得学分/总学分），准确性与完整性符合要求。一致性方面存在三类问题：D1、D2、T1三个工作表的数值几乎全部以文本格式存储，无法直接计算；记录格式不统一，D1、D2、T1三班的通过率为带百分号的文本，BD与T2两班为数值型小数，BD表首列列名为</w:t>
      </w:r>
      <w:r>
        <w:rPr>
          <w:rFonts w:ascii="宋体" w:hAnsi="宋体" w:eastAsia="宋体" w:cs="宋体" w:hint="eastAsia"/>
          <w:b w:val="0"/>
          <w:sz w:val="24"/>
        </w:rPr>
        <w:t xml:space="preserve">“</w:t>
      </w:r>
      <w:r>
        <w:rPr>
          <w:rFonts w:ascii="Times New Roman" w:hAnsi="Times New Roman" w:eastAsia="宋体"/>
          <w:b w:val="0"/>
          <w:sz w:val="24"/>
        </w:rPr>
        <w:t xml:space="preserve">姓名</w:t>
      </w:r>
      <w:r>
        <w:rPr>
          <w:rFonts w:ascii="宋体" w:hAnsi="宋体" w:eastAsia="宋体" w:cs="宋体" w:hint="eastAsia"/>
          <w:b w:val="0"/>
          <w:sz w:val="24"/>
        </w:rPr>
        <w:t xml:space="preserve">”</w:t>
      </w:r>
      <w:r>
        <w:rPr>
          <w:rFonts w:ascii="Times New Roman" w:hAnsi="Times New Roman" w:eastAsia="宋体"/>
          <w:b w:val="0"/>
          <w:sz w:val="24"/>
        </w:rPr>
        <w:t xml:space="preserve">而其余各表为</w:t>
      </w:r>
      <w:r>
        <w:rPr>
          <w:rFonts w:ascii="Times New Roman" w:hAnsi="Times New Roman" w:eastAsia="宋体" w:cs="Times New Roman"/>
          <w:b w:val="0"/>
          <w:sz w:val="24"/>
        </w:rPr>
        <w:t xml:space="preserve">"</w:t>
      </w:r>
      <w:r>
        <w:rPr>
          <w:rFonts w:ascii="Times New Roman" w:hAnsi="Times New Roman" w:eastAsia="宋体"/>
          <w:b w:val="0"/>
          <w:sz w:val="24"/>
        </w:rPr>
        <w:t xml:space="preserve">ID</w:t>
      </w:r>
      <w:r>
        <w:rPr>
          <w:rFonts w:ascii="Times New Roman" w:hAnsi="Times New Roman" w:eastAsia="宋体" w:cs="Times New Roman"/>
          <w:b w:val="0"/>
          <w:sz w:val="24"/>
        </w:rPr>
        <w:t xml:space="preserve">"</w:t>
      </w:r>
      <w:r>
        <w:rPr>
          <w:rFonts w:ascii="Times New Roman" w:hAnsi="Times New Roman" w:eastAsia="宋体"/>
          <w:b w:val="0"/>
          <w:sz w:val="24"/>
        </w:rPr>
        <w:t xml:space="preserve">，D1班学号缺少</w:t>
      </w:r>
      <w:r>
        <w:rPr>
          <w:rFonts w:ascii="Times New Roman" w:hAnsi="Times New Roman" w:eastAsia="宋体" w:cs="Times New Roman"/>
          <w:b w:val="0"/>
          <w:sz w:val="24"/>
        </w:rPr>
        <w:t xml:space="preserve">"</w:t>
      </w:r>
      <w:r>
        <w:rPr>
          <w:rFonts w:ascii="Times New Roman" w:hAnsi="Times New Roman" w:eastAsia="宋体"/>
          <w:b w:val="0"/>
          <w:sz w:val="24"/>
        </w:rPr>
        <w:t xml:space="preserve">21</w:t>
      </w:r>
      <w:r>
        <w:rPr>
          <w:rFonts w:ascii="Times New Roman" w:hAnsi="Times New Roman" w:eastAsia="宋体" w:cs="Times New Roman"/>
          <w:b w:val="0"/>
          <w:sz w:val="24"/>
        </w:rPr>
        <w:t xml:space="preserve">"</w:t>
      </w:r>
      <w:r>
        <w:rPr>
          <w:rFonts w:ascii="Times New Roman" w:hAnsi="Times New Roman" w:eastAsia="宋体"/>
          <w:b w:val="0"/>
          <w:sz w:val="24"/>
        </w:rPr>
        <w:t xml:space="preserve">前缀；各班应修学分与课程门数不同，D类班级为28学分、11门，BD班为27学分、11门，T类班级为25学分、10门，另有8名学生的修读门数低于本班标准，因此总分在班级之间和学生之间不可比。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3.2  数据清洗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以文本存储的数值统一转换为数值型（Python中使用pd.to_numeric，Excel中可用</w:t>
      </w:r>
      <w:r>
        <w:rPr>
          <w:rFonts w:ascii="宋体" w:hAnsi="宋体" w:eastAsia="宋体" w:cs="宋体" w:hint="eastAsia"/>
          <w:b w:val="0"/>
          <w:sz w:val="24"/>
        </w:rPr>
        <w:t xml:space="preserve">“</w:t>
      </w:r>
      <w:r>
        <w:rPr>
          <w:rFonts w:ascii="Times New Roman" w:hAnsi="Times New Roman" w:eastAsia="宋体"/>
          <w:b w:val="0"/>
          <w:sz w:val="24"/>
        </w:rPr>
        <w:t xml:space="preserve">转换为数字</w:t>
      </w:r>
      <w:r>
        <w:rPr>
          <w:rFonts w:ascii="宋体" w:hAnsi="宋体" w:eastAsia="宋体" w:cs="宋体" w:hint="eastAsia"/>
          <w:b w:val="0"/>
          <w:sz w:val="24"/>
        </w:rPr>
        <w:t xml:space="preserve">”</w:t>
      </w:r>
      <w:r>
        <w:rPr>
          <w:rFonts w:ascii="Times New Roman" w:hAnsi="Times New Roman" w:eastAsia="宋体"/>
          <w:b w:val="0"/>
          <w:sz w:val="24"/>
        </w:rPr>
        <w:t xml:space="preserve">功能）；通过率去除百分号，统一换算为0～1之间的小数；BD表首列列名统一为</w:t>
      </w:r>
      <w:r>
        <w:rPr>
          <w:rFonts w:ascii="Times New Roman" w:hAnsi="Times New Roman" w:eastAsia="宋体" w:cs="Times New Roman"/>
          <w:b w:val="0"/>
          <w:sz w:val="24"/>
        </w:rPr>
        <w:t xml:space="preserve">"</w:t>
      </w:r>
      <w:r>
        <w:rPr>
          <w:rFonts w:ascii="Times New Roman" w:hAnsi="Times New Roman" w:eastAsia="宋体"/>
          <w:b w:val="0"/>
          <w:sz w:val="24"/>
        </w:rPr>
        <w:t xml:space="preserve">ID</w:t>
      </w:r>
      <w:r>
        <w:rPr>
          <w:rFonts w:ascii="Times New Roman" w:hAnsi="Times New Roman" w:eastAsia="宋体" w:cs="Times New Roman"/>
          <w:b w:val="0"/>
          <w:sz w:val="24"/>
        </w:rPr>
        <w:t xml:space="preserve">"</w:t>
      </w:r>
      <w:r>
        <w:rPr>
          <w:rFonts w:ascii="Times New Roman" w:hAnsi="Times New Roman" w:eastAsia="宋体"/>
          <w:b w:val="0"/>
          <w:sz w:val="24"/>
        </w:rPr>
        <w:t xml:space="preserve">。成绩明显偏低的记录予以保留，在4.5节中按箱线图规则识别为离群点。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3.3  数据集成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五个工作表纵向合并为一张178条记录的总表，并增设班级字段标识数据来源。实体识别以学号为唯一标识，合并后178个学号互不重复，D1班学号虽缺少前缀，但与其他班级无冲突；冗余属性通过相关分析检测（见3.5节）；两项业务规则的交叉校验未发现数据值冲突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3.4  数据变换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变换包括四项。课程平均分定义为总分与修读门数之比。总分受修读门数影响较大，如21BD1仅修读10门课程，总分931分在BD班排名靠后，课程平均分93.1分却为该班最高。全体样本中，总分与学分加权平均分的Pearson相关系数为0.66，课程平均分与学分加权平均分的相关系数为0.97，故跨班比较不使用总分。Min-Max归一化</w:t>
      </w:r>
      <w:r>
        <w:rPr>
          <w:rFonts w:ascii="Times New Roman" w:hAnsi="Times New Roman" w:eastAsia="宋体"/>
          <w:b w:val="0"/>
          <w:i/>
          <w:sz w:val="24"/>
        </w:rPr>
        <w:t>x</w:t>
      </w:r>
      <w:r>
        <w:rPr>
          <w:rFonts w:ascii="Times New Roman" w:hAnsi="Times New Roman" w:eastAsia="宋体"/>
          <w:b w:val="0"/>
          <w:sz w:val="24"/>
        </w:rPr>
        <w:t>′ = (</w:t>
      </w:r>
      <w:r>
        <w:rPr>
          <w:rFonts w:ascii="Times New Roman" w:hAnsi="Times New Roman" w:eastAsia="宋体"/>
          <w:b w:val="0"/>
          <w:i/>
          <w:sz w:val="24"/>
        </w:rPr>
        <w:t>x</w:t>
      </w:r>
      <w:r>
        <w:rPr>
          <w:rFonts w:ascii="Times New Roman" w:hAnsi="Times New Roman" w:eastAsia="宋体"/>
          <w:b w:val="0"/>
          <w:sz w:val="24"/>
        </w:rPr>
        <w:t xml:space="preserve"> − min)/(max − min)将各指标映射至[0, 1]区间，用于平行坐标图。Z-score标准化z = (</w:t>
      </w:r>
      <w:r>
        <w:rPr>
          <w:rFonts w:ascii="Times New Roman" w:hAnsi="Times New Roman" w:eastAsia="宋体"/>
          <w:b w:val="0"/>
          <w:i/>
          <w:sz w:val="24"/>
        </w:rPr>
        <w:t>x</w:t>
      </w:r>
      <w:r>
        <w:rPr>
          <w:rFonts w:ascii="Times New Roman" w:hAnsi="Times New Roman" w:eastAsia="宋体"/>
          <w:b w:val="0"/>
          <w:sz w:val="24"/>
        </w:rPr>
        <w:t xml:space="preserve"> − μ)/σ用于主成分分析与K-means聚类，班内Z分数用于衡量学生在本班的相对位置。按学分加权平均分将成绩离散化为优秀[85, 100]、良好[80, 85)、中等[70, 80)与及格[60, 70)四个等级，得到序数属性成绩等级。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3.5  数据规约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or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图1  各数值属性的Pearson相关系数矩阵（</w:t>
      </w:r>
      <w:r>
        <w:rPr>
          <w:rFonts w:ascii="Times New Roman" w:hAnsi="Times New Roman" w:eastAsia="宋体"/>
          <w:b w:val="0"/>
          <w:i/>
          <w:sz w:val="21"/>
        </w:rPr>
        <w:t>N</w:t>
      </w:r>
      <w:r>
        <w:rPr>
          <w:rFonts w:ascii="Times New Roman" w:hAnsi="Times New Roman" w:eastAsia="宋体"/>
          <w:b w:val="0"/>
          <w:sz w:val="21"/>
        </w:rPr>
        <w:t xml:space="preserve"> = 178）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各数值属性间的Pearson相关系数见图1。学分加权平均分与平均学分绩点、课程平均分的相关系数分别为0.99和0.97，三者近乎线性相关；通过率与不及格学分的相关系数为−1.00，二者满足通过率=1−不及格学分/总学分。属性间存在明显冗余，因此描述性统计以学分加权平均分衡量学业水平，以不及格门次和不及格率衡量学业风险；第6节用主成分分析将6项指标降为2个主成分（累计方差贡献率98.3%）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4  描述性统计分析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4.1  集中趋势与离散趋势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集中趋势以均值、中位数和众数度量，离散趋势以极差、方差、标准差、四分位距和变异系数度量，各班学分加权平均分的统计结果见表3。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表3  各班学分加权平均分的描述性统计</w:t>
      </w:r>
    </w:p>
    <w:tbl>
      <w:tblPr>
        <w:jc w:val="center"/>
        <w:tblLayout w:type="fixed"/>
        <w:tblLook w:firstColumn="1" w:firstRow="1" w:lastColumn="0" w:lastRow="0" w:noHBand="0" w:noVBand="1" w:val="04A0"/>
        <w:tblW w:w="8901" w:type="dxa"/>
      </w:tblPr>
      <w:tblGrid>
        <w:gridCol w:w="1757"/>
        <w:gridCol w:w="1190"/>
        <w:gridCol w:w="1190"/>
        <w:gridCol w:w="1190"/>
        <w:gridCol w:w="1190"/>
        <w:gridCol w:w="1190"/>
        <w:gridCol w:w="1190"/>
      </w:tblGrid>
      <w:tr>
        <w:trPr>
          <w:cantSplit/>
        </w:trPr>
        <w:tc>
          <w:tcPr>
            <w:tcW w:type="dxa" w:w="175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统计量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D1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D2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BD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T1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T2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全体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样本量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178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均值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77.15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78.90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87.67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81.95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81.16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81.21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中位数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77.18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78.65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87.93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81.66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81.96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81.37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众数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75.64/81.29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91.26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81.92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83.04/85.84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最小值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61.93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65.07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80.59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70.16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67.68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61.93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最大值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86.46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89.39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92.19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90.12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91.00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92.19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极差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24.53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24.32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11.60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19.96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23.32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30.26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下四分位数Q1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74.66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76.24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85.94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79.17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78.22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77.18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上四分位数Q3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81.29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82.28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90.09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85.47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84.43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85.74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四分位距IQR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6.63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6.04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4.16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6.30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8.56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方差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26.99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29.64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9.90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18.73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25.43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33.41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标准差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5.20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5.44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3.15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4.33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5.04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5.78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变异系数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6.7%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6.9%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3.6%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5.3%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7.1%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偏度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−0.70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−0.66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−0.24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−0.71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−0.40</w:t>
            </w:r>
          </w:p>
        </w:tc>
      </w:tr>
      <w:tr>
        <w:trPr>
          <w:cantSplit/>
        </w:trPr>
        <w:tc>
          <w:tcPr>
            <w:tcW w:type="dxa" w:w="175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峰度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1.04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0.09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0.64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</w:t>
            </w:r>
          </w:p>
        </w:tc>
      </w:tr>
    </w:tbl>
    <w:p>
      <w:pPr>
        <w:spacing w:line="288" w:lineRule="auto" w:before="60" w:after="120"/>
        <w:jc w:val="both"/>
      </w:pPr>
      <w:r>
        <w:rPr>
          <w:rFonts w:ascii="Times New Roman" w:hAnsi="Times New Roman" w:eastAsia="宋体"/>
          <w:b w:val="0"/>
          <w:sz w:val="18"/>
        </w:rPr>
        <w:t>注：方差与标准差的分母为</w:t>
      </w:r>
      <w:r>
        <w:rPr>
          <w:rFonts w:ascii="Times New Roman" w:hAnsi="Times New Roman" w:eastAsia="宋体"/>
          <w:b w:val="0"/>
          <w:i/>
          <w:sz w:val="18"/>
        </w:rPr>
        <w:t>n</w:t>
      </w:r>
      <w:r>
        <w:rPr>
          <w:rFonts w:ascii="Times New Roman" w:hAnsi="Times New Roman" w:eastAsia="宋体"/>
          <w:b w:val="0"/>
          <w:sz w:val="18"/>
        </w:rPr>
        <w:t>−1；众数栏</w:t>
      </w:r>
      <w:r>
        <w:rPr>
          <w:rFonts w:ascii="宋体" w:hAnsi="宋体" w:eastAsia="宋体" w:cs="宋体" w:hint="eastAsia"/>
          <w:b w:val="0"/>
          <w:sz w:val="18"/>
        </w:rPr>
        <w:t xml:space="preserve">“</w:t>
      </w:r>
      <w:r>
        <w:rPr>
          <w:rFonts w:ascii="Times New Roman" w:hAnsi="Times New Roman" w:eastAsia="宋体"/>
          <w:b w:val="0"/>
          <w:sz w:val="18"/>
        </w:rPr>
        <w:t xml:space="preserve">无</w:t>
      </w:r>
      <w:r>
        <w:rPr>
          <w:rFonts w:ascii="宋体" w:hAnsi="宋体" w:eastAsia="宋体" w:cs="宋体" w:hint="eastAsia"/>
          <w:b w:val="0"/>
          <w:sz w:val="18"/>
        </w:rPr>
        <w:t xml:space="preserve">”</w:t>
      </w:r>
      <w:r>
        <w:rPr>
          <w:rFonts w:ascii="Times New Roman" w:hAnsi="Times New Roman" w:eastAsia="宋体"/>
          <w:b w:val="0"/>
          <w:sz w:val="18"/>
        </w:rPr>
        <w:t xml:space="preserve">表示各取值均只出现一次，列出两个值表示存在两个众数；数值按四舍五入保留两位小数。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的均值（87.67）与中位数（87.93）均明显高于其他班级，较全体均值高约6.5分；T1班与T2班接近全体平均水平；D2班与D1班低于全体平均水平，D1班均值最低（77.15）。离散程度方面，BD班标准差为3.15，变异系数为3.6%，成绩最为集中；D2班与D1班的标准差分别为5.44和5.20，极差均超过24分。偏度方面，D1、BD与T2三个班级约为−0.7，呈左偏分布，均值低于中位数，少数低分学生拉低了班级均值；D2班的偏度为0.00，分布对称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4.2  班级均值比较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8153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ean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15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图2  各班学分加权平均分均值（误差线为95%置信区间，虚线为全体均值）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BD班均值的95%置信区间与其余四个班级均不重叠；T1与T2、D1与D2的置信区间分别大幅重叠（图2），检验结果见第5节。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4.3  成绩分布形态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03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0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图3  各班学分加权平均分分布直方图（组距2.5分；实线为均值，虚线为中位数）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BD班成绩全部高于80分，集中于85～92分（图3）；T1班与T2班的成绩主体位于77～87分；D1班与D2班的成绩主体位于72～82分，并在70分以下存在左侧拖尾。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4.4  成绩等级构成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91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ev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9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图4  各班成绩等级构成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各班成绩等级构成见图4与表4。BD班优秀率为86.7%（26/30），其余学生均为良好；T1班与T2班良好及以上等级的比例分别为67.5%与66.7%；D1班与D2班以中等为主，占比分别为62.9%与58.8%，D1班仅1人达到优秀。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表4  各班成绩等级人数分布</w:t>
      </w:r>
    </w:p>
    <w:tbl>
      <w:tblPr>
        <w:jc w:val="center"/>
        <w:tblLayout w:type="fixed"/>
        <w:tblLook w:firstColumn="1" w:firstRow="1" w:lastColumn="0" w:lastRow="0" w:noHBand="0" w:noVBand="1" w:val="04A0"/>
        <w:tblW w:w="8164" w:type="dxa"/>
      </w:tblPr>
      <w:tblGrid>
        <w:gridCol w:w="1360"/>
        <w:gridCol w:w="1360"/>
        <w:gridCol w:w="1360"/>
        <w:gridCol w:w="1360"/>
        <w:gridCol w:w="1360"/>
        <w:gridCol w:w="1360"/>
      </w:tblGrid>
      <w:tr>
        <w:trPr>
          <w:cantSplit/>
        </w:trPr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班级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优秀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良好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中等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及格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合计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D2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BD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T2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</w:t>
            </w:r>
          </w:p>
        </w:tc>
      </w:tr>
    </w:tbl>
    <w:p>
      <w:pPr>
        <w:spacing w:line="240" w:lineRule="auto" w:before="0" w:after="60"/>
        <w:jc w:val="both"/>
      </w:pP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4.5  箱线图与离群点检测</w:t>
      </w:r>
    </w:p>
    <w:p>
      <w:pPr>
        <w:keepNext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离群点按箱线图规则判定，即落在[Q1 − 1.5×IQR, Q3 + 1.5×IQR]以外的观测值。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144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4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图5  各班学分加权平均分箱线图（空心圆为离群点）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BD班箱体位置最高、高度最小（图5），其最低分（80.59）高于D1班与D2班的中位数；T1班与T2班的中位数接近（81.66与81.96），T2班在低分端有两个离群点。五个班级共识别出4个离群点，均在低分一侧，见表5。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表5  箱线图规则识别出的离群学生</w:t>
      </w:r>
    </w:p>
    <w:tbl>
      <w:tblPr>
        <w:jc w:val="center"/>
        <w:tblLayout w:type="fixed"/>
        <w:tblLook w:firstColumn="1" w:firstRow="1" w:lastColumn="0" w:lastRow="0" w:noHBand="0" w:noVBand="1" w:val="04A0"/>
        <w:tblW w:w="8618" w:type="dxa"/>
      </w:tblPr>
      <w:tblGrid>
        <w:gridCol w:w="793"/>
        <w:gridCol w:w="1190"/>
        <w:gridCol w:w="1247"/>
        <w:gridCol w:w="907"/>
        <w:gridCol w:w="1134"/>
        <w:gridCol w:w="1134"/>
        <w:gridCol w:w="1020"/>
        <w:gridCol w:w="1190"/>
      </w:tblGrid>
      <w:tr>
        <w:trPr>
          <w:cantSplit/>
        </w:trPr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班级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学号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加权平均分</w:t>
            </w:r>
          </w:p>
        </w:tc>
        <w:tc>
          <w:tcPr>
            <w:tcW w:type="dxa" w:w="90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平均绩点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不及格门次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不及格学分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班内Z分数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D45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61.93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60.7%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−2.93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21D244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65.07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1.68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53.6%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−2.54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21T248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67.68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1.76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60.0%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−2.67</w:t>
            </w:r>
          </w:p>
        </w:tc>
      </w:tr>
      <w:tr>
        <w:trPr>
          <w:cantSplit/>
        </w:trPr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T2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21T249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68.84</w:t>
            </w:r>
          </w:p>
        </w:tc>
        <w:tc>
          <w:tcPr>
            <w:tcW w:type="dxa" w:w="90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1.62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56.0%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−2.44</w:t>
            </w:r>
          </w:p>
        </w:tc>
      </w:tr>
    </w:tbl>
    <w:p>
      <w:pPr>
        <w:spacing w:line="288" w:lineRule="auto" w:before="60" w:after="120"/>
        <w:jc w:val="both"/>
      </w:pPr>
      <w:r>
        <w:rPr>
          <w:rFonts w:ascii="Times New Roman" w:hAnsi="Times New Roman" w:eastAsia="宋体"/>
          <w:b w:val="0"/>
          <w:sz w:val="18"/>
        </w:rPr>
        <w:t>注：加权平均分即学分加权平均分，平均绩点即平均学分绩点，下同。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这4名学生均有2～4门课程不及格，学分通过率为53.6%～60.7%，班内Z分数均低于−2.4，即成绩低于本班均值2.4个标准差以上。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4.6  不及格情况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68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f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68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图6  各班不及格率（至少一门课程不及格的学生占比）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将至少一门课程不及格的学生占全班人数的比例称为不及格率。全体样本中有24名学生存在不及格课程，累计38门次（图6）。D1班不及格率为40.0%（14/35），不及格门次为21，占全部不及格门次的55%；BD班无学生不及格，T1班仅1名学生有1门课程不及格。D2班与T2班的均值相差约2.3分，不及格率则相近（14.7%与10.3%）。各班其他学业指标见表6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表6  各班其他学业指标</w:t>
      </w:r>
    </w:p>
    <w:tbl>
      <w:tblPr>
        <w:jc w:val="center"/>
        <w:tblLayout w:type="fixed"/>
        <w:tblLook w:firstColumn="1" w:firstRow="1" w:lastColumn="0" w:lastRow="0" w:noHBand="0" w:noVBand="1" w:val="04A0"/>
        <w:tblW w:w="8618" w:type="dxa"/>
      </w:tblPr>
      <w:tblGrid>
        <w:gridCol w:w="793"/>
        <w:gridCol w:w="1020"/>
        <w:gridCol w:w="1134"/>
        <w:gridCol w:w="1077"/>
        <w:gridCol w:w="1020"/>
        <w:gridCol w:w="1077"/>
        <w:gridCol w:w="1360"/>
        <w:gridCol w:w="1134"/>
      </w:tblGrid>
      <w:tr>
        <w:trPr>
          <w:cantSplit/>
        </w:trPr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班级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平均绩点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课程平均分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不及格人数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不及格率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不及格门次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人均不及格学分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平均通过率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2.57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81.20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40.0%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91.5%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D2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2.71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82.57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14.7%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1.12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96.0%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BD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3.61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88.70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0.0%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100.0%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84.57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2.5%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0.13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99.5%</w:t>
            </w:r>
          </w:p>
        </w:tc>
      </w:tr>
      <w:tr>
        <w:trPr>
          <w:cantSplit/>
        </w:trPr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T2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2.95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83.72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10.3%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0.82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96.7%</w:t>
            </w:r>
          </w:p>
        </w:tc>
      </w:tr>
    </w:tbl>
    <w:p>
      <w:pPr>
        <w:spacing w:line="240" w:lineRule="auto" w:before="0" w:after="60"/>
        <w:jc w:val="both"/>
      </w:pP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4.7  班级成绩分布的Q-Q图比较</w:t>
      </w:r>
    </w:p>
    <w:p>
      <w:pPr>
        <w:keepNext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Q-Q图以两个班级相同分位数上的成绩为坐标绘点，点位于直线</w:t>
      </w:r>
      <w:r>
        <w:rPr>
          <w:rFonts w:ascii="Times New Roman" w:hAnsi="Times New Roman" w:eastAsia="宋体"/>
          <w:b w:val="0"/>
          <w:i/>
          <w:sz w:val="24"/>
        </w:rPr>
        <w:t>y</w:t>
      </w:r>
      <w:r>
        <w:rPr>
          <w:rFonts w:ascii="Times New Roman" w:hAnsi="Times New Roman" w:eastAsia="宋体"/>
          <w:b w:val="0"/>
          <w:sz w:val="24"/>
        </w:rPr>
        <w:t xml:space="preserve"> = x上方表示纵轴班级在该分位数上的成绩更高。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20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q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图7  班级间学分加权平均分的Q-Q图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D1与D2相比（图7左），各点总体位于</w:t>
      </w:r>
      <w:r>
        <w:rPr>
          <w:rFonts w:ascii="Times New Roman" w:hAnsi="Times New Roman" w:eastAsia="宋体"/>
          <w:b w:val="0"/>
          <w:i/>
          <w:sz w:val="24"/>
        </w:rPr>
        <w:t>y</w:t>
      </w:r>
      <w:r>
        <w:rPr>
          <w:rFonts w:ascii="Times New Roman" w:hAnsi="Times New Roman" w:eastAsia="宋体"/>
          <w:b w:val="0"/>
          <w:sz w:val="24"/>
        </w:rPr>
        <w:t xml:space="preserve"> = x上方，D2在大多数分位数上高出D1约1～1.5分，两端（尤其是高分端）差距更大。T1与T2相比，中间分位数的点基本贴合</w:t>
      </w:r>
      <w:r>
        <w:rPr>
          <w:rFonts w:ascii="Times New Roman" w:hAnsi="Times New Roman" w:eastAsia="宋体"/>
          <w:b w:val="0"/>
          <w:i/>
          <w:sz w:val="24"/>
        </w:rPr>
        <w:t>y</w:t>
      </w:r>
      <w:r>
        <w:rPr>
          <w:rFonts w:ascii="Times New Roman" w:hAnsi="Times New Roman" w:eastAsia="宋体"/>
          <w:b w:val="0"/>
          <w:sz w:val="24"/>
        </w:rPr>
        <w:t xml:space="preserve"> = x，两班中等水平学生的成绩相近；最低分位数的点明显位于直线下方，T2班的相对劣势集中于少数低分学生，即图5中的两个离群点。BD与T1相比，全部点位于</w:t>
      </w:r>
      <w:r>
        <w:rPr>
          <w:rFonts w:ascii="Times New Roman" w:hAnsi="Times New Roman" w:eastAsia="宋体"/>
          <w:b w:val="0"/>
          <w:i/>
          <w:sz w:val="24"/>
        </w:rPr>
        <w:t>y</w:t>
      </w:r>
      <w:r>
        <w:rPr>
          <w:rFonts w:ascii="Times New Roman" w:hAnsi="Times New Roman" w:eastAsia="宋体"/>
          <w:b w:val="0"/>
          <w:sz w:val="24"/>
        </w:rPr>
        <w:t xml:space="preserve"> = x上方，低分位与中分位相差约6～7分，高分端缩小至3～4分，拟合斜率小于1，BD班在各分位数上均高于T1班且分布更集中。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4.8  多指标的平行坐标分析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08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parall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8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图8  五个班级多指标均值的平行坐标图（Min-Max归一化）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8将各班6项指标的均值经Min-Max归一化后以折线连接。BD班在成绩类指标上均为最高，在不及格类指标上均为最低，D1班与之相反。T1班的通过率与不及格类指标接近BD班，成绩类指标居中，即不及格少而高分学生比例不高；D2班与T2班的不及格类指标居中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5  班级差异的显著性检验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Shapiro-Wilk检验的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>值均大于0.05（最小为0.105），以中位数为中心的Levene检验（Brown-Forsythe检验）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= 0.155，满足正态性与方差齐性假设。单因素方差分析结果为</w:t>
      </w:r>
      <w:r>
        <w:rPr>
          <w:rFonts w:ascii="Times New Roman" w:hAnsi="Times New Roman" w:eastAsia="宋体"/>
          <w:b w:val="0"/>
          <w:i/>
          <w:sz w:val="24"/>
        </w:rPr>
        <w:t>F</w:t>
      </w:r>
      <w:r>
        <w:rPr>
          <w:rFonts w:ascii="Times New Roman" w:hAnsi="Times New Roman" w:eastAsia="宋体"/>
          <w:b w:val="0"/>
          <w:sz w:val="24"/>
        </w:rPr>
        <w:t xml:space="preserve"> = 22.68，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&lt; 0.001；非参数Kruskal-Wallis检验结果为</w:t>
      </w:r>
      <w:r>
        <w:rPr>
          <w:rFonts w:ascii="Times New Roman" w:hAnsi="Times New Roman" w:eastAsia="宋体"/>
          <w:b w:val="0"/>
          <w:i/>
          <w:sz w:val="24"/>
        </w:rPr>
        <w:t>H</w:t>
      </w:r>
      <w:r>
        <w:rPr>
          <w:rFonts w:ascii="Times New Roman" w:hAnsi="Times New Roman" w:eastAsia="宋体"/>
          <w:b w:val="0"/>
          <w:sz w:val="24"/>
        </w:rPr>
        <w:t xml:space="preserve"> = 63.28，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&lt; 0.001，</w:t>
      </w:r>
      <w:r>
        <w:rPr>
          <w:rFonts w:ascii="Times New Roman" w:hAnsi="Times New Roman" w:eastAsia="宋体"/>
          <w:b w:val="0"/>
          <w:i/>
          <w:sz w:val="24"/>
        </w:rPr>
        <w:t>ε²</w:t>
      </w:r>
      <w:r>
        <w:rPr>
          <w:rFonts w:ascii="Times New Roman" w:hAnsi="Times New Roman" w:eastAsia="宋体"/>
          <w:b w:val="0"/>
          <w:sz w:val="24"/>
        </w:rPr>
        <w:t xml:space="preserve"> = 0.34（大效应）。五个班级的学分加权平均分存在显著差异。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两两比较采用Mann-Whitney U检验，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>值经Holm法校正，结果见表7。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表7  班级两两比较结果</w:t>
      </w:r>
    </w:p>
    <w:tbl>
      <w:tblPr>
        <w:jc w:val="center"/>
        <w:tblLayout w:type="fixed"/>
        <w:tblLook w:firstColumn="1" w:firstRow="1" w:lastColumn="0" w:lastRow="0" w:noHBand="0" w:noVBand="1" w:val="04A0"/>
        <w:tblW w:w="8051" w:type="dxa"/>
      </w:tblPr>
      <w:tblGrid>
        <w:gridCol w:w="1587"/>
        <w:gridCol w:w="1474"/>
        <w:gridCol w:w="1814"/>
        <w:gridCol w:w="1814"/>
        <w:gridCol w:w="1360"/>
      </w:tblGrid>
      <w:tr>
        <w:trPr>
          <w:cantSplit/>
        </w:trPr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比较组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中位数差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原始p值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Holm校正p值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显著性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D1与BD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−10.75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1.53×10⁻¹⁰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1.53×10⁻⁹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D2与BD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−9.28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2.10×10⁻⁸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1.89×10⁻⁷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BD与T2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+5.97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7.42×10⁻⁸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5.94×10⁻⁷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BD与T1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+6.27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4.29×10⁻⁷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3.00×10⁻⁶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D1与T1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−4.48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9.51×10⁻⁵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5.70×10⁻⁴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D1与T2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−4.78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8.21×10⁻⁴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D2与T1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−3.02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0.033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D2与T2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−3.32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0.048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0.143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不显著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D1与D2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−1.47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0.267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0.534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不显著</w:t>
            </w:r>
          </w:p>
        </w:tc>
      </w:tr>
      <w:tr>
        <w:trPr>
          <w:cantSplit/>
        </w:trPr>
        <w:tc>
          <w:tcPr>
            <w:tcW w:type="dxa" w:w="158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T1与T2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−0.30</w:t>
            </w:r>
          </w:p>
        </w:tc>
        <w:tc>
          <w:tcPr>
            <w:tcW w:type="dxa" w:w="181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0.670</w:t>
            </w:r>
          </w:p>
        </w:tc>
        <w:tc>
          <w:tcPr>
            <w:tcW w:type="dxa" w:w="181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0.670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不显著</w:t>
            </w:r>
          </w:p>
        </w:tc>
      </w:tr>
    </w:tbl>
    <w:p>
      <w:pPr>
        <w:spacing w:line="288" w:lineRule="auto" w:before="60" w:after="120"/>
        <w:jc w:val="both"/>
      </w:pPr>
      <w:r>
        <w:rPr>
          <w:rFonts w:ascii="Times New Roman" w:hAnsi="Times New Roman" w:eastAsia="宋体"/>
          <w:b w:val="0"/>
          <w:sz w:val="18"/>
        </w:rPr>
        <w:t>注：中位数差为前一班级减去后一班级的中位数；显著性水平α = 0.05；按原始</w:t>
      </w:r>
      <w:r>
        <w:rPr>
          <w:rFonts w:ascii="Times New Roman" w:hAnsi="Times New Roman" w:eastAsia="宋体"/>
          <w:b w:val="0"/>
          <w:i/>
          <w:sz w:val="18"/>
        </w:rPr>
        <w:t>p</w:t>
      </w:r>
      <w:r>
        <w:rPr>
          <w:rFonts w:ascii="Times New Roman" w:hAnsi="Times New Roman" w:eastAsia="宋体"/>
          <w:b w:val="0"/>
          <w:sz w:val="18"/>
        </w:rPr>
        <w:t>值升序排列。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与其余四个班级的差异均显著；D1与T1、D1与T2、D2与T1的差异亦显著；D1与D2、T1与T2两组平行班差异不显著，D2与T2的差异经校正后不显著。成绩差异主要存在于不同培养方案之间，同一培养方案的平行班之间差异不显著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6  学生群体的聚类分析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第4、5节以班级为单位比较，本节不预设分组，用聚类方法识别学生群体。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6.1  主成分分析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选取学分加权平均分、平均学分绩点、课程平均分、不及格门次、不及格学分与通过率6项指标，经Z-score标准化后进行主成分分析。第一主成分的方差贡献率为80.5%，6项指标的载荷绝对值均约为0.41，其中学分加权平均分、平均学分绩点、课程平均分与通过率为正，不及格门次与不及格学分为负，可解释为综合学业水平。第二主成分的方差贡献率为17.8%，其载荷中成绩类指标与不及格门次、不及格学分同号，通过率异号，反映成绩高低与不及格程度之间的不一致。前两个主成分的累计方差贡献率为98.3%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6.2  K-means聚类</w:t>
      </w:r>
    </w:p>
    <w:p>
      <w:pPr>
        <w:keepNext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在标准化后的六维数据上运行K-means算法，每个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>值重复运行500次（随机初始化与k-means++初始化交替），取簇内误差平方和（SSE）最小的结果；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>值依据肘部法与轮廓系数确定。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555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ksc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55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图9  不同聚类数k下的簇内误差平方和（左）与轮廓系数（右）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2时轮廓系数最高（0.68），但划分结果与是否存在不及格课程基本一致（仅1名有不及格课程的学生归入另一类），仅凭不及格门次即可得到。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3时SSE曲线出现拐点（由439降至234），轮廓系数为0.52，并将其余学生进一步分为高分与中等两类。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4时轮廓系数为0.55，略高于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3，新增的划分是将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3时的学业预警组拆分为8人（不及格2～4门）与15人（不及格1～2门）两类。鉴于预警组规模较小，其内部差异可由表9的排序反映，故取</w:t>
      </w:r>
      <w:r>
        <w:rPr>
          <w:rFonts w:ascii="Times New Roman" w:hAnsi="Times New Roman" w:eastAsia="宋体"/>
          <w:b w:val="0"/>
          <w:i/>
          <w:sz w:val="24"/>
        </w:rPr>
        <w:t>k</w:t>
      </w:r>
      <w:r>
        <w:rPr>
          <w:rFonts w:ascii="Times New Roman" w:hAnsi="Times New Roman" w:eastAsia="宋体"/>
          <w:b w:val="0"/>
          <w:sz w:val="24"/>
        </w:rPr>
        <w:t xml:space="preserve"> = 3（图9）。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856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clus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8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图10  K-means聚类结果在前两个主成分上的投影（</w:t>
      </w:r>
      <w:r>
        <w:rPr>
          <w:rFonts w:ascii="Times New Roman" w:hAnsi="Times New Roman" w:eastAsia="宋体"/>
          <w:b w:val="0"/>
          <w:i/>
          <w:sz w:val="21"/>
        </w:rPr>
        <w:t>k</w:t>
      </w:r>
      <w:r>
        <w:rPr>
          <w:rFonts w:ascii="Times New Roman" w:hAnsi="Times New Roman" w:eastAsia="宋体"/>
          <w:b w:val="0"/>
          <w:sz w:val="21"/>
        </w:rPr>
        <w:t xml:space="preserve"> = 3）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前两个主成分平面上（图10），没有不及格课程的学生（A组全部及B组绝大多数）近似分布于一条直线，其差别主要在分数高低；C组学生以及B组中2名各有1门课程不及格的学生偏离该直线，分布于左侧，反映了平均分之外的不及格信息。三个聚类的特征见表8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表8  三个聚类的特征（各指标均值）</w:t>
      </w:r>
    </w:p>
    <w:tbl>
      <w:tblPr>
        <w:jc w:val="center"/>
        <w:tblLayout w:type="fixed"/>
        <w:tblLook w:firstColumn="1" w:firstRow="1" w:lastColumn="0" w:lastRow="0" w:noHBand="0" w:noVBand="1" w:val="04A0"/>
        <w:tblW w:w="8448" w:type="dxa"/>
      </w:tblPr>
      <w:tblGrid>
        <w:gridCol w:w="2268"/>
        <w:gridCol w:w="680"/>
        <w:gridCol w:w="1247"/>
        <w:gridCol w:w="963"/>
        <w:gridCol w:w="1134"/>
        <w:gridCol w:w="1134"/>
        <w:gridCol w:w="1020"/>
      </w:tblGrid>
      <w:tr>
        <w:trPr>
          <w:cantSplit/>
        </w:trPr>
        <w:tc>
          <w:tcPr>
            <w:tcW w:type="dxa" w:w="2268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聚类</w:t>
            </w:r>
          </w:p>
        </w:tc>
        <w:tc>
          <w:tcPr>
            <w:tcW w:type="dxa" w:w="68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加权平均分</w:t>
            </w:r>
          </w:p>
        </w:tc>
        <w:tc>
          <w:tcPr>
            <w:tcW w:type="dxa" w:w="96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平均绩点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不及格门次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不及格学分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通过率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A组（学业优良组）</w:t>
            </w:r>
          </w:p>
        </w:tc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86.68</w:t>
            </w:r>
          </w:p>
        </w:tc>
        <w:tc>
          <w:tcPr>
            <w:tcW w:type="dxa" w:w="96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B组（中等组）</w:t>
            </w:r>
          </w:p>
        </w:tc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78.94</w:t>
            </w:r>
          </w:p>
        </w:tc>
        <w:tc>
          <w:tcPr>
            <w:tcW w:type="dxa" w:w="96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2.72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99.8%</w:t>
            </w:r>
          </w:p>
        </w:tc>
      </w:tr>
      <w:tr>
        <w:trPr>
          <w:cantSplit/>
        </w:trPr>
        <w:tc>
          <w:tcPr>
            <w:tcW w:type="dxa" w:w="2268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C组（学业预警组）</w:t>
            </w:r>
          </w:p>
        </w:tc>
        <w:tc>
          <w:tcPr>
            <w:tcW w:type="dxa" w:w="68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71.65</w:t>
            </w:r>
          </w:p>
        </w:tc>
        <w:tc>
          <w:tcPr>
            <w:tcW w:type="dxa" w:w="96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2.05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1.64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6.95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74.3%</w:t>
            </w:r>
          </w:p>
        </w:tc>
      </w:tr>
    </w:tbl>
    <w:p>
      <w:pPr>
        <w:spacing w:line="240" w:lineRule="auto" w:before="0" w:after="60"/>
        <w:jc w:val="both"/>
      </w:pP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组73人，学分加权平均分均值86.68（82.32～92.19），无人不及格，命名为学业优良组；B组83人，人数最多，均值78.94，仅2人各有1门课程不及格，命名为中等组；C组22人，均值71.65，人均不及格1.64门次，平均通过率74.3%，命名为学业预警组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770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cluster_by_cla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7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图11  各班学生在三个聚类中的分布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BD班30名学生中27人属于学业优良组，无学业预警学生（图11）；D1班有12人属于学业预警组，占该班人数的34%、全部预警学生的55%；T1班与T2班学业优良组均为17人，学业预警组分别为1人和4人。</w:t>
      </w:r>
    </w:p>
    <w:p>
      <w:pPr>
        <w:keepNext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7993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99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60" w:after="160"/>
        <w:jc w:val="center"/>
      </w:pPr>
      <w:r>
        <w:rPr>
          <w:rFonts w:ascii="Times New Roman" w:hAnsi="Times New Roman" w:eastAsia="宋体"/>
          <w:b w:val="0"/>
          <w:sz w:val="21"/>
        </w:rPr>
        <w:t>图12  不及格门次与学分加权平均分的散点图（按聚类着色，</w:t>
      </w:r>
      <w:r>
        <w:rPr>
          <w:rFonts w:ascii="Times New Roman" w:hAnsi="Times New Roman" w:eastAsia="宋体"/>
          <w:b w:val="0"/>
          <w:i/>
          <w:sz w:val="21"/>
        </w:rPr>
        <w:t>r</w:t>
      </w:r>
      <w:r>
        <w:rPr>
          <w:rFonts w:ascii="Times New Roman" w:hAnsi="Times New Roman" w:eastAsia="宋体"/>
          <w:b w:val="0"/>
          <w:sz w:val="21"/>
        </w:rPr>
        <w:t xml:space="preserve"> = −0.64）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不及格门次与学分加权平均分呈中度负相关（</w:t>
      </w:r>
      <w:r>
        <w:rPr>
          <w:rFonts w:ascii="Times New Roman" w:hAnsi="Times New Roman" w:eastAsia="宋体"/>
          <w:b w:val="0"/>
          <w:i/>
          <w:sz w:val="24"/>
        </w:rPr>
        <w:t>r</w:t>
      </w:r>
      <w:r>
        <w:rPr>
          <w:rFonts w:ascii="Times New Roman" w:hAnsi="Times New Roman" w:eastAsia="宋体"/>
          <w:b w:val="0"/>
          <w:sz w:val="24"/>
        </w:rPr>
        <w:t xml:space="preserve"> = −0.64），聚类边界与是否存在不及格课程及82～83分附近的分数线基本一致（图12）。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6.3  学业预警名单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学业预警组（C组）名单按学分加权平均分升序列于表9，其中D45、21D244、21T248、21T249同时为箱线图离群点，预警级别最高。</w:t>
      </w:r>
    </w:p>
    <w:p>
      <w:pPr>
        <w:keepNext/>
        <w:spacing w:line="288" w:lineRule="auto" w:before="120" w:after="60"/>
        <w:jc w:val="center"/>
      </w:pPr>
      <w:r>
        <w:rPr>
          <w:rFonts w:ascii="Times New Roman" w:hAnsi="Times New Roman" w:eastAsia="黑体"/>
          <w:b w:val="0"/>
          <w:sz w:val="21"/>
        </w:rPr>
        <w:t>表9  学业预警学生名单</w:t>
      </w:r>
    </w:p>
    <w:tbl>
      <w:tblPr>
        <w:jc w:val="center"/>
        <w:tblLayout w:type="fixed"/>
        <w:tblLook w:firstColumn="1" w:firstRow="1" w:lastColumn="0" w:lastRow="0" w:noHBand="0" w:noVBand="1" w:val="04A0"/>
        <w:tblW w:w="8164" w:type="dxa"/>
      </w:tblPr>
      <w:tblGrid>
        <w:gridCol w:w="680"/>
        <w:gridCol w:w="793"/>
        <w:gridCol w:w="1247"/>
        <w:gridCol w:w="1247"/>
        <w:gridCol w:w="907"/>
        <w:gridCol w:w="1134"/>
        <w:gridCol w:w="1134"/>
        <w:gridCol w:w="1020"/>
      </w:tblGrid>
      <w:tr>
        <w:trPr>
          <w:cantSplit/>
        </w:trPr>
        <w:tc>
          <w:tcPr>
            <w:tcW w:type="dxa" w:w="68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序号</w:t>
            </w:r>
          </w:p>
        </w:tc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班级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学号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加权平均分</w:t>
            </w:r>
          </w:p>
        </w:tc>
        <w:tc>
          <w:tcPr>
            <w:tcW w:type="dxa" w:w="907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平均绩点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不及格门次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不及格学分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通过率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D45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61.93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1.43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60.7%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65.07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1.68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53.6%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66.71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1.88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21T248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67.68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1.76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60.0%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21T249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68.84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1.62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56.0%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70.00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1.96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70.04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21T150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70.16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1.82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21D242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71.14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21D241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72.43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72.68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89.3%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21D239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72.82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21D240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73.00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73.11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78.6%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73.54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2.20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73.61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89.3%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21T247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73.80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76.0%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74.64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2.25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D26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75.58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2.38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79.2%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75.64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2.41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21T237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76.16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2.38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80.0%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D25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77.64</w:t>
            </w:r>
          </w:p>
        </w:tc>
        <w:tc>
          <w:tcPr>
            <w:tcW w:type="dxa" w:w="90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2.54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82.1%</w:t>
            </w:r>
          </w:p>
        </w:tc>
      </w:tr>
    </w:tbl>
    <w:p>
      <w:pPr>
        <w:spacing w:line="240" w:lineRule="auto" w:before="0" w:after="60"/>
        <w:jc w:val="both"/>
      </w:pP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7  结论与建议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7.1  研究结论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原始数据完整、无重复记录且满足业务规则，但存在数值以文本存储、记录格式不统一和总分不可比等问题，经清洗、集成与变换后形成178×23的分析数据集，跨班比较以学分加权平均分代替总分。五个班级的成绩存在显著差异（</w:t>
      </w:r>
      <w:r>
        <w:rPr>
          <w:rFonts w:ascii="Times New Roman" w:hAnsi="Times New Roman" w:eastAsia="宋体"/>
          <w:b w:val="0"/>
          <w:i/>
          <w:sz w:val="24"/>
        </w:rPr>
        <w:t>p</w:t>
      </w:r>
      <w:r>
        <w:rPr>
          <w:rFonts w:ascii="Times New Roman" w:hAnsi="Times New Roman" w:eastAsia="宋体"/>
          <w:b w:val="0"/>
          <w:sz w:val="24"/>
        </w:rPr>
        <w:t xml:space="preserve"> &lt; 0.001，大效应），均值由高到低依次为BD、T1、T2、D2与D1；BD班均值最高、标准差最小，优秀率86.7%，无学生不及格。学业风险集中于D1班：该班不及格率为40.0%，不及格门次与学业预警人数均占全体的55%。同一培养方案的平行班之间差异不显著，班级差异主要来自不同培养方案之间，T2班的相对劣势集中于少数低分学生。聚类将学生分为学业优良（73人）、中等（83人）与学业预警（22人）三类，是否存在不及格课程是区分学业预警群体的主要特征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7.2  对策建议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学业预警组的22名学生，尤其是4名离群学生，开展个别学业指导并制定补考与重修计划；对中等组学生，可将学分加权平均分达到约82分（学业优良组与中等组的分界）作为提升目标。D1班需调取课程层面的成绩明细，找出不及格集中的课程，再判断原因在于课程难度、教学安排还是学习投入。上述预处理与聚类流程可在每学期末重复运行，用于更新学业预警名单。</w:t>
      </w:r>
    </w:p>
    <w:p>
      <w:pPr>
        <w:keepNext/>
        <w:spacing w:line="360" w:lineRule="auto" w:before="120" w:after="60"/>
        <w:jc w:val="left"/>
        <w:outlineLvl w:val="1"/>
      </w:pPr>
      <w:r>
        <w:rPr>
          <w:rFonts w:ascii="Times New Roman" w:hAnsi="Times New Roman" w:eastAsia="黑体"/>
          <w:b w:val="0"/>
          <w:sz w:val="24"/>
        </w:rPr>
        <w:t>7.3  研究局限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类、BD与T类班级的课程与评分教师可能不同，跨培养方案的平均分比较包含课程难度与评分尺度的影响。数据只有学期汇总指标，无法定位不及格课程，也无法查明8名学生修读门数偏少的原因。各班样本量为30～40人，且只有一个学期，聚类结果与预警名单未经跨学期检验。</w:t>
      </w:r>
    </w:p>
    <w:p>
      <w:pPr>
        <w:keepNext/>
        <w:spacing w:line="360" w:lineRule="auto" w:before="240" w:after="120"/>
        <w:jc w:val="left"/>
        <w:outlineLvl w:val="0"/>
      </w:pPr>
      <w:r>
        <w:rPr>
          <w:rFonts w:ascii="Times New Roman" w:hAnsi="Times New Roman" w:eastAsia="黑体"/>
          <w:b w:val="0"/>
          <w:sz w:val="28"/>
        </w:rPr>
        <w:t>8  分析工具与人工智能使用说明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数据处理与统计分析使用Python 3完成，程序库包括pandas（数据处理）、SciPy（统计检验）、NumPy（主成分分析与K-means）与Matplotlib（绘图）。按课程人工智能使用规范的要求说明如下：本文的分析代码和正文初稿由Anthropic公司的Claude辅助生成，文中统计结果均由该代码在原始数据上运行得到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  <w:highlight w:val="yellow"/>
        </w:rPr>
        <w:t>【提交前请本人如实填写：本人完成的工作，例如在本地运行代码并以Excel</w:t>
      </w:r>
      <w:r>
        <w:rPr>
          <w:rFonts w:ascii="宋体" w:hAnsi="宋体" w:eastAsia="宋体" w:cs="宋体" w:hint="eastAsia"/>
          <w:b w:val="0"/>
          <w:sz w:val="24"/>
          <w:highlight w:val="yellow"/>
        </w:rPr>
        <w:t xml:space="preserve">“</w:t>
      </w:r>
      <w:r>
        <w:rPr>
          <w:rFonts w:ascii="Times New Roman" w:hAnsi="Times New Roman" w:eastAsia="宋体"/>
          <w:b w:val="0"/>
          <w:sz w:val="24"/>
          <w:highlight w:val="yellow"/>
        </w:rPr>
        <w:t xml:space="preserve">数据分析—描述统计</w:t>
      </w:r>
      <w:r>
        <w:rPr>
          <w:rFonts w:ascii="宋体" w:hAnsi="宋体" w:eastAsia="宋体" w:cs="宋体" w:hint="eastAsia"/>
          <w:b w:val="0"/>
          <w:sz w:val="24"/>
          <w:highlight w:val="yellow"/>
        </w:rPr>
        <w:t xml:space="preserve">”</w:t>
      </w:r>
      <w:r>
        <w:rPr>
          <w:rFonts w:ascii="Times New Roman" w:hAnsi="Times New Roman" w:eastAsia="宋体"/>
          <w:b w:val="0"/>
          <w:sz w:val="24"/>
          <w:highlight w:val="yellow"/>
        </w:rPr>
        <w:t xml:space="preserve">功能复核表3的结果、对正文所作的修改与补充等】</w:t>
      </w:r>
    </w:p>
    <w:sectPr w:rsidR="00FC693F" w:rsidRPr="0006063C" w:rsidSect="00034616">
      <w:footerReference w:type="default" r:id="rId9"/>
      <w:pgSz w:w="11906" w:h="16838"/>
      <w:pgMar w:top="1417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