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8ADFE">
      <w:pPr>
        <w:spacing w:before="800"/>
        <w:rPr>
          <w:rFonts w:ascii="Times New Roman" w:hAnsi="Times New Roman" w:cs="Times New Roman"/>
        </w:rPr>
      </w:pPr>
      <w:bookmarkStart w:id="86" w:name="_GoBack"/>
      <w:bookmarkEnd w:id="86"/>
    </w:p>
    <w:p w14:paraId="5704DB08">
      <w:pPr>
        <w:jc w:val="center"/>
        <w:rPr>
          <w:rFonts w:ascii="Times New Roman" w:hAnsi="Times New Roman" w:cs="Times New Roman"/>
        </w:rPr>
      </w:pPr>
      <w:r>
        <w:rPr>
          <w:rFonts w:ascii="Times New Roman" w:hAnsi="Times New Roman" w:eastAsia="黑体" w:cs="Times New Roman"/>
          <w:b/>
          <w:bCs/>
          <w:sz w:val="52"/>
          <w:szCs w:val="52"/>
        </w:rPr>
        <w:t xml:space="preserve"> 学 位 论 文</w:t>
      </w:r>
    </w:p>
    <w:p w14:paraId="26C71D5C">
      <w:pPr>
        <w:spacing w:before="600"/>
        <w:rPr>
          <w:rFonts w:ascii="Times New Roman" w:hAnsi="Times New Roman" w:cs="Times New Roman"/>
        </w:rPr>
      </w:pPr>
    </w:p>
    <w:p w14:paraId="657855E5">
      <w:pPr>
        <w:jc w:val="center"/>
        <w:rPr>
          <w:rFonts w:ascii="黑体" w:hAnsi="黑体" w:eastAsia="黑体" w:cs="黑体"/>
          <w:sz w:val="44"/>
          <w:szCs w:val="44"/>
        </w:rPr>
      </w:pPr>
      <w:bookmarkStart w:id="0" w:name="_Toc14770"/>
      <w:bookmarkStart w:id="1" w:name="_Toc14613"/>
      <w:bookmarkStart w:id="2" w:name="_Toc20541"/>
      <w:r>
        <w:rPr>
          <w:rFonts w:hint="eastAsia" w:ascii="黑体" w:hAnsi="黑体" w:eastAsia="黑体" w:cs="黑体"/>
          <w:sz w:val="44"/>
          <w:szCs w:val="44"/>
        </w:rPr>
        <w:t>哔哩哔哩知识区非金钱激励机制</w:t>
      </w:r>
      <w:bookmarkEnd w:id="0"/>
      <w:bookmarkEnd w:id="1"/>
      <w:bookmarkEnd w:id="2"/>
    </w:p>
    <w:p w14:paraId="7831EF04">
      <w:pPr>
        <w:jc w:val="center"/>
        <w:rPr>
          <w:rFonts w:ascii="黑体" w:hAnsi="黑体" w:eastAsia="黑体" w:cs="黑体"/>
          <w:sz w:val="44"/>
          <w:szCs w:val="44"/>
        </w:rPr>
      </w:pPr>
      <w:bookmarkStart w:id="3" w:name="_Toc27077"/>
      <w:bookmarkStart w:id="4" w:name="_Toc19379"/>
      <w:bookmarkStart w:id="5" w:name="_Toc12740"/>
      <w:r>
        <w:rPr>
          <w:rFonts w:hint="eastAsia" w:ascii="黑体" w:hAnsi="黑体" w:eastAsia="黑体" w:cs="黑体"/>
          <w:sz w:val="44"/>
          <w:szCs w:val="44"/>
        </w:rPr>
        <w:t>对内容质量的影响研究</w:t>
      </w:r>
      <w:bookmarkEnd w:id="3"/>
      <w:bookmarkEnd w:id="4"/>
      <w:bookmarkEnd w:id="5"/>
    </w:p>
    <w:p w14:paraId="7BA0DC21">
      <w:pPr>
        <w:spacing w:before="150"/>
        <w:jc w:val="center"/>
        <w:rPr>
          <w:rFonts w:ascii="Times New Roman" w:hAnsi="Times New Roman" w:cs="Times New Roman"/>
        </w:rPr>
      </w:pPr>
      <w:r>
        <w:rPr>
          <w:rFonts w:ascii="Times New Roman" w:hAnsi="Times New Roman" w:eastAsia="黑体" w:cs="Times New Roman"/>
          <w:sz w:val="28"/>
          <w:szCs w:val="28"/>
        </w:rPr>
        <w:t>——基于投币行为的实证分析</w:t>
      </w:r>
    </w:p>
    <w:p w14:paraId="5B2611F2">
      <w:pPr>
        <w:spacing w:before="500"/>
        <w:rPr>
          <w:rFonts w:ascii="Times New Roman" w:hAnsi="Times New Roman" w:cs="Times New Roman"/>
        </w:rPr>
      </w:pPr>
    </w:p>
    <w:p w14:paraId="67449FCD">
      <w:pPr>
        <w:jc w:val="center"/>
        <w:rPr>
          <w:rFonts w:ascii="Times New Roman" w:hAnsi="Times New Roman" w:cs="Times New Roman"/>
        </w:rPr>
      </w:pPr>
      <w:r>
        <w:rPr>
          <w:rFonts w:ascii="Times New Roman" w:hAnsi="Times New Roman" w:eastAsia="Times New Roman" w:cs="Times New Roman"/>
          <w:i/>
          <w:iCs/>
          <w:sz w:val="22"/>
          <w:szCs w:val="22"/>
        </w:rPr>
        <w:t>The Impact of Non-Monetary Incentive Mechanisms</w:t>
      </w:r>
    </w:p>
    <w:p w14:paraId="13E1862C">
      <w:pPr>
        <w:jc w:val="center"/>
        <w:rPr>
          <w:rFonts w:ascii="Times New Roman" w:hAnsi="Times New Roman" w:cs="Times New Roman"/>
        </w:rPr>
      </w:pPr>
      <w:r>
        <w:rPr>
          <w:rFonts w:ascii="Times New Roman" w:hAnsi="Times New Roman" w:eastAsia="Times New Roman" w:cs="Times New Roman"/>
          <w:i/>
          <w:iCs/>
          <w:sz w:val="22"/>
          <w:szCs w:val="22"/>
        </w:rPr>
        <w:t>on Content Quality in Bilibili Knowledge Zone</w:t>
      </w:r>
    </w:p>
    <w:p w14:paraId="3E61ACF7">
      <w:pPr>
        <w:spacing w:before="800"/>
        <w:rPr>
          <w:rFonts w:ascii="Times New Roman" w:hAnsi="Times New Roman" w:cs="Times New Roman"/>
        </w:rPr>
      </w:pPr>
    </w:p>
    <w:p w14:paraId="3ECF645F">
      <w:pPr>
        <w:jc w:val="center"/>
        <w:rPr>
          <w:rFonts w:ascii="Times New Roman" w:hAnsi="Times New Roman" w:cs="Times New Roman"/>
        </w:rPr>
      </w:pPr>
      <w:r>
        <w:rPr>
          <w:rFonts w:hint="eastAsia" w:ascii="Times New Roman" w:hAnsi="Times New Roman" w:cs="Times New Roman"/>
        </w:rPr>
        <w:t>学院</w:t>
      </w:r>
      <w:r>
        <w:rPr>
          <w:rFonts w:ascii="Times New Roman" w:hAnsi="Times New Roman" w:cs="Times New Roman"/>
        </w:rPr>
        <w:t>：经济</w:t>
      </w:r>
      <w:r>
        <w:rPr>
          <w:rFonts w:hint="eastAsia" w:ascii="Times New Roman" w:hAnsi="Times New Roman" w:cs="Times New Roman"/>
        </w:rPr>
        <w:t>学院</w:t>
      </w:r>
    </w:p>
    <w:p w14:paraId="35AFC04F">
      <w:pPr>
        <w:spacing w:before="100"/>
        <w:jc w:val="center"/>
        <w:rPr>
          <w:rFonts w:ascii="Times New Roman" w:hAnsi="Times New Roman" w:cs="Times New Roman"/>
        </w:rPr>
      </w:pPr>
      <w:r>
        <w:rPr>
          <w:rFonts w:hint="eastAsia" w:ascii="Times New Roman" w:hAnsi="Times New Roman" w:cs="Times New Roman"/>
        </w:rPr>
        <w:t>学科专业</w:t>
      </w:r>
      <w:r>
        <w:rPr>
          <w:rFonts w:ascii="Times New Roman" w:hAnsi="Times New Roman" w:cs="Times New Roman"/>
        </w:rPr>
        <w:t>：经济学</w:t>
      </w:r>
    </w:p>
    <w:p w14:paraId="36A17991">
      <w:pPr>
        <w:spacing w:before="600"/>
        <w:rPr>
          <w:rFonts w:ascii="Times New Roman" w:hAnsi="Times New Roman" w:cs="Times New Roman"/>
        </w:rPr>
      </w:pPr>
    </w:p>
    <w:p w14:paraId="06689928">
      <w:pPr>
        <w:jc w:val="center"/>
        <w:rPr>
          <w:rFonts w:ascii="Times New Roman" w:hAnsi="Times New Roman" w:cs="Times New Roman"/>
        </w:rPr>
      </w:pPr>
      <w:r>
        <w:rPr>
          <w:rFonts w:ascii="Times New Roman" w:hAnsi="Times New Roman" w:cs="Times New Roman"/>
        </w:rPr>
        <w:t>2026年1月</w:t>
      </w:r>
    </w:p>
    <w:p w14:paraId="66183C42">
      <w:pPr>
        <w:rPr>
          <w:rFonts w:ascii="Times New Roman" w:hAnsi="Times New Roman" w:cs="Times New Roman"/>
        </w:rPr>
      </w:pPr>
      <w:r>
        <w:rPr>
          <w:rFonts w:ascii="Times New Roman" w:hAnsi="Times New Roman" w:cs="Times New Roman"/>
        </w:rPr>
        <w:br w:type="page"/>
      </w:r>
    </w:p>
    <w:p w14:paraId="191A657D">
      <w:pPr>
        <w:spacing w:after="120" w:afterLines="50"/>
        <w:jc w:val="center"/>
        <w:rPr>
          <w:rFonts w:ascii="黑体" w:hAnsi="黑体" w:eastAsia="黑体" w:cs="黑体"/>
          <w:b/>
          <w:bCs/>
          <w:sz w:val="36"/>
          <w:szCs w:val="36"/>
        </w:rPr>
      </w:pPr>
      <w:bookmarkStart w:id="6" w:name="_Toc15886"/>
      <w:bookmarkStart w:id="7" w:name="_Toc9031"/>
      <w:bookmarkStart w:id="8" w:name="_Toc28253"/>
      <w:r>
        <w:rPr>
          <w:rFonts w:hint="eastAsia" w:ascii="黑体" w:hAnsi="黑体" w:eastAsia="黑体" w:cs="黑体"/>
          <w:b/>
          <w:bCs/>
          <w:sz w:val="36"/>
          <w:szCs w:val="36"/>
        </w:rPr>
        <w:t>摘  要</w:t>
      </w:r>
      <w:bookmarkEnd w:id="6"/>
      <w:bookmarkEnd w:id="7"/>
      <w:bookmarkEnd w:id="8"/>
    </w:p>
    <w:p w14:paraId="2862214E">
      <w:pPr>
        <w:spacing w:line="312" w:lineRule="auto"/>
        <w:ind w:firstLine="482"/>
        <w:rPr>
          <w:rFonts w:ascii="Times New Roman" w:hAnsi="Times New Roman" w:cs="Times New Roman"/>
        </w:rPr>
      </w:pPr>
      <w:r>
        <w:rPr>
          <w:rFonts w:ascii="Times New Roman" w:hAnsi="Times New Roman" w:cs="Times New Roman"/>
        </w:rPr>
        <w:t>在数字经济蓬勃发展的背景下，用户生成内容（UGC）平台已成为知识传播与文化共创的重要基础设施，如何激励分散的个体创作者持续产出高质量内容，是平台运营的核心挑战。然而，既有研究多聚焦货币激励，对平台独有非金钱激励如何影响内容质量的系统实证探讨仍属匮乏。</w:t>
      </w:r>
    </w:p>
    <w:p w14:paraId="358A7831">
      <w:pPr>
        <w:spacing w:line="312" w:lineRule="auto"/>
        <w:ind w:firstLine="482"/>
        <w:rPr>
          <w:rFonts w:ascii="Times New Roman" w:hAnsi="Times New Roman" w:cs="Times New Roman"/>
        </w:rPr>
      </w:pPr>
      <w:r>
        <w:rPr>
          <w:rFonts w:ascii="Times New Roman" w:hAnsi="Times New Roman" w:cs="Times New Roman"/>
        </w:rPr>
        <w:t>本文聚焦哔哩哔哩（B站）知识区，以</w:t>
      </w:r>
      <w:r>
        <w:rPr>
          <w:rFonts w:ascii="Times New Roman" w:hAnsi="Times New Roman" w:cs="Times New Roman"/>
          <w:highlight w:val="yellow"/>
        </w:rPr>
        <w:t>投币机制</w:t>
      </w:r>
      <w:r>
        <w:rPr>
          <w:rFonts w:ascii="Times New Roman" w:hAnsi="Times New Roman" w:cs="Times New Roman"/>
        </w:rPr>
        <w:t>这一典型稀缺性非金钱激励为核心变量，系统考察其对内容质量的影响及传导路径。B站投币机制设计独特：注册用户每日仅获有限硬币，且每人对单一视频的投币上限为两枚。稀缺性设计赋予投币行为超越点赞、收藏等低成本互动的深度价值认同属性，是审视非金钱激励效应的理想研究切口。</w:t>
      </w:r>
    </w:p>
    <w:p w14:paraId="160298B2">
      <w:pPr>
        <w:spacing w:line="312" w:lineRule="auto"/>
        <w:ind w:firstLine="482"/>
        <w:rPr>
          <w:rFonts w:ascii="Times New Roman" w:hAnsi="Times New Roman" w:cs="Times New Roman"/>
          <w:color w:val="FF0000"/>
        </w:rPr>
      </w:pPr>
      <w:r>
        <w:rPr>
          <w:rFonts w:ascii="Times New Roman" w:hAnsi="Times New Roman" w:cs="Times New Roman"/>
          <w:color w:val="FF0000"/>
        </w:rPr>
        <w:t>本文通过Python爬虫采集了2019年3月至2025年12月间86位知识区活跃UP主发布的8,242条视频数据，覆盖科普、社科人文、财经商业等多个细分领域。在内容质量测量上，本文创新性地构建</w:t>
      </w:r>
      <w:r>
        <w:rPr>
          <w:rFonts w:ascii="Times New Roman" w:hAnsi="Times New Roman" w:cs="Times New Roman"/>
          <w:color w:val="FF0000"/>
          <w:highlight w:val="yellow"/>
        </w:rPr>
        <w:t>多模态内容质量指数（MCQI）</w:t>
      </w:r>
      <w:r>
        <w:rPr>
          <w:rFonts w:ascii="Times New Roman" w:hAnsi="Times New Roman" w:cs="Times New Roman"/>
          <w:color w:val="FF0000"/>
        </w:rPr>
        <w:t>：融合亚文化情感词典与SnowNLP框架对弹幕文本进行情感评分，结合币播比（投币数/播放量）作为内容深度的行为代理指标，采用CRITIC客观赋权法合成两维度，突破传统以流量代替质量的测量局限。在计量策略上，以双向固定效应模型为基准，引入Lewbel（2012）异方差工具变量法处理内生性，并通过安慰剂检验、秩变量替换等多维稳健性方案验证结论。</w:t>
      </w:r>
    </w:p>
    <w:p w14:paraId="638B1F5A">
      <w:pPr>
        <w:spacing w:line="312" w:lineRule="auto"/>
        <w:ind w:firstLine="482"/>
        <w:rPr>
          <w:rFonts w:ascii="Times New Roman" w:hAnsi="Times New Roman" w:cs="Times New Roman"/>
        </w:rPr>
      </w:pPr>
      <w:r>
        <w:rPr>
          <w:rFonts w:ascii="Times New Roman" w:hAnsi="Times New Roman" w:cs="Times New Roman"/>
        </w:rPr>
        <w:t>实证分析得出以下主要结论。第一，投币激励对知识区内容质量具有显著正向因果影响，滞后两期的投币数每增加1%，内容质量指数平均提升约1.302个单位，经工具变量估计后依然稳健。第二，机制分析揭示两条有效传导路径：投入互惠路径（投币激励促使创作者延长内容打磨周期，进而提升质量）与深度反馈路径（投币激励催化高质量评论互动，间接改善内容质量）。第三，流量传播路径的中介效应不显著，表明投币本质上发挥价值信号而非流量信号的功能，其激励逻辑与点赞、分享等常规互动存在根本差异。第四，头部创作者与长视频内容对投币激励的响应幅度更为突出，稀缺性非金钱激励的边际效应在内容生产经验丰富的群体中尤为显著。</w:t>
      </w:r>
    </w:p>
    <w:p w14:paraId="2C5B46EF">
      <w:pPr>
        <w:spacing w:line="312" w:lineRule="auto"/>
        <w:ind w:firstLine="482"/>
        <w:rPr>
          <w:rFonts w:ascii="Times New Roman" w:hAnsi="Times New Roman" w:cs="Times New Roman"/>
        </w:rPr>
      </w:pPr>
      <w:r>
        <w:rPr>
          <w:rFonts w:ascii="Times New Roman" w:hAnsi="Times New Roman" w:cs="Times New Roman"/>
        </w:rPr>
        <w:t>在理论贡献上，本文将稀缺性非金钱激励确立为UGC平台内容质量提升的重要驱动机制，将社会交换理论、自我决定理论与互动仪式链理论整合至数字内容生产情境，并从实证层面首次系统区分价值信号与流量信号的差异化作用逻辑。在方法论上，本文提出的混合情感分析方法与多模态质量测量范式为同类研究提供了可复用工具。</w:t>
      </w:r>
    </w:p>
    <w:p w14:paraId="44E237F2">
      <w:pPr>
        <w:spacing w:line="312" w:lineRule="auto"/>
        <w:ind w:firstLine="482"/>
        <w:rPr>
          <w:rFonts w:ascii="Times New Roman" w:hAnsi="Times New Roman" w:cs="Times New Roman"/>
        </w:rPr>
      </w:pPr>
      <w:r>
        <w:rPr>
          <w:rFonts w:ascii="Times New Roman" w:hAnsi="Times New Roman" w:cs="Times New Roman"/>
        </w:rPr>
        <w:t>在实践层面，本文建议平台坚守投币机制的稀缺性设计，针对不同创作层级实施差异化激励策略，并将内容评价导向从流量优先切换为质量优先，推动</w:t>
      </w:r>
      <w:r>
        <w:rPr>
          <w:rFonts w:hint="eastAsia" w:ascii="Times New Roman" w:hAnsi="Times New Roman" w:cs="Times New Roman"/>
        </w:rPr>
        <w:t>“</w:t>
      </w:r>
      <w:r>
        <w:rPr>
          <w:rFonts w:ascii="Times New Roman" w:hAnsi="Times New Roman" w:cs="Times New Roman"/>
        </w:rPr>
        <w:t>优质内容—用户认可—创作者激励</w:t>
      </w:r>
      <w:r>
        <w:rPr>
          <w:rFonts w:hint="eastAsia" w:ascii="Times New Roman" w:hAnsi="Times New Roman" w:cs="Times New Roman"/>
        </w:rPr>
        <w:t>”</w:t>
      </w:r>
      <w:r>
        <w:rPr>
          <w:rFonts w:ascii="Times New Roman" w:hAnsi="Times New Roman" w:cs="Times New Roman"/>
        </w:rPr>
        <w:t>正向循环，实现平台内容生态的健康可持续发展。</w:t>
      </w:r>
    </w:p>
    <w:p w14:paraId="77DBEC16">
      <w:pPr>
        <w:spacing w:line="288" w:lineRule="auto"/>
        <w:ind w:firstLine="482"/>
        <w:rPr>
          <w:rFonts w:ascii="Times New Roman" w:hAnsi="Times New Roman" w:cs="Times New Roman"/>
        </w:rPr>
      </w:pPr>
    </w:p>
    <w:p w14:paraId="48C9407B">
      <w:pPr>
        <w:rPr>
          <w:rFonts w:ascii="Times New Roman" w:hAnsi="Times New Roman" w:cs="Times New Roman"/>
        </w:rPr>
      </w:pPr>
      <w:r>
        <w:rPr>
          <w:rFonts w:ascii="Times New Roman" w:hAnsi="Times New Roman" w:eastAsia="黑体" w:cs="Times New Roman"/>
          <w:b/>
          <w:bCs/>
        </w:rPr>
        <w:t>关键词：</w:t>
      </w:r>
      <w:r>
        <w:rPr>
          <w:rFonts w:ascii="Times New Roman" w:hAnsi="Times New Roman" w:cs="Times New Roman"/>
        </w:rPr>
        <w:t>非金钱激励；内容质量；哔哩哔哩；情感分析；用户生成内容</w:t>
      </w:r>
    </w:p>
    <w:p w14:paraId="307B145D">
      <w:pPr>
        <w:rPr>
          <w:rFonts w:ascii="Times New Roman" w:hAnsi="Times New Roman" w:cs="Times New Roman"/>
        </w:rPr>
      </w:pPr>
      <w:r>
        <w:rPr>
          <w:rFonts w:ascii="Times New Roman" w:hAnsi="Times New Roman" w:cs="Times New Roman"/>
        </w:rPr>
        <w:br w:type="page"/>
      </w:r>
    </w:p>
    <w:p w14:paraId="26B9FB0F">
      <w:pPr>
        <w:spacing w:after="120" w:afterLines="50"/>
        <w:jc w:val="center"/>
        <w:rPr>
          <w:rFonts w:ascii="Times New Roman" w:hAnsi="Times New Roman" w:cs="Times New Roman"/>
          <w:b/>
          <w:bCs/>
          <w:sz w:val="36"/>
          <w:szCs w:val="36"/>
        </w:rPr>
      </w:pPr>
      <w:bookmarkStart w:id="9" w:name="_Toc17785"/>
      <w:bookmarkStart w:id="10" w:name="_Toc6156"/>
      <w:bookmarkStart w:id="11" w:name="_Toc21316"/>
      <w:r>
        <w:rPr>
          <w:rFonts w:ascii="Times New Roman" w:hAnsi="Times New Roman" w:cs="Times New Roman"/>
          <w:b/>
          <w:bCs/>
          <w:sz w:val="36"/>
          <w:szCs w:val="36"/>
        </w:rPr>
        <w:t>ABSTRACT</w:t>
      </w:r>
      <w:bookmarkEnd w:id="9"/>
      <w:bookmarkEnd w:id="10"/>
      <w:bookmarkEnd w:id="11"/>
    </w:p>
    <w:p w14:paraId="01866E95">
      <w:pPr>
        <w:spacing w:after="60" w:line="336" w:lineRule="auto"/>
        <w:ind w:firstLine="482"/>
        <w:rPr>
          <w:rFonts w:ascii="Times New Roman" w:hAnsi="Times New Roman" w:cs="Times New Roman"/>
        </w:rPr>
      </w:pPr>
      <w:r>
        <w:rPr>
          <w:rFonts w:ascii="Times New Roman" w:hAnsi="Times New Roman" w:cs="Times New Roman"/>
        </w:rPr>
        <w:t>Against the backdrop of rapid digital economic growth, User-Generated Content (UGC) platforms have emerged as critical infrastructure for knowledge dissemination and cultural co-creation. How to effectively motivate dispersed individual creators to sustain high-quality content production remains a central challenge in platform governance. Yet existing research has concentrated predominantly on monetary incentives, leaving systematic empirical inquiry into how platform-specific non-monetary incentives shape content quality notably underexplored.</w:t>
      </w:r>
    </w:p>
    <w:p w14:paraId="11DC4F47">
      <w:pPr>
        <w:spacing w:after="60" w:line="336" w:lineRule="auto"/>
        <w:ind w:firstLine="482"/>
        <w:rPr>
          <w:rFonts w:ascii="Times New Roman" w:hAnsi="Times New Roman" w:cs="Times New Roman"/>
        </w:rPr>
      </w:pPr>
      <w:r>
        <w:rPr>
          <w:rFonts w:ascii="Times New Roman" w:hAnsi="Times New Roman" w:cs="Times New Roman"/>
        </w:rPr>
        <w:t>This study focuses on Bilibili's Knowledge Zone and takes the coin-giving mechanism—a canonical form of scarcity-based non-monetary incentive—as its core explanatory variable, systematically examining its effects on content quality and underlying transmission pathways. The coin mechanism is distinctively designed: each registered user receives only a limited daily coin quota, with a ceiling of two coins per video. This scarcity design endows coin-giving with a depth of value endorsement that far exceeds low-cost interactions such as likes and favorites, making it an ideal lens through which to study non-monetary incentive effects.</w:t>
      </w:r>
    </w:p>
    <w:p w14:paraId="0AF06384">
      <w:pPr>
        <w:spacing w:after="60" w:line="336" w:lineRule="auto"/>
        <w:ind w:firstLine="482"/>
        <w:rPr>
          <w:rFonts w:ascii="Times New Roman" w:hAnsi="Times New Roman" w:cs="Times New Roman"/>
        </w:rPr>
      </w:pPr>
      <w:r>
        <w:rPr>
          <w:rFonts w:ascii="Times New Roman" w:hAnsi="Times New Roman" w:cs="Times New Roman"/>
        </w:rPr>
        <w:t>Drawing on Python web-scraping, this study collects data on 8,242 videos published by 86 active Knowledge Zone creators between March 2019 and December 2025, spanning subcategories including science communication, social sciences and humanities, and finance and business. On the measurement side, this study departs from the conventional conflation of traffic metrics with content quality by constructing an innovative Multimodal Content Quality Index (MCQI): a subcultural sentiment lexicon combined with the SnowNLP framework generates sentiment scores from bullet comments, while the Coin-to-View Ratio (coins divided by views) serves as a behavioral proxy for content depth; the two dimensions are synthesized via the CRITIC objective weighting method. Econometrically, a two-way fixed effects model serves as the baseline, supplemented by Lewbel's (2012) heteroskedasticity-based instrumental variable approach to address endogeneity, with robustness verified through placebo tests (500 permutations) and rank-variable substitution, among other strategies.</w:t>
      </w:r>
    </w:p>
    <w:p w14:paraId="2860363D">
      <w:pPr>
        <w:spacing w:after="60" w:line="336" w:lineRule="auto"/>
        <w:ind w:firstLine="482"/>
        <w:rPr>
          <w:rFonts w:ascii="Times New Roman" w:hAnsi="Times New Roman" w:cs="Times New Roman"/>
        </w:rPr>
      </w:pPr>
      <w:r>
        <w:rPr>
          <w:rFonts w:ascii="Times New Roman" w:hAnsi="Times New Roman" w:cs="Times New Roman"/>
        </w:rPr>
        <w:t>The empirical analysis yields four principal findings. First, coin incentives exert a significant and robust positive causal effect on content quality: a 1% increase in the two-period lagged coin count raises the Content Quality Index by approximately 1.302 units on average, an effect that survives instrumental variable estimation. Second, mechanism analysis identifies two operative transmission pathways: an effort-reciprocity pathway, whereby coin incentives induce creators to extend their content refinement cycles and thereby improve quality; and a deep-feedback pathway, whereby coin incentives catalyze substantive comment interactions that indirectly enhance content quality. Third, the traffic-dissemination pathway yields non-significant mediation effects, demonstrating that coins function fundamentally as value signals rather than traffic signals—a logic qualitatively distinct from ordinary interactions such as likes and shares. Fourth, top-tier creators and long-form videos exhibit notably stronger responsiveness to coin incentives, suggesting that the marginal effects of scarcity-based non-monetary rewards are especially pronounced among experienced, depth-oriented creators.</w:t>
      </w:r>
    </w:p>
    <w:p w14:paraId="3DC3AAD9">
      <w:pPr>
        <w:spacing w:after="60" w:line="336" w:lineRule="auto"/>
        <w:ind w:firstLine="482"/>
        <w:rPr>
          <w:rFonts w:ascii="Times New Roman" w:hAnsi="Times New Roman" w:cs="Times New Roman"/>
        </w:rPr>
      </w:pPr>
      <w:r>
        <w:rPr>
          <w:rFonts w:ascii="Times New Roman" w:hAnsi="Times New Roman" w:cs="Times New Roman"/>
        </w:rPr>
        <w:t>Theoretically, this study establishes scarcity-based non-monetary incentives as an important driver of content quality improvement on UGC platforms, integrates social exchange theory, self-determination theory, and interaction ritual chain theory into the context of digital content production, and provides the first systematic empirical distinction between the differential logics of value signals and traffic signals. Methodologically, the hybrid sentiment analysis approach and multimodal quality measurement paradigm introduced here offer replicable tools for future research.</w:t>
      </w:r>
    </w:p>
    <w:p w14:paraId="58335907">
      <w:pPr>
        <w:spacing w:after="60" w:line="336" w:lineRule="auto"/>
        <w:ind w:firstLine="482"/>
        <w:rPr>
          <w:rFonts w:ascii="Times New Roman" w:hAnsi="Times New Roman" w:cs="Times New Roman"/>
        </w:rPr>
      </w:pPr>
      <w:r>
        <w:rPr>
          <w:rFonts w:ascii="Times New Roman" w:hAnsi="Times New Roman" w:cs="Times New Roman"/>
        </w:rPr>
        <w:t>Practically, this study recommends that platforms preserve the scarcity design of the coin mechanism, adopt differentiated incentive strategies across creator tiers, and systematically reorient content evaluation from traffic-first to quality-first, thereby fostering a virtuous cycle of high-quality content, user recognition, and creator motivation—and ultimately securing the long-term health of the platform content ecosystem.</w:t>
      </w:r>
    </w:p>
    <w:p w14:paraId="1E456A13">
      <w:pPr>
        <w:spacing w:before="300"/>
        <w:rPr>
          <w:rFonts w:ascii="Times New Roman" w:hAnsi="Times New Roman" w:cs="Times New Roman"/>
        </w:rPr>
      </w:pPr>
      <w:r>
        <w:rPr>
          <w:rFonts w:ascii="Times New Roman" w:hAnsi="Times New Roman" w:eastAsia="Times New Roman" w:cs="Times New Roman"/>
          <w:b/>
          <w:bCs/>
        </w:rPr>
        <w:t xml:space="preserve">Keywords: </w:t>
      </w:r>
      <w:r>
        <w:rPr>
          <w:rFonts w:ascii="Times New Roman" w:hAnsi="Times New Roman" w:eastAsia="Times New Roman" w:cs="Times New Roman"/>
        </w:rPr>
        <w:t>Non-monetary incentives; Content quality; Bilibili;  Sentiment analysis; UGC</w:t>
      </w:r>
      <w:r>
        <w:rPr>
          <w:rFonts w:ascii="Times New Roman" w:hAnsi="Times New Roman" w:cs="Times New Roman"/>
        </w:rPr>
        <w:br w:type="page"/>
      </w:r>
    </w:p>
    <w:sdt>
      <w:sdtPr>
        <w:rPr>
          <w:rFonts w:ascii="Times New Roman" w:hAnsi="Times New Roman" w:cs="Times New Roman"/>
          <w:sz w:val="32"/>
          <w:szCs w:val="32"/>
        </w:rPr>
        <w:id w:val="147457998"/>
        <w:docPartObj>
          <w:docPartGallery w:val="Table of Contents"/>
          <w:docPartUnique/>
        </w:docPartObj>
      </w:sdtPr>
      <w:sdtEndPr>
        <w:rPr>
          <w:rFonts w:ascii="Times New Roman" w:hAnsi="Times New Roman" w:cs="Times New Roman"/>
          <w:sz w:val="24"/>
          <w:szCs w:val="24"/>
        </w:rPr>
      </w:sdtEndPr>
      <w:sdtContent>
        <w:p w14:paraId="19126686">
          <w:pPr>
            <w:jc w:val="center"/>
            <w:rPr>
              <w:rFonts w:ascii="Times New Roman" w:hAnsi="Times New Roman" w:cs="Times New Roman"/>
              <w:sz w:val="32"/>
              <w:szCs w:val="32"/>
            </w:rPr>
          </w:pPr>
          <w:r>
            <w:rPr>
              <w:rFonts w:ascii="Times New Roman" w:hAnsi="Times New Roman" w:cs="Times New Roman"/>
              <w:sz w:val="32"/>
              <w:szCs w:val="32"/>
            </w:rPr>
            <w:t>目录</w:t>
          </w:r>
        </w:p>
        <w:p w14:paraId="21E11568">
          <w:pPr>
            <w:pStyle w:val="13"/>
            <w:tabs>
              <w:tab w:val="right" w:leader="dot" w:pos="938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fldChar w:fldCharType="begin"/>
          </w:r>
          <w:r>
            <w:instrText xml:space="preserve"> HYPERLINK \l "_Toc10678" </w:instrText>
          </w:r>
          <w:r>
            <w:fldChar w:fldCharType="separate"/>
          </w:r>
          <w:r>
            <w:rPr>
              <w:rFonts w:ascii="Times New Roman" w:hAnsi="Times New Roman" w:eastAsia="黑体" w:cs="Times New Roman"/>
              <w:bCs/>
              <w:szCs w:val="32"/>
            </w:rPr>
            <w:t>第一章  导论</w:t>
          </w:r>
          <w:r>
            <w:tab/>
          </w:r>
          <w:r>
            <w:fldChar w:fldCharType="begin"/>
          </w:r>
          <w:r>
            <w:instrText xml:space="preserve"> PAGEREF _Toc10678 \h </w:instrText>
          </w:r>
          <w:r>
            <w:fldChar w:fldCharType="separate"/>
          </w:r>
          <w:r>
            <w:t>1</w:t>
          </w:r>
          <w:r>
            <w:fldChar w:fldCharType="end"/>
          </w:r>
          <w:r>
            <w:fldChar w:fldCharType="end"/>
          </w:r>
        </w:p>
        <w:p w14:paraId="1CC3F693">
          <w:pPr>
            <w:pStyle w:val="15"/>
            <w:tabs>
              <w:tab w:val="right" w:leader="dot" w:pos="9386"/>
            </w:tabs>
            <w:ind w:left="480"/>
          </w:pPr>
          <w:r>
            <w:fldChar w:fldCharType="begin"/>
          </w:r>
          <w:r>
            <w:instrText xml:space="preserve"> HYPERLINK \l "_Toc8437" </w:instrText>
          </w:r>
          <w:r>
            <w:fldChar w:fldCharType="separate"/>
          </w:r>
          <w:r>
            <w:rPr>
              <w:rFonts w:ascii="Times New Roman" w:hAnsi="Times New Roman" w:eastAsia="黑体" w:cs="Times New Roman"/>
              <w:bCs/>
              <w:szCs w:val="28"/>
            </w:rPr>
            <w:t>1.1  研究背景</w:t>
          </w:r>
          <w:r>
            <w:tab/>
          </w:r>
          <w:r>
            <w:fldChar w:fldCharType="begin"/>
          </w:r>
          <w:r>
            <w:instrText xml:space="preserve"> PAGEREF _Toc8437 \h </w:instrText>
          </w:r>
          <w:r>
            <w:fldChar w:fldCharType="separate"/>
          </w:r>
          <w:r>
            <w:t>1</w:t>
          </w:r>
          <w:r>
            <w:fldChar w:fldCharType="end"/>
          </w:r>
          <w:r>
            <w:fldChar w:fldCharType="end"/>
          </w:r>
        </w:p>
        <w:p w14:paraId="19207467">
          <w:pPr>
            <w:pStyle w:val="15"/>
            <w:tabs>
              <w:tab w:val="right" w:leader="dot" w:pos="9386"/>
            </w:tabs>
            <w:ind w:left="480"/>
          </w:pPr>
          <w:r>
            <w:fldChar w:fldCharType="begin"/>
          </w:r>
          <w:r>
            <w:instrText xml:space="preserve"> HYPERLINK \l "_Toc26115" </w:instrText>
          </w:r>
          <w:r>
            <w:fldChar w:fldCharType="separate"/>
          </w:r>
          <w:r>
            <w:rPr>
              <w:rFonts w:ascii="Times New Roman" w:hAnsi="Times New Roman" w:eastAsia="黑体" w:cs="Times New Roman"/>
              <w:bCs/>
              <w:szCs w:val="28"/>
            </w:rPr>
            <w:t>1.3  研究意义</w:t>
          </w:r>
          <w:r>
            <w:tab/>
          </w:r>
          <w:r>
            <w:fldChar w:fldCharType="begin"/>
          </w:r>
          <w:r>
            <w:instrText xml:space="preserve"> PAGEREF _Toc26115 \h </w:instrText>
          </w:r>
          <w:r>
            <w:fldChar w:fldCharType="separate"/>
          </w:r>
          <w:r>
            <w:t>2</w:t>
          </w:r>
          <w:r>
            <w:fldChar w:fldCharType="end"/>
          </w:r>
          <w:r>
            <w:fldChar w:fldCharType="end"/>
          </w:r>
        </w:p>
        <w:p w14:paraId="7DB69B03">
          <w:pPr>
            <w:pStyle w:val="10"/>
            <w:tabs>
              <w:tab w:val="right" w:leader="dot" w:pos="9386"/>
            </w:tabs>
            <w:ind w:left="960"/>
          </w:pPr>
          <w:r>
            <w:fldChar w:fldCharType="begin"/>
          </w:r>
          <w:r>
            <w:instrText xml:space="preserve"> HYPERLINK \l "_Toc28714" </w:instrText>
          </w:r>
          <w:r>
            <w:fldChar w:fldCharType="separate"/>
          </w:r>
          <w:r>
            <w:rPr>
              <w:rFonts w:ascii="Times New Roman" w:hAnsi="Times New Roman" w:eastAsia="黑体" w:cs="Times New Roman"/>
              <w:bCs/>
            </w:rPr>
            <w:t>1.3.1  理论意义</w:t>
          </w:r>
          <w:r>
            <w:tab/>
          </w:r>
          <w:r>
            <w:fldChar w:fldCharType="begin"/>
          </w:r>
          <w:r>
            <w:instrText xml:space="preserve"> PAGEREF _Toc28714 \h </w:instrText>
          </w:r>
          <w:r>
            <w:fldChar w:fldCharType="separate"/>
          </w:r>
          <w:r>
            <w:t>2</w:t>
          </w:r>
          <w:r>
            <w:fldChar w:fldCharType="end"/>
          </w:r>
          <w:r>
            <w:fldChar w:fldCharType="end"/>
          </w:r>
        </w:p>
        <w:p w14:paraId="6EFE2FBB">
          <w:pPr>
            <w:pStyle w:val="10"/>
            <w:tabs>
              <w:tab w:val="right" w:leader="dot" w:pos="9386"/>
            </w:tabs>
            <w:ind w:left="960"/>
          </w:pPr>
          <w:r>
            <w:fldChar w:fldCharType="begin"/>
          </w:r>
          <w:r>
            <w:instrText xml:space="preserve"> HYPERLINK \l "_Toc30901" </w:instrText>
          </w:r>
          <w:r>
            <w:fldChar w:fldCharType="separate"/>
          </w:r>
          <w:r>
            <w:rPr>
              <w:rFonts w:ascii="Times New Roman" w:hAnsi="Times New Roman" w:eastAsia="黑体" w:cs="Times New Roman"/>
              <w:bCs/>
            </w:rPr>
            <w:t>1.3.2  实践意义</w:t>
          </w:r>
          <w:r>
            <w:tab/>
          </w:r>
          <w:r>
            <w:fldChar w:fldCharType="begin"/>
          </w:r>
          <w:r>
            <w:instrText xml:space="preserve"> PAGEREF _Toc30901 \h </w:instrText>
          </w:r>
          <w:r>
            <w:fldChar w:fldCharType="separate"/>
          </w:r>
          <w:r>
            <w:t>3</w:t>
          </w:r>
          <w:r>
            <w:fldChar w:fldCharType="end"/>
          </w:r>
          <w:r>
            <w:fldChar w:fldCharType="end"/>
          </w:r>
        </w:p>
        <w:p w14:paraId="3084680D">
          <w:pPr>
            <w:pStyle w:val="15"/>
            <w:tabs>
              <w:tab w:val="right" w:leader="dot" w:pos="9386"/>
            </w:tabs>
            <w:ind w:left="480"/>
          </w:pPr>
          <w:r>
            <w:fldChar w:fldCharType="begin"/>
          </w:r>
          <w:r>
            <w:instrText xml:space="preserve"> HYPERLINK \l "_Toc4418" </w:instrText>
          </w:r>
          <w:r>
            <w:fldChar w:fldCharType="separate"/>
          </w:r>
          <w:r>
            <w:rPr>
              <w:rFonts w:ascii="Times New Roman" w:hAnsi="Times New Roman" w:eastAsia="黑体" w:cs="Times New Roman"/>
              <w:bCs/>
              <w:szCs w:val="28"/>
            </w:rPr>
            <w:t>1.4  研究方法</w:t>
          </w:r>
          <w:r>
            <w:tab/>
          </w:r>
          <w:r>
            <w:fldChar w:fldCharType="begin"/>
          </w:r>
          <w:r>
            <w:instrText xml:space="preserve"> PAGEREF _Toc4418 \h </w:instrText>
          </w:r>
          <w:r>
            <w:fldChar w:fldCharType="separate"/>
          </w:r>
          <w:r>
            <w:t>3</w:t>
          </w:r>
          <w:r>
            <w:fldChar w:fldCharType="end"/>
          </w:r>
          <w:r>
            <w:fldChar w:fldCharType="end"/>
          </w:r>
        </w:p>
        <w:p w14:paraId="43AF87E9">
          <w:pPr>
            <w:pStyle w:val="15"/>
            <w:tabs>
              <w:tab w:val="right" w:leader="dot" w:pos="9386"/>
            </w:tabs>
            <w:ind w:left="480"/>
          </w:pPr>
          <w:r>
            <w:fldChar w:fldCharType="begin"/>
          </w:r>
          <w:r>
            <w:instrText xml:space="preserve"> HYPERLINK \l "_Toc31612" </w:instrText>
          </w:r>
          <w:r>
            <w:fldChar w:fldCharType="separate"/>
          </w:r>
          <w:r>
            <w:rPr>
              <w:rFonts w:ascii="Times New Roman" w:hAnsi="Times New Roman" w:eastAsia="黑体" w:cs="Times New Roman"/>
              <w:bCs/>
              <w:szCs w:val="28"/>
            </w:rPr>
            <w:t>1.5  研究框架</w:t>
          </w:r>
          <w:r>
            <w:tab/>
          </w:r>
          <w:r>
            <w:fldChar w:fldCharType="begin"/>
          </w:r>
          <w:r>
            <w:instrText xml:space="preserve"> PAGEREF _Toc31612 \h </w:instrText>
          </w:r>
          <w:r>
            <w:fldChar w:fldCharType="separate"/>
          </w:r>
          <w:r>
            <w:t>3</w:t>
          </w:r>
          <w:r>
            <w:fldChar w:fldCharType="end"/>
          </w:r>
          <w:r>
            <w:fldChar w:fldCharType="end"/>
          </w:r>
        </w:p>
        <w:p w14:paraId="6652A2AD">
          <w:pPr>
            <w:pStyle w:val="13"/>
            <w:tabs>
              <w:tab w:val="right" w:leader="dot" w:pos="9386"/>
            </w:tabs>
          </w:pPr>
          <w:r>
            <w:fldChar w:fldCharType="begin"/>
          </w:r>
          <w:r>
            <w:instrText xml:space="preserve"> HYPERLINK \l "_Toc477" </w:instrText>
          </w:r>
          <w:r>
            <w:fldChar w:fldCharType="separate"/>
          </w:r>
          <w:r>
            <w:rPr>
              <w:rFonts w:hint="eastAsia" w:ascii="Times New Roman" w:hAnsi="Times New Roman" w:eastAsia="黑体" w:cs="Times New Roman"/>
              <w:bCs/>
              <w:szCs w:val="32"/>
            </w:rPr>
            <w:t xml:space="preserve">第二章 </w:t>
          </w:r>
          <w:r>
            <w:rPr>
              <w:rFonts w:ascii="Times New Roman" w:hAnsi="Times New Roman" w:eastAsia="黑体" w:cs="Times New Roman"/>
              <w:bCs/>
              <w:szCs w:val="32"/>
            </w:rPr>
            <w:t>文献综述与理论基础</w:t>
          </w:r>
          <w:r>
            <w:tab/>
          </w:r>
          <w:r>
            <w:fldChar w:fldCharType="begin"/>
          </w:r>
          <w:r>
            <w:instrText xml:space="preserve"> PAGEREF _Toc477 \h </w:instrText>
          </w:r>
          <w:r>
            <w:fldChar w:fldCharType="separate"/>
          </w:r>
          <w:r>
            <w:t>5</w:t>
          </w:r>
          <w:r>
            <w:fldChar w:fldCharType="end"/>
          </w:r>
          <w:r>
            <w:fldChar w:fldCharType="end"/>
          </w:r>
        </w:p>
        <w:p w14:paraId="03AE76BE">
          <w:pPr>
            <w:pStyle w:val="15"/>
            <w:tabs>
              <w:tab w:val="right" w:leader="dot" w:pos="9386"/>
            </w:tabs>
            <w:ind w:left="480"/>
          </w:pPr>
          <w:r>
            <w:fldChar w:fldCharType="begin"/>
          </w:r>
          <w:r>
            <w:instrText xml:space="preserve"> HYPERLINK \l "_Toc15743" </w:instrText>
          </w:r>
          <w:r>
            <w:fldChar w:fldCharType="separate"/>
          </w:r>
          <w:r>
            <w:rPr>
              <w:rFonts w:ascii="Times New Roman" w:hAnsi="Times New Roman" w:eastAsia="黑体" w:cs="Times New Roman"/>
              <w:bCs/>
              <w:szCs w:val="28"/>
            </w:rPr>
            <w:t>2.1  哔哩哔哩平台</w:t>
          </w:r>
          <w:r>
            <w:tab/>
          </w:r>
          <w:r>
            <w:fldChar w:fldCharType="begin"/>
          </w:r>
          <w:r>
            <w:instrText xml:space="preserve"> PAGEREF _Toc15743 \h </w:instrText>
          </w:r>
          <w:r>
            <w:fldChar w:fldCharType="separate"/>
          </w:r>
          <w:r>
            <w:t>5</w:t>
          </w:r>
          <w:r>
            <w:fldChar w:fldCharType="end"/>
          </w:r>
          <w:r>
            <w:fldChar w:fldCharType="end"/>
          </w:r>
        </w:p>
        <w:p w14:paraId="04AA1700">
          <w:pPr>
            <w:pStyle w:val="10"/>
            <w:tabs>
              <w:tab w:val="right" w:leader="dot" w:pos="9386"/>
            </w:tabs>
            <w:ind w:left="960"/>
          </w:pPr>
          <w:r>
            <w:fldChar w:fldCharType="begin"/>
          </w:r>
          <w:r>
            <w:instrText xml:space="preserve"> HYPERLINK \l "_Toc1148" </w:instrText>
          </w:r>
          <w:r>
            <w:fldChar w:fldCharType="separate"/>
          </w:r>
          <w:r>
            <w:rPr>
              <w:rFonts w:ascii="Times New Roman" w:hAnsi="Times New Roman" w:eastAsia="黑体" w:cs="Times New Roman"/>
              <w:bCs/>
            </w:rPr>
            <w:t>2.1.1  哔哩哔哩平台的内涵与发展历程</w:t>
          </w:r>
          <w:r>
            <w:tab/>
          </w:r>
          <w:r>
            <w:fldChar w:fldCharType="begin"/>
          </w:r>
          <w:r>
            <w:instrText xml:space="preserve"> PAGEREF _Toc1148 \h </w:instrText>
          </w:r>
          <w:r>
            <w:fldChar w:fldCharType="separate"/>
          </w:r>
          <w:r>
            <w:t>5</w:t>
          </w:r>
          <w:r>
            <w:fldChar w:fldCharType="end"/>
          </w:r>
          <w:r>
            <w:fldChar w:fldCharType="end"/>
          </w:r>
        </w:p>
        <w:p w14:paraId="6832E590">
          <w:pPr>
            <w:pStyle w:val="10"/>
            <w:tabs>
              <w:tab w:val="right" w:leader="dot" w:pos="9386"/>
            </w:tabs>
            <w:ind w:left="960"/>
          </w:pPr>
          <w:r>
            <w:fldChar w:fldCharType="begin"/>
          </w:r>
          <w:r>
            <w:instrText xml:space="preserve"> HYPERLINK \l "_Toc20296" </w:instrText>
          </w:r>
          <w:r>
            <w:fldChar w:fldCharType="separate"/>
          </w:r>
          <w:r>
            <w:rPr>
              <w:rFonts w:ascii="Times New Roman" w:hAnsi="Times New Roman" w:eastAsia="黑体" w:cs="Times New Roman"/>
              <w:bCs/>
            </w:rPr>
            <w:t>2.1.2  哔哩哔哩的内容类型与知识区</w:t>
          </w:r>
          <w:r>
            <w:tab/>
          </w:r>
          <w:r>
            <w:fldChar w:fldCharType="begin"/>
          </w:r>
          <w:r>
            <w:instrText xml:space="preserve"> PAGEREF _Toc20296 \h </w:instrText>
          </w:r>
          <w:r>
            <w:fldChar w:fldCharType="separate"/>
          </w:r>
          <w:r>
            <w:t>6</w:t>
          </w:r>
          <w:r>
            <w:fldChar w:fldCharType="end"/>
          </w:r>
          <w:r>
            <w:fldChar w:fldCharType="end"/>
          </w:r>
        </w:p>
        <w:p w14:paraId="01DFC837">
          <w:pPr>
            <w:pStyle w:val="10"/>
            <w:tabs>
              <w:tab w:val="right" w:leader="dot" w:pos="9386"/>
            </w:tabs>
            <w:ind w:left="960"/>
          </w:pPr>
          <w:r>
            <w:fldChar w:fldCharType="begin"/>
          </w:r>
          <w:r>
            <w:instrText xml:space="preserve"> HYPERLINK \l "_Toc10062" </w:instrText>
          </w:r>
          <w:r>
            <w:fldChar w:fldCharType="separate"/>
          </w:r>
          <w:r>
            <w:rPr>
              <w:rFonts w:ascii="Times New Roman" w:hAnsi="Times New Roman" w:eastAsia="黑体" w:cs="Times New Roman"/>
              <w:bCs/>
            </w:rPr>
            <w:t>2.1.3  哔哩哔哩的互动特点</w:t>
          </w:r>
          <w:r>
            <w:tab/>
          </w:r>
          <w:r>
            <w:fldChar w:fldCharType="begin"/>
          </w:r>
          <w:r>
            <w:instrText xml:space="preserve"> PAGEREF _Toc10062 \h </w:instrText>
          </w:r>
          <w:r>
            <w:fldChar w:fldCharType="separate"/>
          </w:r>
          <w:r>
            <w:t>6</w:t>
          </w:r>
          <w:r>
            <w:fldChar w:fldCharType="end"/>
          </w:r>
          <w:r>
            <w:fldChar w:fldCharType="end"/>
          </w:r>
        </w:p>
        <w:p w14:paraId="04689460">
          <w:pPr>
            <w:pStyle w:val="10"/>
            <w:tabs>
              <w:tab w:val="right" w:leader="dot" w:pos="9386"/>
            </w:tabs>
            <w:ind w:left="960"/>
          </w:pPr>
          <w:r>
            <w:fldChar w:fldCharType="begin"/>
          </w:r>
          <w:r>
            <w:instrText xml:space="preserve"> HYPERLINK \l "_Toc28398" </w:instrText>
          </w:r>
          <w:r>
            <w:fldChar w:fldCharType="separate"/>
          </w:r>
          <w:r>
            <w:rPr>
              <w:rFonts w:ascii="Times New Roman" w:hAnsi="Times New Roman" w:eastAsia="黑体" w:cs="Times New Roman"/>
              <w:bCs/>
            </w:rPr>
            <w:t>2.1.4  哔哩哔哩的激励与收益机制</w:t>
          </w:r>
          <w:r>
            <w:tab/>
          </w:r>
          <w:r>
            <w:fldChar w:fldCharType="begin"/>
          </w:r>
          <w:r>
            <w:instrText xml:space="preserve"> PAGEREF _Toc28398 \h </w:instrText>
          </w:r>
          <w:r>
            <w:fldChar w:fldCharType="separate"/>
          </w:r>
          <w:r>
            <w:t>7</w:t>
          </w:r>
          <w:r>
            <w:fldChar w:fldCharType="end"/>
          </w:r>
          <w:r>
            <w:fldChar w:fldCharType="end"/>
          </w:r>
        </w:p>
        <w:p w14:paraId="199EBD9B">
          <w:pPr>
            <w:pStyle w:val="10"/>
            <w:tabs>
              <w:tab w:val="right" w:leader="dot" w:pos="9386"/>
            </w:tabs>
            <w:ind w:left="960"/>
          </w:pPr>
          <w:r>
            <w:fldChar w:fldCharType="begin"/>
          </w:r>
          <w:r>
            <w:instrText xml:space="preserve"> HYPERLINK \l "_Toc32291" </w:instrText>
          </w:r>
          <w:r>
            <w:fldChar w:fldCharType="separate"/>
          </w:r>
          <w:r>
            <w:rPr>
              <w:rFonts w:ascii="Times New Roman" w:hAnsi="Times New Roman" w:eastAsia="黑体" w:cs="Times New Roman"/>
              <w:bCs/>
            </w:rPr>
            <w:t>2.1.5  哔哩哔哩的UP主生态</w:t>
          </w:r>
          <w:r>
            <w:tab/>
          </w:r>
          <w:r>
            <w:fldChar w:fldCharType="begin"/>
          </w:r>
          <w:r>
            <w:instrText xml:space="preserve"> PAGEREF _Toc32291 \h </w:instrText>
          </w:r>
          <w:r>
            <w:fldChar w:fldCharType="separate"/>
          </w:r>
          <w:r>
            <w:t>7</w:t>
          </w:r>
          <w:r>
            <w:fldChar w:fldCharType="end"/>
          </w:r>
          <w:r>
            <w:fldChar w:fldCharType="end"/>
          </w:r>
        </w:p>
        <w:p w14:paraId="539238F2">
          <w:pPr>
            <w:pStyle w:val="15"/>
            <w:tabs>
              <w:tab w:val="right" w:leader="dot" w:pos="9386"/>
            </w:tabs>
            <w:ind w:left="480"/>
          </w:pPr>
          <w:r>
            <w:fldChar w:fldCharType="begin"/>
          </w:r>
          <w:r>
            <w:instrText xml:space="preserve"> HYPERLINK \l "_Toc24246" </w:instrText>
          </w:r>
          <w:r>
            <w:fldChar w:fldCharType="separate"/>
          </w:r>
          <w:r>
            <w:rPr>
              <w:rFonts w:ascii="Times New Roman" w:hAnsi="Times New Roman" w:eastAsia="黑体" w:cs="Times New Roman"/>
              <w:bCs/>
              <w:szCs w:val="28"/>
            </w:rPr>
            <w:t>2.2  用户生成内容</w:t>
          </w:r>
          <w:r>
            <w:tab/>
          </w:r>
          <w:r>
            <w:fldChar w:fldCharType="begin"/>
          </w:r>
          <w:r>
            <w:instrText xml:space="preserve"> PAGEREF _Toc24246 \h </w:instrText>
          </w:r>
          <w:r>
            <w:fldChar w:fldCharType="separate"/>
          </w:r>
          <w:r>
            <w:t>8</w:t>
          </w:r>
          <w:r>
            <w:fldChar w:fldCharType="end"/>
          </w:r>
          <w:r>
            <w:fldChar w:fldCharType="end"/>
          </w:r>
        </w:p>
        <w:p w14:paraId="57E2D817">
          <w:pPr>
            <w:pStyle w:val="10"/>
            <w:tabs>
              <w:tab w:val="right" w:leader="dot" w:pos="9386"/>
            </w:tabs>
            <w:ind w:left="960"/>
          </w:pPr>
          <w:r>
            <w:fldChar w:fldCharType="begin"/>
          </w:r>
          <w:r>
            <w:instrText xml:space="preserve"> HYPERLINK \l "_Toc4379" </w:instrText>
          </w:r>
          <w:r>
            <w:fldChar w:fldCharType="separate"/>
          </w:r>
          <w:r>
            <w:rPr>
              <w:rFonts w:ascii="Times New Roman" w:hAnsi="Times New Roman" w:eastAsia="黑体" w:cs="Times New Roman"/>
              <w:bCs/>
            </w:rPr>
            <w:t>2.2.1  用户生成内容的概念界定</w:t>
          </w:r>
          <w:r>
            <w:tab/>
          </w:r>
          <w:r>
            <w:fldChar w:fldCharType="begin"/>
          </w:r>
          <w:r>
            <w:instrText xml:space="preserve"> PAGEREF _Toc4379 \h </w:instrText>
          </w:r>
          <w:r>
            <w:fldChar w:fldCharType="separate"/>
          </w:r>
          <w:r>
            <w:t>8</w:t>
          </w:r>
          <w:r>
            <w:fldChar w:fldCharType="end"/>
          </w:r>
          <w:r>
            <w:fldChar w:fldCharType="end"/>
          </w:r>
        </w:p>
        <w:p w14:paraId="0D49BB19">
          <w:pPr>
            <w:pStyle w:val="10"/>
            <w:tabs>
              <w:tab w:val="right" w:leader="dot" w:pos="9386"/>
            </w:tabs>
            <w:ind w:left="960"/>
          </w:pPr>
          <w:r>
            <w:fldChar w:fldCharType="begin"/>
          </w:r>
          <w:r>
            <w:instrText xml:space="preserve"> HYPERLINK \l "_Toc16763" </w:instrText>
          </w:r>
          <w:r>
            <w:fldChar w:fldCharType="separate"/>
          </w:r>
          <w:r>
            <w:rPr>
              <w:rFonts w:ascii="Times New Roman" w:hAnsi="Times New Roman" w:eastAsia="黑体" w:cs="Times New Roman"/>
              <w:bCs/>
            </w:rPr>
            <w:t>2.2.2  知识类UGC的特点与分类</w:t>
          </w:r>
          <w:r>
            <w:tab/>
          </w:r>
          <w:r>
            <w:fldChar w:fldCharType="begin"/>
          </w:r>
          <w:r>
            <w:instrText xml:space="preserve"> PAGEREF _Toc16763 \h </w:instrText>
          </w:r>
          <w:r>
            <w:fldChar w:fldCharType="separate"/>
          </w:r>
          <w:r>
            <w:t>9</w:t>
          </w:r>
          <w:r>
            <w:fldChar w:fldCharType="end"/>
          </w:r>
          <w:r>
            <w:fldChar w:fldCharType="end"/>
          </w:r>
        </w:p>
        <w:p w14:paraId="14EA7634">
          <w:pPr>
            <w:pStyle w:val="10"/>
            <w:tabs>
              <w:tab w:val="right" w:leader="dot" w:pos="9386"/>
            </w:tabs>
            <w:ind w:left="960"/>
          </w:pPr>
          <w:r>
            <w:fldChar w:fldCharType="begin"/>
          </w:r>
          <w:r>
            <w:instrText xml:space="preserve"> HYPERLINK \l "_Toc19934" </w:instrText>
          </w:r>
          <w:r>
            <w:fldChar w:fldCharType="separate"/>
          </w:r>
          <w:r>
            <w:rPr>
              <w:rFonts w:ascii="Times New Roman" w:hAnsi="Times New Roman" w:eastAsia="黑体" w:cs="Times New Roman"/>
              <w:bCs/>
            </w:rPr>
            <w:t>2.2.3  UGC质量的内涵与测量</w:t>
          </w:r>
          <w:r>
            <w:tab/>
          </w:r>
          <w:r>
            <w:fldChar w:fldCharType="begin"/>
          </w:r>
          <w:r>
            <w:instrText xml:space="preserve"> PAGEREF _Toc19934 \h </w:instrText>
          </w:r>
          <w:r>
            <w:fldChar w:fldCharType="separate"/>
          </w:r>
          <w:r>
            <w:t>9</w:t>
          </w:r>
          <w:r>
            <w:fldChar w:fldCharType="end"/>
          </w:r>
          <w:r>
            <w:fldChar w:fldCharType="end"/>
          </w:r>
        </w:p>
        <w:p w14:paraId="2747F96D">
          <w:pPr>
            <w:pStyle w:val="10"/>
            <w:tabs>
              <w:tab w:val="right" w:leader="dot" w:pos="9386"/>
            </w:tabs>
            <w:ind w:left="960"/>
          </w:pPr>
          <w:r>
            <w:fldChar w:fldCharType="begin"/>
          </w:r>
          <w:r>
            <w:instrText xml:space="preserve"> HYPERLINK \l "_Toc13216" </w:instrText>
          </w:r>
          <w:r>
            <w:fldChar w:fldCharType="separate"/>
          </w:r>
          <w:r>
            <w:rPr>
              <w:rFonts w:ascii="Times New Roman" w:hAnsi="Times New Roman" w:eastAsia="黑体" w:cs="Times New Roman"/>
              <w:bCs/>
            </w:rPr>
            <w:t>2.2.3  UGC质量的影响因素</w:t>
          </w:r>
          <w:r>
            <w:tab/>
          </w:r>
          <w:r>
            <w:fldChar w:fldCharType="begin"/>
          </w:r>
          <w:r>
            <w:instrText xml:space="preserve"> PAGEREF _Toc13216 \h </w:instrText>
          </w:r>
          <w:r>
            <w:fldChar w:fldCharType="separate"/>
          </w:r>
          <w:r>
            <w:t>10</w:t>
          </w:r>
          <w:r>
            <w:fldChar w:fldCharType="end"/>
          </w:r>
          <w:r>
            <w:fldChar w:fldCharType="end"/>
          </w:r>
        </w:p>
        <w:p w14:paraId="58295340">
          <w:pPr>
            <w:pStyle w:val="15"/>
            <w:tabs>
              <w:tab w:val="right" w:leader="dot" w:pos="9386"/>
            </w:tabs>
            <w:ind w:left="480"/>
          </w:pPr>
          <w:r>
            <w:fldChar w:fldCharType="begin"/>
          </w:r>
          <w:r>
            <w:instrText xml:space="preserve"> HYPERLINK \l "_Toc30540" </w:instrText>
          </w:r>
          <w:r>
            <w:fldChar w:fldCharType="separate"/>
          </w:r>
          <w:r>
            <w:rPr>
              <w:rFonts w:ascii="Times New Roman" w:hAnsi="Times New Roman" w:eastAsia="黑体" w:cs="Times New Roman"/>
              <w:bCs/>
              <w:szCs w:val="28"/>
            </w:rPr>
            <w:t>2.3  内容创作激励机制</w:t>
          </w:r>
          <w:r>
            <w:tab/>
          </w:r>
          <w:r>
            <w:fldChar w:fldCharType="begin"/>
          </w:r>
          <w:r>
            <w:instrText xml:space="preserve"> PAGEREF _Toc30540 \h </w:instrText>
          </w:r>
          <w:r>
            <w:fldChar w:fldCharType="separate"/>
          </w:r>
          <w:r>
            <w:t>11</w:t>
          </w:r>
          <w:r>
            <w:fldChar w:fldCharType="end"/>
          </w:r>
          <w:r>
            <w:fldChar w:fldCharType="end"/>
          </w:r>
        </w:p>
        <w:p w14:paraId="1081223E">
          <w:pPr>
            <w:pStyle w:val="10"/>
            <w:tabs>
              <w:tab w:val="right" w:leader="dot" w:pos="9386"/>
            </w:tabs>
            <w:ind w:left="960"/>
          </w:pPr>
          <w:r>
            <w:fldChar w:fldCharType="begin"/>
          </w:r>
          <w:r>
            <w:instrText xml:space="preserve"> HYPERLINK \l "_Toc19551" </w:instrText>
          </w:r>
          <w:r>
            <w:fldChar w:fldCharType="separate"/>
          </w:r>
          <w:r>
            <w:rPr>
              <w:rFonts w:ascii="Times New Roman" w:hAnsi="Times New Roman" w:eastAsia="黑体" w:cs="Times New Roman"/>
              <w:bCs/>
            </w:rPr>
            <w:t>2.3.1  激励机制的概念与类型</w:t>
          </w:r>
          <w:r>
            <w:tab/>
          </w:r>
          <w:r>
            <w:fldChar w:fldCharType="begin"/>
          </w:r>
          <w:r>
            <w:instrText xml:space="preserve"> PAGEREF _Toc19551 \h </w:instrText>
          </w:r>
          <w:r>
            <w:fldChar w:fldCharType="separate"/>
          </w:r>
          <w:r>
            <w:t>11</w:t>
          </w:r>
          <w:r>
            <w:fldChar w:fldCharType="end"/>
          </w:r>
          <w:r>
            <w:fldChar w:fldCharType="end"/>
          </w:r>
        </w:p>
        <w:p w14:paraId="5EE8B91A">
          <w:pPr>
            <w:pStyle w:val="10"/>
            <w:tabs>
              <w:tab w:val="right" w:leader="dot" w:pos="9386"/>
            </w:tabs>
            <w:ind w:left="960"/>
          </w:pPr>
          <w:r>
            <w:fldChar w:fldCharType="begin"/>
          </w:r>
          <w:r>
            <w:instrText xml:space="preserve"> HYPERLINK \l "_Toc12306" </w:instrText>
          </w:r>
          <w:r>
            <w:fldChar w:fldCharType="separate"/>
          </w:r>
          <w:r>
            <w:rPr>
              <w:rFonts w:ascii="Times New Roman" w:hAnsi="Times New Roman" w:eastAsia="黑体" w:cs="Times New Roman"/>
              <w:bCs/>
            </w:rPr>
            <w:t>2.3.2  货币激励与非货币激励的差异</w:t>
          </w:r>
          <w:r>
            <w:tab/>
          </w:r>
          <w:r>
            <w:fldChar w:fldCharType="begin"/>
          </w:r>
          <w:r>
            <w:instrText xml:space="preserve"> PAGEREF _Toc12306 \h </w:instrText>
          </w:r>
          <w:r>
            <w:fldChar w:fldCharType="separate"/>
          </w:r>
          <w:r>
            <w:t>11</w:t>
          </w:r>
          <w:r>
            <w:fldChar w:fldCharType="end"/>
          </w:r>
          <w:r>
            <w:fldChar w:fldCharType="end"/>
          </w:r>
        </w:p>
        <w:p w14:paraId="39CE51A9">
          <w:pPr>
            <w:pStyle w:val="10"/>
            <w:tabs>
              <w:tab w:val="right" w:leader="dot" w:pos="9386"/>
            </w:tabs>
            <w:ind w:left="960"/>
          </w:pPr>
          <w:r>
            <w:fldChar w:fldCharType="begin"/>
          </w:r>
          <w:r>
            <w:instrText xml:space="preserve"> HYPERLINK \l "_Toc21160" </w:instrText>
          </w:r>
          <w:r>
            <w:fldChar w:fldCharType="separate"/>
          </w:r>
          <w:r>
            <w:rPr>
              <w:rFonts w:ascii="Times New Roman" w:hAnsi="Times New Roman" w:eastAsia="黑体" w:cs="Times New Roman"/>
              <w:bCs/>
            </w:rPr>
            <w:t>2.3.3  投币激励的概念与特征</w:t>
          </w:r>
          <w:r>
            <w:tab/>
          </w:r>
          <w:r>
            <w:fldChar w:fldCharType="begin"/>
          </w:r>
          <w:r>
            <w:instrText xml:space="preserve"> PAGEREF _Toc21160 \h </w:instrText>
          </w:r>
          <w:r>
            <w:fldChar w:fldCharType="separate"/>
          </w:r>
          <w:r>
            <w:t>12</w:t>
          </w:r>
          <w:r>
            <w:fldChar w:fldCharType="end"/>
          </w:r>
          <w:r>
            <w:fldChar w:fldCharType="end"/>
          </w:r>
        </w:p>
        <w:p w14:paraId="5E975294">
          <w:pPr>
            <w:pStyle w:val="10"/>
            <w:tabs>
              <w:tab w:val="right" w:leader="dot" w:pos="9386"/>
            </w:tabs>
            <w:ind w:left="960"/>
          </w:pPr>
          <w:r>
            <w:fldChar w:fldCharType="begin"/>
          </w:r>
          <w:r>
            <w:instrText xml:space="preserve"> HYPERLINK \l "_Toc24198" </w:instrText>
          </w:r>
          <w:r>
            <w:fldChar w:fldCharType="separate"/>
          </w:r>
          <w:r>
            <w:rPr>
              <w:rFonts w:ascii="Times New Roman" w:hAnsi="Times New Roman" w:eastAsia="黑体" w:cs="Times New Roman"/>
              <w:bCs/>
            </w:rPr>
            <w:t>2.3.4  激励对内容质量的影响</w:t>
          </w:r>
          <w:r>
            <w:tab/>
          </w:r>
          <w:r>
            <w:fldChar w:fldCharType="begin"/>
          </w:r>
          <w:r>
            <w:instrText xml:space="preserve"> PAGEREF _Toc24198 \h </w:instrText>
          </w:r>
          <w:r>
            <w:fldChar w:fldCharType="separate"/>
          </w:r>
          <w:r>
            <w:t>13</w:t>
          </w:r>
          <w:r>
            <w:fldChar w:fldCharType="end"/>
          </w:r>
          <w:r>
            <w:fldChar w:fldCharType="end"/>
          </w:r>
        </w:p>
        <w:p w14:paraId="66CAA51F">
          <w:pPr>
            <w:pStyle w:val="15"/>
            <w:tabs>
              <w:tab w:val="right" w:leader="dot" w:pos="9386"/>
            </w:tabs>
            <w:ind w:left="480"/>
          </w:pPr>
          <w:r>
            <w:fldChar w:fldCharType="begin"/>
          </w:r>
          <w:r>
            <w:instrText xml:space="preserve"> HYPERLINK \l "_Toc2552" </w:instrText>
          </w:r>
          <w:r>
            <w:fldChar w:fldCharType="separate"/>
          </w:r>
          <w:r>
            <w:rPr>
              <w:rFonts w:ascii="Times New Roman" w:hAnsi="Times New Roman" w:eastAsia="黑体" w:cs="Times New Roman"/>
              <w:bCs/>
              <w:szCs w:val="28"/>
            </w:rPr>
            <w:t>2.3  内容创作激励机制</w:t>
          </w:r>
          <w:r>
            <w:tab/>
          </w:r>
          <w:r>
            <w:fldChar w:fldCharType="begin"/>
          </w:r>
          <w:r>
            <w:instrText xml:space="preserve"> PAGEREF _Toc2552 \h </w:instrText>
          </w:r>
          <w:r>
            <w:fldChar w:fldCharType="separate"/>
          </w:r>
          <w:r>
            <w:t>13</w:t>
          </w:r>
          <w:r>
            <w:fldChar w:fldCharType="end"/>
          </w:r>
          <w:r>
            <w:fldChar w:fldCharType="end"/>
          </w:r>
        </w:p>
        <w:p w14:paraId="581CEDE7">
          <w:pPr>
            <w:pStyle w:val="10"/>
            <w:tabs>
              <w:tab w:val="right" w:leader="dot" w:pos="9386"/>
            </w:tabs>
            <w:ind w:left="960"/>
          </w:pPr>
          <w:r>
            <w:fldChar w:fldCharType="begin"/>
          </w:r>
          <w:r>
            <w:instrText xml:space="preserve"> HYPERLINK \l "_Toc23731" </w:instrText>
          </w:r>
          <w:r>
            <w:fldChar w:fldCharType="separate"/>
          </w:r>
          <w:r>
            <w:rPr>
              <w:rFonts w:ascii="Times New Roman" w:hAnsi="Times New Roman" w:eastAsia="黑体" w:cs="Times New Roman"/>
              <w:bCs/>
            </w:rPr>
            <w:t>2.4.1  社会交换理论</w:t>
          </w:r>
          <w:r>
            <w:tab/>
          </w:r>
          <w:r>
            <w:fldChar w:fldCharType="begin"/>
          </w:r>
          <w:r>
            <w:instrText xml:space="preserve"> PAGEREF _Toc23731 \h </w:instrText>
          </w:r>
          <w:r>
            <w:fldChar w:fldCharType="separate"/>
          </w:r>
          <w:r>
            <w:t>14</w:t>
          </w:r>
          <w:r>
            <w:fldChar w:fldCharType="end"/>
          </w:r>
          <w:r>
            <w:fldChar w:fldCharType="end"/>
          </w:r>
        </w:p>
        <w:p w14:paraId="61C7E4C9">
          <w:pPr>
            <w:pStyle w:val="10"/>
            <w:tabs>
              <w:tab w:val="right" w:leader="dot" w:pos="9386"/>
            </w:tabs>
            <w:ind w:left="960"/>
          </w:pPr>
          <w:r>
            <w:fldChar w:fldCharType="begin"/>
          </w:r>
          <w:r>
            <w:instrText xml:space="preserve"> HYPERLINK \l "_Toc24258" </w:instrText>
          </w:r>
          <w:r>
            <w:fldChar w:fldCharType="separate"/>
          </w:r>
          <w:r>
            <w:rPr>
              <w:rFonts w:ascii="Times New Roman" w:hAnsi="Times New Roman" w:eastAsia="黑体" w:cs="Times New Roman"/>
              <w:bCs/>
            </w:rPr>
            <w:t>2.4.2 自我决定理论</w:t>
          </w:r>
          <w:r>
            <w:tab/>
          </w:r>
          <w:r>
            <w:fldChar w:fldCharType="begin"/>
          </w:r>
          <w:r>
            <w:instrText xml:space="preserve"> PAGEREF _Toc24258 \h </w:instrText>
          </w:r>
          <w:r>
            <w:fldChar w:fldCharType="separate"/>
          </w:r>
          <w:r>
            <w:t>14</w:t>
          </w:r>
          <w:r>
            <w:fldChar w:fldCharType="end"/>
          </w:r>
          <w:r>
            <w:fldChar w:fldCharType="end"/>
          </w:r>
        </w:p>
        <w:p w14:paraId="0BAF7A17">
          <w:pPr>
            <w:pStyle w:val="10"/>
            <w:tabs>
              <w:tab w:val="right" w:leader="dot" w:pos="9386"/>
            </w:tabs>
            <w:ind w:left="960"/>
          </w:pPr>
          <w:r>
            <w:fldChar w:fldCharType="begin"/>
          </w:r>
          <w:r>
            <w:instrText xml:space="preserve"> HYPERLINK \l "_Toc15745" </w:instrText>
          </w:r>
          <w:r>
            <w:fldChar w:fldCharType="separate"/>
          </w:r>
          <w:r>
            <w:rPr>
              <w:rFonts w:ascii="Times New Roman" w:hAnsi="Times New Roman" w:eastAsia="黑体" w:cs="Times New Roman"/>
              <w:bCs/>
            </w:rPr>
            <w:t>2.4.3 互动仪式链理论</w:t>
          </w:r>
          <w:r>
            <w:tab/>
          </w:r>
          <w:r>
            <w:fldChar w:fldCharType="begin"/>
          </w:r>
          <w:r>
            <w:instrText xml:space="preserve"> PAGEREF _Toc15745 \h </w:instrText>
          </w:r>
          <w:r>
            <w:fldChar w:fldCharType="separate"/>
          </w:r>
          <w:r>
            <w:t>15</w:t>
          </w:r>
          <w:r>
            <w:fldChar w:fldCharType="end"/>
          </w:r>
          <w:r>
            <w:fldChar w:fldCharType="end"/>
          </w:r>
        </w:p>
        <w:p w14:paraId="44C4A406">
          <w:pPr>
            <w:pStyle w:val="10"/>
            <w:tabs>
              <w:tab w:val="right" w:leader="dot" w:pos="9386"/>
            </w:tabs>
            <w:ind w:left="960"/>
          </w:pPr>
          <w:r>
            <w:fldChar w:fldCharType="begin"/>
          </w:r>
          <w:r>
            <w:instrText xml:space="preserve"> HYPERLINK \l "_Toc14189" </w:instrText>
          </w:r>
          <w:r>
            <w:fldChar w:fldCharType="separate"/>
          </w:r>
          <w:r>
            <w:rPr>
              <w:rFonts w:ascii="Times New Roman" w:hAnsi="Times New Roman" w:eastAsia="黑体" w:cs="Times New Roman"/>
              <w:bCs/>
            </w:rPr>
            <w:t>2.4.4 信号理论</w:t>
          </w:r>
          <w:r>
            <w:tab/>
          </w:r>
          <w:r>
            <w:fldChar w:fldCharType="begin"/>
          </w:r>
          <w:r>
            <w:instrText xml:space="preserve"> PAGEREF _Toc14189 \h </w:instrText>
          </w:r>
          <w:r>
            <w:fldChar w:fldCharType="separate"/>
          </w:r>
          <w:r>
            <w:t>16</w:t>
          </w:r>
          <w:r>
            <w:fldChar w:fldCharType="end"/>
          </w:r>
          <w:r>
            <w:fldChar w:fldCharType="end"/>
          </w:r>
        </w:p>
        <w:p w14:paraId="6019C765">
          <w:pPr>
            <w:pStyle w:val="10"/>
            <w:tabs>
              <w:tab w:val="right" w:leader="dot" w:pos="9386"/>
            </w:tabs>
            <w:ind w:left="960"/>
          </w:pPr>
          <w:r>
            <w:fldChar w:fldCharType="begin"/>
          </w:r>
          <w:r>
            <w:instrText xml:space="preserve"> HYPERLINK \l "_Toc30810" </w:instrText>
          </w:r>
          <w:r>
            <w:fldChar w:fldCharType="separate"/>
          </w:r>
          <w:r>
            <w:rPr>
              <w:rFonts w:ascii="Times New Roman" w:hAnsi="Times New Roman" w:eastAsia="黑体" w:cs="Times New Roman"/>
              <w:bCs/>
            </w:rPr>
            <w:t>2.4.5 累积优势理论与马太效应</w:t>
          </w:r>
          <w:r>
            <w:tab/>
          </w:r>
          <w:r>
            <w:fldChar w:fldCharType="begin"/>
          </w:r>
          <w:r>
            <w:instrText xml:space="preserve"> PAGEREF _Toc30810 \h </w:instrText>
          </w:r>
          <w:r>
            <w:fldChar w:fldCharType="separate"/>
          </w:r>
          <w:r>
            <w:t>16</w:t>
          </w:r>
          <w:r>
            <w:fldChar w:fldCharType="end"/>
          </w:r>
          <w:r>
            <w:fldChar w:fldCharType="end"/>
          </w:r>
        </w:p>
        <w:p w14:paraId="6944EB25">
          <w:pPr>
            <w:pStyle w:val="15"/>
            <w:tabs>
              <w:tab w:val="right" w:leader="dot" w:pos="9386"/>
            </w:tabs>
            <w:ind w:left="480"/>
          </w:pPr>
          <w:r>
            <w:fldChar w:fldCharType="begin"/>
          </w:r>
          <w:r>
            <w:instrText xml:space="preserve"> HYPERLINK \l "_Toc5619" </w:instrText>
          </w:r>
          <w:r>
            <w:fldChar w:fldCharType="separate"/>
          </w:r>
          <w:r>
            <w:rPr>
              <w:rFonts w:ascii="Times New Roman" w:hAnsi="Times New Roman" w:eastAsia="黑体" w:cs="Times New Roman"/>
              <w:bCs/>
              <w:szCs w:val="28"/>
            </w:rPr>
            <w:t>2.5 激励机制与内容质量研究的最新进展</w:t>
          </w:r>
          <w:r>
            <w:tab/>
          </w:r>
          <w:r>
            <w:fldChar w:fldCharType="begin"/>
          </w:r>
          <w:r>
            <w:instrText xml:space="preserve"> PAGEREF _Toc5619 \h </w:instrText>
          </w:r>
          <w:r>
            <w:fldChar w:fldCharType="separate"/>
          </w:r>
          <w:r>
            <w:t>17</w:t>
          </w:r>
          <w:r>
            <w:fldChar w:fldCharType="end"/>
          </w:r>
          <w:r>
            <w:fldChar w:fldCharType="end"/>
          </w:r>
        </w:p>
        <w:p w14:paraId="6E703A3C">
          <w:pPr>
            <w:pStyle w:val="10"/>
            <w:tabs>
              <w:tab w:val="right" w:leader="dot" w:pos="9386"/>
            </w:tabs>
            <w:ind w:left="960"/>
          </w:pPr>
          <w:r>
            <w:fldChar w:fldCharType="begin"/>
          </w:r>
          <w:r>
            <w:instrText xml:space="preserve"> HYPERLINK \l "_Toc5820" </w:instrText>
          </w:r>
          <w:r>
            <w:fldChar w:fldCharType="separate"/>
          </w:r>
          <w:r>
            <w:rPr>
              <w:rFonts w:ascii="Times New Roman" w:hAnsi="Times New Roman" w:eastAsia="黑体" w:cs="Times New Roman"/>
              <w:bCs/>
            </w:rPr>
            <w:t>2.5.1 大规模实证研究的兴起</w:t>
          </w:r>
          <w:r>
            <w:tab/>
          </w:r>
          <w:r>
            <w:fldChar w:fldCharType="begin"/>
          </w:r>
          <w:r>
            <w:instrText xml:space="preserve"> PAGEREF _Toc5820 \h </w:instrText>
          </w:r>
          <w:r>
            <w:fldChar w:fldCharType="separate"/>
          </w:r>
          <w:r>
            <w:t>17</w:t>
          </w:r>
          <w:r>
            <w:fldChar w:fldCharType="end"/>
          </w:r>
          <w:r>
            <w:fldChar w:fldCharType="end"/>
          </w:r>
        </w:p>
        <w:p w14:paraId="48A97100">
          <w:pPr>
            <w:pStyle w:val="10"/>
            <w:tabs>
              <w:tab w:val="right" w:leader="dot" w:pos="9386"/>
            </w:tabs>
            <w:ind w:left="960"/>
          </w:pPr>
          <w:r>
            <w:fldChar w:fldCharType="begin"/>
          </w:r>
          <w:r>
            <w:instrText xml:space="preserve"> HYPERLINK \l "_Toc22421" </w:instrText>
          </w:r>
          <w:r>
            <w:fldChar w:fldCharType="separate"/>
          </w:r>
          <w:r>
            <w:rPr>
              <w:rFonts w:ascii="Times New Roman" w:hAnsi="Times New Roman" w:eastAsia="黑体" w:cs="Times New Roman"/>
              <w:bCs/>
            </w:rPr>
            <w:t>2.5.2 人工智能生成内容时代的UGC激励挑战</w:t>
          </w:r>
          <w:r>
            <w:tab/>
          </w:r>
          <w:r>
            <w:fldChar w:fldCharType="begin"/>
          </w:r>
          <w:r>
            <w:instrText xml:space="preserve"> PAGEREF _Toc22421 \h </w:instrText>
          </w:r>
          <w:r>
            <w:fldChar w:fldCharType="separate"/>
          </w:r>
          <w:r>
            <w:t>18</w:t>
          </w:r>
          <w:r>
            <w:fldChar w:fldCharType="end"/>
          </w:r>
          <w:r>
            <w:fldChar w:fldCharType="end"/>
          </w:r>
        </w:p>
        <w:p w14:paraId="3D4B27A8">
          <w:pPr>
            <w:pStyle w:val="10"/>
            <w:tabs>
              <w:tab w:val="right" w:leader="dot" w:pos="9386"/>
            </w:tabs>
            <w:ind w:left="960"/>
          </w:pPr>
          <w:r>
            <w:fldChar w:fldCharType="begin"/>
          </w:r>
          <w:r>
            <w:instrText xml:space="preserve"> HYPERLINK \l "_Toc7064" </w:instrText>
          </w:r>
          <w:r>
            <w:fldChar w:fldCharType="separate"/>
          </w:r>
          <w:r>
            <w:rPr>
              <w:rFonts w:ascii="Times New Roman" w:hAnsi="Times New Roman" w:eastAsia="黑体" w:cs="Times New Roman"/>
              <w:bCs/>
            </w:rPr>
            <w:t>2.5.3 现有研究的局限与本文的研究切入点</w:t>
          </w:r>
          <w:r>
            <w:tab/>
          </w:r>
          <w:r>
            <w:fldChar w:fldCharType="begin"/>
          </w:r>
          <w:r>
            <w:instrText xml:space="preserve"> PAGEREF _Toc7064 \h </w:instrText>
          </w:r>
          <w:r>
            <w:fldChar w:fldCharType="separate"/>
          </w:r>
          <w:r>
            <w:t>18</w:t>
          </w:r>
          <w:r>
            <w:fldChar w:fldCharType="end"/>
          </w:r>
          <w:r>
            <w:fldChar w:fldCharType="end"/>
          </w:r>
        </w:p>
        <w:p w14:paraId="3D1CC671">
          <w:pPr>
            <w:pStyle w:val="13"/>
            <w:tabs>
              <w:tab w:val="right" w:leader="dot" w:pos="9386"/>
            </w:tabs>
          </w:pPr>
          <w:r>
            <w:fldChar w:fldCharType="begin"/>
          </w:r>
          <w:r>
            <w:instrText xml:space="preserve"> HYPERLINK \l "_Toc2904" </w:instrText>
          </w:r>
          <w:r>
            <w:fldChar w:fldCharType="separate"/>
          </w:r>
          <w:r>
            <w:rPr>
              <w:rFonts w:ascii="Times New Roman" w:hAnsi="Times New Roman" w:eastAsia="黑体" w:cs="Times New Roman"/>
              <w:bCs/>
              <w:szCs w:val="32"/>
            </w:rPr>
            <w:t>第三章  研究设计与数据来源</w:t>
          </w:r>
          <w:r>
            <w:tab/>
          </w:r>
          <w:r>
            <w:fldChar w:fldCharType="begin"/>
          </w:r>
          <w:r>
            <w:instrText xml:space="preserve"> PAGEREF _Toc2904 \h </w:instrText>
          </w:r>
          <w:r>
            <w:fldChar w:fldCharType="separate"/>
          </w:r>
          <w:r>
            <w:t>19</w:t>
          </w:r>
          <w:r>
            <w:fldChar w:fldCharType="end"/>
          </w:r>
          <w:r>
            <w:fldChar w:fldCharType="end"/>
          </w:r>
        </w:p>
        <w:p w14:paraId="40CCBD63">
          <w:pPr>
            <w:pStyle w:val="15"/>
            <w:tabs>
              <w:tab w:val="right" w:leader="dot" w:pos="9386"/>
            </w:tabs>
            <w:ind w:left="480"/>
          </w:pPr>
          <w:r>
            <w:fldChar w:fldCharType="begin"/>
          </w:r>
          <w:r>
            <w:instrText xml:space="preserve"> HYPERLINK \l "_Toc23152" </w:instrText>
          </w:r>
          <w:r>
            <w:fldChar w:fldCharType="separate"/>
          </w:r>
          <w:r>
            <w:rPr>
              <w:rFonts w:ascii="Times New Roman" w:hAnsi="Times New Roman" w:eastAsia="黑体" w:cs="Times New Roman"/>
              <w:bCs/>
              <w:szCs w:val="28"/>
            </w:rPr>
            <w:t>3.1  模型的确立</w:t>
          </w:r>
          <w:r>
            <w:tab/>
          </w:r>
          <w:r>
            <w:fldChar w:fldCharType="begin"/>
          </w:r>
          <w:r>
            <w:instrText xml:space="preserve"> PAGEREF _Toc23152 \h </w:instrText>
          </w:r>
          <w:r>
            <w:fldChar w:fldCharType="separate"/>
          </w:r>
          <w:r>
            <w:t>19</w:t>
          </w:r>
          <w:r>
            <w:fldChar w:fldCharType="end"/>
          </w:r>
          <w:r>
            <w:fldChar w:fldCharType="end"/>
          </w:r>
        </w:p>
        <w:p w14:paraId="664D3409">
          <w:pPr>
            <w:pStyle w:val="15"/>
            <w:tabs>
              <w:tab w:val="right" w:leader="dot" w:pos="9386"/>
            </w:tabs>
            <w:ind w:left="480"/>
          </w:pPr>
          <w:r>
            <w:fldChar w:fldCharType="begin"/>
          </w:r>
          <w:r>
            <w:instrText xml:space="preserve"> HYPERLINK \l "_Toc23829" </w:instrText>
          </w:r>
          <w:r>
            <w:fldChar w:fldCharType="separate"/>
          </w:r>
          <w:r>
            <w:rPr>
              <w:rFonts w:ascii="Times New Roman" w:hAnsi="Times New Roman" w:eastAsia="黑体" w:cs="Times New Roman"/>
              <w:bCs/>
              <w:szCs w:val="28"/>
            </w:rPr>
            <w:t>3.2假设推导</w:t>
          </w:r>
          <w:r>
            <w:tab/>
          </w:r>
          <w:r>
            <w:fldChar w:fldCharType="begin"/>
          </w:r>
          <w:r>
            <w:instrText xml:space="preserve"> PAGEREF _Toc23829 \h </w:instrText>
          </w:r>
          <w:r>
            <w:fldChar w:fldCharType="separate"/>
          </w:r>
          <w:r>
            <w:t>20</w:t>
          </w:r>
          <w:r>
            <w:fldChar w:fldCharType="end"/>
          </w:r>
          <w:r>
            <w:fldChar w:fldCharType="end"/>
          </w:r>
        </w:p>
        <w:p w14:paraId="632F7229">
          <w:pPr>
            <w:pStyle w:val="10"/>
            <w:tabs>
              <w:tab w:val="right" w:leader="dot" w:pos="9386"/>
            </w:tabs>
            <w:ind w:left="960"/>
          </w:pPr>
          <w:r>
            <w:fldChar w:fldCharType="begin"/>
          </w:r>
          <w:r>
            <w:instrText xml:space="preserve"> HYPERLINK \l "_Toc25739" </w:instrText>
          </w:r>
          <w:r>
            <w:fldChar w:fldCharType="separate"/>
          </w:r>
          <w:r>
            <w:rPr>
              <w:rFonts w:ascii="Times New Roman" w:hAnsi="Times New Roman" w:eastAsia="黑体" w:cs="Times New Roman"/>
              <w:bCs/>
            </w:rPr>
            <w:t>3.2.1  投币激励对内容质量的直接影响</w:t>
          </w:r>
          <w:r>
            <w:tab/>
          </w:r>
          <w:r>
            <w:fldChar w:fldCharType="begin"/>
          </w:r>
          <w:r>
            <w:instrText xml:space="preserve"> PAGEREF _Toc25739 \h </w:instrText>
          </w:r>
          <w:r>
            <w:fldChar w:fldCharType="separate"/>
          </w:r>
          <w:r>
            <w:t>20</w:t>
          </w:r>
          <w:r>
            <w:fldChar w:fldCharType="end"/>
          </w:r>
          <w:r>
            <w:fldChar w:fldCharType="end"/>
          </w:r>
        </w:p>
        <w:p w14:paraId="1C99236B">
          <w:pPr>
            <w:pStyle w:val="10"/>
            <w:tabs>
              <w:tab w:val="right" w:leader="dot" w:pos="9386"/>
            </w:tabs>
            <w:ind w:left="960"/>
          </w:pPr>
          <w:r>
            <w:fldChar w:fldCharType="begin"/>
          </w:r>
          <w:r>
            <w:instrText xml:space="preserve"> HYPERLINK \l "_Toc17001" </w:instrText>
          </w:r>
          <w:r>
            <w:fldChar w:fldCharType="separate"/>
          </w:r>
          <w:r>
            <w:rPr>
              <w:rFonts w:ascii="Times New Roman" w:hAnsi="Times New Roman" w:eastAsia="黑体" w:cs="Times New Roman"/>
              <w:bCs/>
            </w:rPr>
            <w:t>3.2.2  投入互惠机制：打磨周期的中介作用</w:t>
          </w:r>
          <w:r>
            <w:tab/>
          </w:r>
          <w:r>
            <w:fldChar w:fldCharType="begin"/>
          </w:r>
          <w:r>
            <w:instrText xml:space="preserve"> PAGEREF _Toc17001 \h </w:instrText>
          </w:r>
          <w:r>
            <w:fldChar w:fldCharType="separate"/>
          </w:r>
          <w:r>
            <w:t>21</w:t>
          </w:r>
          <w:r>
            <w:fldChar w:fldCharType="end"/>
          </w:r>
          <w:r>
            <w:fldChar w:fldCharType="end"/>
          </w:r>
        </w:p>
        <w:p w14:paraId="7CBD415E">
          <w:pPr>
            <w:pStyle w:val="10"/>
            <w:tabs>
              <w:tab w:val="right" w:leader="dot" w:pos="9386"/>
            </w:tabs>
            <w:ind w:left="960"/>
          </w:pPr>
          <w:r>
            <w:fldChar w:fldCharType="begin"/>
          </w:r>
          <w:r>
            <w:instrText xml:space="preserve"> HYPERLINK \l "_Toc9410" </w:instrText>
          </w:r>
          <w:r>
            <w:fldChar w:fldCharType="separate"/>
          </w:r>
          <w:r>
            <w:rPr>
              <w:rFonts w:ascii="Times New Roman" w:hAnsi="Times New Roman" w:eastAsia="黑体" w:cs="Times New Roman"/>
              <w:bCs/>
            </w:rPr>
            <w:t>3.2.3  深度反馈机制：评论互动的中介作用</w:t>
          </w:r>
          <w:r>
            <w:tab/>
          </w:r>
          <w:r>
            <w:fldChar w:fldCharType="begin"/>
          </w:r>
          <w:r>
            <w:instrText xml:space="preserve"> PAGEREF _Toc9410 \h </w:instrText>
          </w:r>
          <w:r>
            <w:fldChar w:fldCharType="separate"/>
          </w:r>
          <w:r>
            <w:t>22</w:t>
          </w:r>
          <w:r>
            <w:fldChar w:fldCharType="end"/>
          </w:r>
          <w:r>
            <w:fldChar w:fldCharType="end"/>
          </w:r>
        </w:p>
        <w:p w14:paraId="27958BB9">
          <w:pPr>
            <w:pStyle w:val="10"/>
            <w:tabs>
              <w:tab w:val="right" w:leader="dot" w:pos="9386"/>
            </w:tabs>
            <w:ind w:left="960"/>
          </w:pPr>
          <w:r>
            <w:fldChar w:fldCharType="begin"/>
          </w:r>
          <w:r>
            <w:instrText xml:space="preserve"> HYPERLINK \l "_Toc16329" </w:instrText>
          </w:r>
          <w:r>
            <w:fldChar w:fldCharType="separate"/>
          </w:r>
          <w:r>
            <w:rPr>
              <w:rFonts w:ascii="Times New Roman" w:hAnsi="Times New Roman" w:eastAsia="黑体" w:cs="Times New Roman"/>
              <w:bCs/>
            </w:rPr>
            <w:t>3.2.4  流量传播路径的检验</w:t>
          </w:r>
          <w:r>
            <w:tab/>
          </w:r>
          <w:r>
            <w:fldChar w:fldCharType="begin"/>
          </w:r>
          <w:r>
            <w:instrText xml:space="preserve"> PAGEREF _Toc16329 \h </w:instrText>
          </w:r>
          <w:r>
            <w:fldChar w:fldCharType="separate"/>
          </w:r>
          <w:r>
            <w:t>23</w:t>
          </w:r>
          <w:r>
            <w:fldChar w:fldCharType="end"/>
          </w:r>
          <w:r>
            <w:fldChar w:fldCharType="end"/>
          </w:r>
        </w:p>
        <w:p w14:paraId="2F520D09">
          <w:pPr>
            <w:pStyle w:val="10"/>
            <w:tabs>
              <w:tab w:val="right" w:leader="dot" w:pos="9386"/>
            </w:tabs>
            <w:ind w:left="960"/>
          </w:pPr>
          <w:r>
            <w:fldChar w:fldCharType="begin"/>
          </w:r>
          <w:r>
            <w:instrText xml:space="preserve"> HYPERLINK \l "_Toc18094" </w:instrText>
          </w:r>
          <w:r>
            <w:fldChar w:fldCharType="separate"/>
          </w:r>
          <w:r>
            <w:rPr>
              <w:rFonts w:ascii="Times New Roman" w:hAnsi="Times New Roman" w:eastAsia="黑体" w:cs="Times New Roman"/>
              <w:bCs/>
            </w:rPr>
            <w:t>3.2.5  投币激励效应的群体异质性</w:t>
          </w:r>
          <w:r>
            <w:tab/>
          </w:r>
          <w:r>
            <w:fldChar w:fldCharType="begin"/>
          </w:r>
          <w:r>
            <w:instrText xml:space="preserve"> PAGEREF _Toc18094 \h </w:instrText>
          </w:r>
          <w:r>
            <w:fldChar w:fldCharType="separate"/>
          </w:r>
          <w:r>
            <w:t>24</w:t>
          </w:r>
          <w:r>
            <w:fldChar w:fldCharType="end"/>
          </w:r>
          <w:r>
            <w:fldChar w:fldCharType="end"/>
          </w:r>
        </w:p>
        <w:p w14:paraId="3A3CB973">
          <w:pPr>
            <w:pStyle w:val="10"/>
            <w:tabs>
              <w:tab w:val="right" w:leader="dot" w:pos="9386"/>
            </w:tabs>
            <w:ind w:left="960"/>
          </w:pPr>
          <w:r>
            <w:fldChar w:fldCharType="begin"/>
          </w:r>
          <w:r>
            <w:instrText xml:space="preserve"> HYPERLINK \l "_Toc3967" </w:instrText>
          </w:r>
          <w:r>
            <w:fldChar w:fldCharType="separate"/>
          </w:r>
          <w:r>
            <w:rPr>
              <w:rFonts w:ascii="Times New Roman" w:hAnsi="Times New Roman" w:eastAsia="黑体" w:cs="Times New Roman"/>
              <w:bCs/>
              <w:szCs w:val="28"/>
            </w:rPr>
            <w:t>3.3  变量的定义与测量</w:t>
          </w:r>
          <w:r>
            <w:tab/>
          </w:r>
          <w:r>
            <w:fldChar w:fldCharType="begin"/>
          </w:r>
          <w:r>
            <w:instrText xml:space="preserve"> PAGEREF _Toc3967 \h </w:instrText>
          </w:r>
          <w:r>
            <w:fldChar w:fldCharType="separate"/>
          </w:r>
          <w:r>
            <w:t>24</w:t>
          </w:r>
          <w:r>
            <w:fldChar w:fldCharType="end"/>
          </w:r>
          <w:r>
            <w:fldChar w:fldCharType="end"/>
          </w:r>
        </w:p>
        <w:p w14:paraId="000E160E">
          <w:pPr>
            <w:pStyle w:val="13"/>
            <w:tabs>
              <w:tab w:val="right" w:leader="dot" w:pos="9386"/>
            </w:tabs>
          </w:pPr>
          <w:r>
            <w:fldChar w:fldCharType="begin"/>
          </w:r>
          <w:r>
            <w:instrText xml:space="preserve"> HYPERLINK \l "_Toc11324" </w:instrText>
          </w:r>
          <w:r>
            <w:fldChar w:fldCharType="separate"/>
          </w:r>
          <w:r>
            <w:rPr>
              <w:rFonts w:ascii="Times New Roman" w:hAnsi="Times New Roman" w:eastAsia="黑体" w:cs="Times New Roman"/>
              <w:bCs/>
              <w:szCs w:val="32"/>
            </w:rPr>
            <w:t>第四章  数据来源与数据收集</w:t>
          </w:r>
          <w:r>
            <w:tab/>
          </w:r>
          <w:r>
            <w:fldChar w:fldCharType="begin"/>
          </w:r>
          <w:r>
            <w:instrText xml:space="preserve"> PAGEREF _Toc11324 \h </w:instrText>
          </w:r>
          <w:r>
            <w:fldChar w:fldCharType="separate"/>
          </w:r>
          <w:r>
            <w:t>26</w:t>
          </w:r>
          <w:r>
            <w:fldChar w:fldCharType="end"/>
          </w:r>
          <w:r>
            <w:fldChar w:fldCharType="end"/>
          </w:r>
        </w:p>
        <w:p w14:paraId="7563AD25">
          <w:pPr>
            <w:pStyle w:val="10"/>
            <w:tabs>
              <w:tab w:val="right" w:leader="dot" w:pos="9386"/>
            </w:tabs>
            <w:ind w:left="960"/>
          </w:pPr>
          <w:r>
            <w:fldChar w:fldCharType="begin"/>
          </w:r>
          <w:r>
            <w:instrText xml:space="preserve"> HYPERLINK \l "_Toc358" </w:instrText>
          </w:r>
          <w:r>
            <w:fldChar w:fldCharType="separate"/>
          </w:r>
          <w:r>
            <w:rPr>
              <w:rFonts w:ascii="Times New Roman" w:hAnsi="Times New Roman" w:eastAsia="黑体" w:cs="Times New Roman"/>
              <w:bCs/>
              <w:szCs w:val="28"/>
            </w:rPr>
            <w:t>4.1  研究对象</w:t>
          </w:r>
          <w:r>
            <w:tab/>
          </w:r>
          <w:r>
            <w:fldChar w:fldCharType="begin"/>
          </w:r>
          <w:r>
            <w:instrText xml:space="preserve"> PAGEREF _Toc358 \h </w:instrText>
          </w:r>
          <w:r>
            <w:fldChar w:fldCharType="separate"/>
          </w:r>
          <w:r>
            <w:t>26</w:t>
          </w:r>
          <w:r>
            <w:fldChar w:fldCharType="end"/>
          </w:r>
          <w:r>
            <w:fldChar w:fldCharType="end"/>
          </w:r>
        </w:p>
        <w:p w14:paraId="671468DD">
          <w:pPr>
            <w:pStyle w:val="10"/>
            <w:tabs>
              <w:tab w:val="right" w:leader="dot" w:pos="9386"/>
            </w:tabs>
            <w:ind w:left="960"/>
          </w:pPr>
          <w:r>
            <w:fldChar w:fldCharType="begin"/>
          </w:r>
          <w:r>
            <w:instrText xml:space="preserve"> HYPERLINK \l "_Toc3317" </w:instrText>
          </w:r>
          <w:r>
            <w:fldChar w:fldCharType="separate"/>
          </w:r>
          <w:r>
            <w:rPr>
              <w:rFonts w:ascii="Times New Roman" w:hAnsi="Times New Roman" w:eastAsia="黑体" w:cs="Times New Roman"/>
              <w:bCs/>
              <w:szCs w:val="28"/>
            </w:rPr>
            <w:t>4.2  数据收集及具体流程</w:t>
          </w:r>
          <w:r>
            <w:tab/>
          </w:r>
          <w:r>
            <w:fldChar w:fldCharType="begin"/>
          </w:r>
          <w:r>
            <w:instrText xml:space="preserve"> PAGEREF _Toc3317 \h </w:instrText>
          </w:r>
          <w:r>
            <w:fldChar w:fldCharType="separate"/>
          </w:r>
          <w:r>
            <w:t>27</w:t>
          </w:r>
          <w:r>
            <w:fldChar w:fldCharType="end"/>
          </w:r>
          <w:r>
            <w:fldChar w:fldCharType="end"/>
          </w:r>
        </w:p>
        <w:p w14:paraId="4F8DAF2A">
          <w:pPr>
            <w:pStyle w:val="10"/>
            <w:tabs>
              <w:tab w:val="right" w:leader="dot" w:pos="9386"/>
            </w:tabs>
            <w:ind w:left="960"/>
          </w:pPr>
          <w:r>
            <w:fldChar w:fldCharType="begin"/>
          </w:r>
          <w:r>
            <w:instrText xml:space="preserve"> HYPERLINK \l "_Toc24980" </w:instrText>
          </w:r>
          <w:r>
            <w:fldChar w:fldCharType="separate"/>
          </w:r>
          <w:r>
            <w:rPr>
              <w:rFonts w:ascii="Times New Roman" w:hAnsi="Times New Roman" w:eastAsia="黑体" w:cs="Times New Roman"/>
              <w:bCs/>
            </w:rPr>
            <w:t>4.2.1  视频量化指标数据的采集</w:t>
          </w:r>
          <w:r>
            <w:tab/>
          </w:r>
          <w:r>
            <w:fldChar w:fldCharType="begin"/>
          </w:r>
          <w:r>
            <w:instrText xml:space="preserve"> PAGEREF _Toc24980 \h </w:instrText>
          </w:r>
          <w:r>
            <w:fldChar w:fldCharType="separate"/>
          </w:r>
          <w:r>
            <w:t>27</w:t>
          </w:r>
          <w:r>
            <w:fldChar w:fldCharType="end"/>
          </w:r>
          <w:r>
            <w:fldChar w:fldCharType="end"/>
          </w:r>
        </w:p>
        <w:p w14:paraId="6B7F68E5">
          <w:pPr>
            <w:pStyle w:val="10"/>
            <w:tabs>
              <w:tab w:val="right" w:leader="dot" w:pos="9386"/>
            </w:tabs>
            <w:ind w:left="960"/>
          </w:pPr>
          <w:r>
            <w:fldChar w:fldCharType="begin"/>
          </w:r>
          <w:r>
            <w:instrText xml:space="preserve"> HYPERLINK \l "_Toc29822" </w:instrText>
          </w:r>
          <w:r>
            <w:fldChar w:fldCharType="separate"/>
          </w:r>
          <w:r>
            <w:rPr>
              <w:rFonts w:ascii="Times New Roman" w:hAnsi="Times New Roman" w:eastAsia="黑体" w:cs="Times New Roman"/>
              <w:bCs/>
            </w:rPr>
            <w:t>4.2.2  弹幕文本数据的采集与情感处理</w:t>
          </w:r>
          <w:r>
            <w:tab/>
          </w:r>
          <w:r>
            <w:fldChar w:fldCharType="begin"/>
          </w:r>
          <w:r>
            <w:instrText xml:space="preserve"> PAGEREF _Toc29822 \h </w:instrText>
          </w:r>
          <w:r>
            <w:fldChar w:fldCharType="separate"/>
          </w:r>
          <w:r>
            <w:t>27</w:t>
          </w:r>
          <w:r>
            <w:fldChar w:fldCharType="end"/>
          </w:r>
          <w:r>
            <w:fldChar w:fldCharType="end"/>
          </w:r>
        </w:p>
        <w:p w14:paraId="0F722C74">
          <w:pPr>
            <w:pStyle w:val="10"/>
            <w:tabs>
              <w:tab w:val="right" w:leader="dot" w:pos="9386"/>
            </w:tabs>
            <w:ind w:left="960"/>
          </w:pPr>
          <w:r>
            <w:fldChar w:fldCharType="begin"/>
          </w:r>
          <w:r>
            <w:instrText xml:space="preserve"> HYPERLINK \l "_Toc25949" </w:instrText>
          </w:r>
          <w:r>
            <w:fldChar w:fldCharType="separate"/>
          </w:r>
          <w:r>
            <w:rPr>
              <w:rFonts w:ascii="Times New Roman" w:hAnsi="Times New Roman" w:eastAsia="黑体" w:cs="Times New Roman"/>
              <w:bCs/>
            </w:rPr>
            <w:t>4.2.3  内容质量指数的构建</w:t>
          </w:r>
          <w:r>
            <w:tab/>
          </w:r>
          <w:r>
            <w:fldChar w:fldCharType="begin"/>
          </w:r>
          <w:r>
            <w:instrText xml:space="preserve"> PAGEREF _Toc25949 \h </w:instrText>
          </w:r>
          <w:r>
            <w:fldChar w:fldCharType="separate"/>
          </w:r>
          <w:r>
            <w:t>28</w:t>
          </w:r>
          <w:r>
            <w:fldChar w:fldCharType="end"/>
          </w:r>
          <w:r>
            <w:fldChar w:fldCharType="end"/>
          </w:r>
        </w:p>
        <w:p w14:paraId="7CC60F50">
          <w:pPr>
            <w:pStyle w:val="10"/>
            <w:tabs>
              <w:tab w:val="right" w:leader="dot" w:pos="9386"/>
            </w:tabs>
            <w:ind w:left="960"/>
          </w:pPr>
          <w:r>
            <w:fldChar w:fldCharType="begin"/>
          </w:r>
          <w:r>
            <w:instrText xml:space="preserve"> HYPERLINK \l "_Toc16922" </w:instrText>
          </w:r>
          <w:r>
            <w:fldChar w:fldCharType="separate"/>
          </w:r>
          <w:r>
            <w:rPr>
              <w:rFonts w:ascii="Times New Roman" w:hAnsi="Times New Roman" w:eastAsia="黑体" w:cs="Times New Roman"/>
              <w:bCs/>
            </w:rPr>
            <w:t>4.2.4  变量处理与最终样本构成</w:t>
          </w:r>
          <w:r>
            <w:tab/>
          </w:r>
          <w:r>
            <w:fldChar w:fldCharType="begin"/>
          </w:r>
          <w:r>
            <w:instrText xml:space="preserve"> PAGEREF _Toc16922 \h </w:instrText>
          </w:r>
          <w:r>
            <w:fldChar w:fldCharType="separate"/>
          </w:r>
          <w:r>
            <w:t>29</w:t>
          </w:r>
          <w:r>
            <w:fldChar w:fldCharType="end"/>
          </w:r>
          <w:r>
            <w:fldChar w:fldCharType="end"/>
          </w:r>
        </w:p>
        <w:p w14:paraId="16987942">
          <w:pPr>
            <w:pStyle w:val="13"/>
            <w:tabs>
              <w:tab w:val="right" w:leader="dot" w:pos="9386"/>
            </w:tabs>
          </w:pPr>
          <w:r>
            <w:fldChar w:fldCharType="begin"/>
          </w:r>
          <w:r>
            <w:instrText xml:space="preserve"> HYPERLINK \l "_Toc22858" </w:instrText>
          </w:r>
          <w:r>
            <w:fldChar w:fldCharType="separate"/>
          </w:r>
          <w:r>
            <w:rPr>
              <w:rFonts w:ascii="Times New Roman" w:hAnsi="Times New Roman" w:eastAsia="黑体" w:cs="Times New Roman"/>
              <w:bCs/>
              <w:szCs w:val="32"/>
            </w:rPr>
            <w:t>第五章  实证和分析</w:t>
          </w:r>
          <w:r>
            <w:tab/>
          </w:r>
          <w:r>
            <w:fldChar w:fldCharType="begin"/>
          </w:r>
          <w:r>
            <w:instrText xml:space="preserve"> PAGEREF _Toc22858 \h </w:instrText>
          </w:r>
          <w:r>
            <w:fldChar w:fldCharType="separate"/>
          </w:r>
          <w:r>
            <w:t>29</w:t>
          </w:r>
          <w:r>
            <w:fldChar w:fldCharType="end"/>
          </w:r>
          <w:r>
            <w:fldChar w:fldCharType="end"/>
          </w:r>
        </w:p>
        <w:p w14:paraId="524F2F17">
          <w:pPr>
            <w:pStyle w:val="10"/>
            <w:tabs>
              <w:tab w:val="right" w:leader="dot" w:pos="9386"/>
            </w:tabs>
            <w:ind w:left="960"/>
          </w:pPr>
          <w:r>
            <w:fldChar w:fldCharType="begin"/>
          </w:r>
          <w:r>
            <w:instrText xml:space="preserve"> HYPERLINK \l "_Toc6449" </w:instrText>
          </w:r>
          <w:r>
            <w:fldChar w:fldCharType="separate"/>
          </w:r>
          <w:r>
            <w:rPr>
              <w:rFonts w:ascii="Times New Roman" w:hAnsi="Times New Roman" w:eastAsia="黑体" w:cs="Times New Roman"/>
              <w:bCs/>
              <w:szCs w:val="28"/>
            </w:rPr>
            <w:t>5.1  描述性统计</w:t>
          </w:r>
          <w:r>
            <w:tab/>
          </w:r>
          <w:r>
            <w:fldChar w:fldCharType="begin"/>
          </w:r>
          <w:r>
            <w:instrText xml:space="preserve"> PAGEREF _Toc6449 \h </w:instrText>
          </w:r>
          <w:r>
            <w:fldChar w:fldCharType="separate"/>
          </w:r>
          <w:r>
            <w:t>29</w:t>
          </w:r>
          <w:r>
            <w:fldChar w:fldCharType="end"/>
          </w:r>
          <w:r>
            <w:fldChar w:fldCharType="end"/>
          </w:r>
        </w:p>
        <w:p w14:paraId="3EB86599">
          <w:pPr>
            <w:pStyle w:val="10"/>
            <w:tabs>
              <w:tab w:val="right" w:leader="dot" w:pos="9386"/>
            </w:tabs>
            <w:ind w:left="960"/>
          </w:pPr>
          <w:r>
            <w:fldChar w:fldCharType="begin"/>
          </w:r>
          <w:r>
            <w:instrText xml:space="preserve"> HYPERLINK \l "_Toc24578" </w:instrText>
          </w:r>
          <w:r>
            <w:fldChar w:fldCharType="separate"/>
          </w:r>
          <w:r>
            <w:rPr>
              <w:rFonts w:ascii="Times New Roman" w:hAnsi="Times New Roman" w:eastAsia="黑体" w:cs="Times New Roman"/>
              <w:bCs/>
              <w:szCs w:val="28"/>
            </w:rPr>
            <w:t>5.2  基准回归分析</w:t>
          </w:r>
          <w:r>
            <w:tab/>
          </w:r>
          <w:r>
            <w:fldChar w:fldCharType="begin"/>
          </w:r>
          <w:r>
            <w:instrText xml:space="preserve"> PAGEREF _Toc24578 \h </w:instrText>
          </w:r>
          <w:r>
            <w:fldChar w:fldCharType="separate"/>
          </w:r>
          <w:r>
            <w:t>30</w:t>
          </w:r>
          <w:r>
            <w:fldChar w:fldCharType="end"/>
          </w:r>
          <w:r>
            <w:fldChar w:fldCharType="end"/>
          </w:r>
        </w:p>
        <w:p w14:paraId="294FF767">
          <w:pPr>
            <w:pStyle w:val="10"/>
            <w:tabs>
              <w:tab w:val="right" w:leader="dot" w:pos="9386"/>
            </w:tabs>
            <w:ind w:left="960"/>
          </w:pPr>
          <w:r>
            <w:fldChar w:fldCharType="begin"/>
          </w:r>
          <w:r>
            <w:instrText xml:space="preserve"> HYPERLINK \l "_Toc29489" </w:instrText>
          </w:r>
          <w:r>
            <w:fldChar w:fldCharType="separate"/>
          </w:r>
          <w:r>
            <w:rPr>
              <w:rFonts w:ascii="Times New Roman" w:hAnsi="Times New Roman" w:eastAsia="黑体" w:cs="Times New Roman"/>
              <w:bCs/>
              <w:szCs w:val="28"/>
            </w:rPr>
            <w:t>5.3  内生性检验</w:t>
          </w:r>
          <w:r>
            <w:tab/>
          </w:r>
          <w:r>
            <w:fldChar w:fldCharType="begin"/>
          </w:r>
          <w:r>
            <w:instrText xml:space="preserve"> PAGEREF _Toc29489 \h </w:instrText>
          </w:r>
          <w:r>
            <w:fldChar w:fldCharType="separate"/>
          </w:r>
          <w:r>
            <w:t>31</w:t>
          </w:r>
          <w:r>
            <w:fldChar w:fldCharType="end"/>
          </w:r>
          <w:r>
            <w:fldChar w:fldCharType="end"/>
          </w:r>
        </w:p>
        <w:p w14:paraId="4D1E5F50">
          <w:pPr>
            <w:pStyle w:val="10"/>
            <w:tabs>
              <w:tab w:val="right" w:leader="dot" w:pos="9386"/>
            </w:tabs>
            <w:ind w:left="960"/>
          </w:pPr>
          <w:r>
            <w:fldChar w:fldCharType="begin"/>
          </w:r>
          <w:r>
            <w:instrText xml:space="preserve"> HYPERLINK \l "_Toc20783" </w:instrText>
          </w:r>
          <w:r>
            <w:fldChar w:fldCharType="separate"/>
          </w:r>
          <w:r>
            <w:rPr>
              <w:rFonts w:ascii="Times New Roman" w:hAnsi="Times New Roman" w:eastAsia="黑体" w:cs="Times New Roman"/>
              <w:bCs/>
              <w:szCs w:val="28"/>
            </w:rPr>
            <w:t>5.4  进一步分析</w:t>
          </w:r>
          <w:r>
            <w:tab/>
          </w:r>
          <w:r>
            <w:fldChar w:fldCharType="begin"/>
          </w:r>
          <w:r>
            <w:instrText xml:space="preserve"> PAGEREF _Toc20783 \h </w:instrText>
          </w:r>
          <w:r>
            <w:fldChar w:fldCharType="separate"/>
          </w:r>
          <w:r>
            <w:t>32</w:t>
          </w:r>
          <w:r>
            <w:fldChar w:fldCharType="end"/>
          </w:r>
          <w:r>
            <w:fldChar w:fldCharType="end"/>
          </w:r>
        </w:p>
        <w:p w14:paraId="094A02D0">
          <w:pPr>
            <w:pStyle w:val="10"/>
            <w:tabs>
              <w:tab w:val="right" w:leader="dot" w:pos="9386"/>
            </w:tabs>
            <w:ind w:left="960"/>
          </w:pPr>
          <w:r>
            <w:fldChar w:fldCharType="begin"/>
          </w:r>
          <w:r>
            <w:instrText xml:space="preserve"> HYPERLINK \l "_Toc17725" </w:instrText>
          </w:r>
          <w:r>
            <w:fldChar w:fldCharType="separate"/>
          </w:r>
          <w:r>
            <w:rPr>
              <w:rFonts w:ascii="Times New Roman" w:hAnsi="Times New Roman" w:eastAsia="黑体" w:cs="Times New Roman"/>
              <w:bCs/>
            </w:rPr>
            <w:t>5.4.1  异质性分析</w:t>
          </w:r>
          <w:r>
            <w:tab/>
          </w:r>
          <w:r>
            <w:fldChar w:fldCharType="begin"/>
          </w:r>
          <w:r>
            <w:instrText xml:space="preserve"> PAGEREF _Toc17725 \h </w:instrText>
          </w:r>
          <w:r>
            <w:fldChar w:fldCharType="separate"/>
          </w:r>
          <w:r>
            <w:t>32</w:t>
          </w:r>
          <w:r>
            <w:fldChar w:fldCharType="end"/>
          </w:r>
          <w:r>
            <w:fldChar w:fldCharType="end"/>
          </w:r>
        </w:p>
        <w:p w14:paraId="73EE81DA">
          <w:pPr>
            <w:pStyle w:val="10"/>
            <w:tabs>
              <w:tab w:val="right" w:leader="dot" w:pos="9386"/>
            </w:tabs>
            <w:ind w:left="960"/>
          </w:pPr>
          <w:r>
            <w:fldChar w:fldCharType="begin"/>
          </w:r>
          <w:r>
            <w:instrText xml:space="preserve"> HYPERLINK \l "_Toc237" </w:instrText>
          </w:r>
          <w:r>
            <w:fldChar w:fldCharType="separate"/>
          </w:r>
          <w:r>
            <w:rPr>
              <w:rFonts w:ascii="Times New Roman" w:hAnsi="Times New Roman" w:eastAsia="黑体" w:cs="Times New Roman"/>
              <w:bCs/>
            </w:rPr>
            <w:t>5.4.2  非线性检验效应</w:t>
          </w:r>
          <w:r>
            <w:tab/>
          </w:r>
          <w:r>
            <w:fldChar w:fldCharType="begin"/>
          </w:r>
          <w:r>
            <w:instrText xml:space="preserve"> PAGEREF _Toc237 \h </w:instrText>
          </w:r>
          <w:r>
            <w:fldChar w:fldCharType="separate"/>
          </w:r>
          <w:r>
            <w:t>33</w:t>
          </w:r>
          <w:r>
            <w:fldChar w:fldCharType="end"/>
          </w:r>
          <w:r>
            <w:fldChar w:fldCharType="end"/>
          </w:r>
        </w:p>
        <w:p w14:paraId="4999ECB6">
          <w:pPr>
            <w:pStyle w:val="10"/>
            <w:tabs>
              <w:tab w:val="right" w:leader="dot" w:pos="9386"/>
            </w:tabs>
            <w:ind w:left="960"/>
          </w:pPr>
          <w:r>
            <w:fldChar w:fldCharType="begin"/>
          </w:r>
          <w:r>
            <w:instrText xml:space="preserve"> HYPERLINK \l "_Toc131" </w:instrText>
          </w:r>
          <w:r>
            <w:fldChar w:fldCharType="separate"/>
          </w:r>
          <w:r>
            <w:rPr>
              <w:rFonts w:ascii="Times New Roman" w:hAnsi="Times New Roman" w:eastAsia="黑体" w:cs="Times New Roman"/>
              <w:bCs/>
            </w:rPr>
            <w:t xml:space="preserve">5.4.3  </w:t>
          </w:r>
          <w:r>
            <w:rPr>
              <w:rFonts w:ascii="Times New Roman" w:hAnsi="Times New Roman" w:eastAsia="黑体" w:cs="Times New Roman"/>
              <w:bCs/>
              <w:szCs w:val="26"/>
            </w:rPr>
            <w:t>投币与点赞的交互效应检验</w:t>
          </w:r>
          <w:r>
            <w:tab/>
          </w:r>
          <w:r>
            <w:fldChar w:fldCharType="begin"/>
          </w:r>
          <w:r>
            <w:instrText xml:space="preserve"> PAGEREF _Toc131 \h </w:instrText>
          </w:r>
          <w:r>
            <w:fldChar w:fldCharType="separate"/>
          </w:r>
          <w:r>
            <w:t>34</w:t>
          </w:r>
          <w:r>
            <w:fldChar w:fldCharType="end"/>
          </w:r>
          <w:r>
            <w:fldChar w:fldCharType="end"/>
          </w:r>
        </w:p>
        <w:p w14:paraId="4B963194">
          <w:pPr>
            <w:pStyle w:val="10"/>
            <w:tabs>
              <w:tab w:val="right" w:leader="dot" w:pos="9386"/>
            </w:tabs>
            <w:ind w:left="960"/>
          </w:pPr>
          <w:r>
            <w:fldChar w:fldCharType="begin"/>
          </w:r>
          <w:r>
            <w:instrText xml:space="preserve"> HYPERLINK \l "_Toc15168" </w:instrText>
          </w:r>
          <w:r>
            <w:fldChar w:fldCharType="separate"/>
          </w:r>
          <w:r>
            <w:rPr>
              <w:rFonts w:ascii="Times New Roman" w:hAnsi="Times New Roman" w:eastAsia="黑体" w:cs="Times New Roman"/>
              <w:bCs/>
              <w:szCs w:val="28"/>
            </w:rPr>
            <w:t>5.5  机制分析</w:t>
          </w:r>
          <w:r>
            <w:tab/>
          </w:r>
          <w:r>
            <w:fldChar w:fldCharType="begin"/>
          </w:r>
          <w:r>
            <w:instrText xml:space="preserve"> PAGEREF _Toc15168 \h </w:instrText>
          </w:r>
          <w:r>
            <w:fldChar w:fldCharType="separate"/>
          </w:r>
          <w:r>
            <w:t>34</w:t>
          </w:r>
          <w:r>
            <w:fldChar w:fldCharType="end"/>
          </w:r>
          <w:r>
            <w:fldChar w:fldCharType="end"/>
          </w:r>
        </w:p>
        <w:p w14:paraId="78834750">
          <w:pPr>
            <w:pStyle w:val="10"/>
            <w:tabs>
              <w:tab w:val="right" w:leader="dot" w:pos="9386"/>
            </w:tabs>
            <w:ind w:left="960"/>
          </w:pPr>
          <w:r>
            <w:fldChar w:fldCharType="begin"/>
          </w:r>
          <w:r>
            <w:instrText xml:space="preserve"> HYPERLINK \l "_Toc10812" </w:instrText>
          </w:r>
          <w:r>
            <w:fldChar w:fldCharType="separate"/>
          </w:r>
          <w:r>
            <w:rPr>
              <w:rFonts w:ascii="Times New Roman" w:hAnsi="Times New Roman" w:eastAsia="黑体" w:cs="Times New Roman"/>
              <w:bCs/>
            </w:rPr>
            <w:t>5.5.1  机制一：投入互惠机制（打磨周期中介检验）</w:t>
          </w:r>
          <w:r>
            <w:tab/>
          </w:r>
          <w:r>
            <w:fldChar w:fldCharType="begin"/>
          </w:r>
          <w:r>
            <w:instrText xml:space="preserve"> PAGEREF _Toc10812 \h </w:instrText>
          </w:r>
          <w:r>
            <w:fldChar w:fldCharType="separate"/>
          </w:r>
          <w:r>
            <w:t>34</w:t>
          </w:r>
          <w:r>
            <w:fldChar w:fldCharType="end"/>
          </w:r>
          <w:r>
            <w:fldChar w:fldCharType="end"/>
          </w:r>
        </w:p>
        <w:p w14:paraId="514CE3F5">
          <w:pPr>
            <w:pStyle w:val="10"/>
            <w:tabs>
              <w:tab w:val="right" w:leader="dot" w:pos="9386"/>
            </w:tabs>
            <w:ind w:left="960"/>
          </w:pPr>
          <w:r>
            <w:fldChar w:fldCharType="begin"/>
          </w:r>
          <w:r>
            <w:instrText xml:space="preserve"> HYPERLINK \l "_Toc23712" </w:instrText>
          </w:r>
          <w:r>
            <w:fldChar w:fldCharType="separate"/>
          </w:r>
          <w:r>
            <w:rPr>
              <w:rFonts w:ascii="Times New Roman" w:hAnsi="Times New Roman" w:eastAsia="黑体" w:cs="Times New Roman"/>
              <w:bCs/>
            </w:rPr>
            <w:t>5.5.2  机制二：深度反馈机制（评论互动深度中介检验）</w:t>
          </w:r>
          <w:r>
            <w:tab/>
          </w:r>
          <w:r>
            <w:fldChar w:fldCharType="begin"/>
          </w:r>
          <w:r>
            <w:instrText xml:space="preserve"> PAGEREF _Toc23712 \h </w:instrText>
          </w:r>
          <w:r>
            <w:fldChar w:fldCharType="separate"/>
          </w:r>
          <w:r>
            <w:t>35</w:t>
          </w:r>
          <w:r>
            <w:fldChar w:fldCharType="end"/>
          </w:r>
          <w:r>
            <w:fldChar w:fldCharType="end"/>
          </w:r>
        </w:p>
        <w:p w14:paraId="0999FCFE">
          <w:pPr>
            <w:pStyle w:val="10"/>
            <w:tabs>
              <w:tab w:val="right" w:leader="dot" w:pos="9386"/>
            </w:tabs>
            <w:ind w:left="960"/>
          </w:pPr>
          <w:r>
            <w:fldChar w:fldCharType="begin"/>
          </w:r>
          <w:r>
            <w:instrText xml:space="preserve"> HYPERLINK \l "_Toc28825" </w:instrText>
          </w:r>
          <w:r>
            <w:fldChar w:fldCharType="separate"/>
          </w:r>
          <w:r>
            <w:rPr>
              <w:rFonts w:ascii="Times New Roman" w:hAnsi="Times New Roman" w:eastAsia="黑体" w:cs="Times New Roman"/>
              <w:bCs/>
            </w:rPr>
            <w:t>5.5.3  机制三：流量传播路径证伪检验</w:t>
          </w:r>
          <w:r>
            <w:tab/>
          </w:r>
          <w:r>
            <w:fldChar w:fldCharType="begin"/>
          </w:r>
          <w:r>
            <w:instrText xml:space="preserve"> PAGEREF _Toc28825 \h </w:instrText>
          </w:r>
          <w:r>
            <w:fldChar w:fldCharType="separate"/>
          </w:r>
          <w:r>
            <w:t>36</w:t>
          </w:r>
          <w:r>
            <w:fldChar w:fldCharType="end"/>
          </w:r>
          <w:r>
            <w:fldChar w:fldCharType="end"/>
          </w:r>
        </w:p>
        <w:p w14:paraId="2EA76653">
          <w:pPr>
            <w:pStyle w:val="10"/>
            <w:tabs>
              <w:tab w:val="right" w:leader="dot" w:pos="9386"/>
            </w:tabs>
            <w:ind w:left="960"/>
          </w:pPr>
          <w:r>
            <w:fldChar w:fldCharType="begin"/>
          </w:r>
          <w:r>
            <w:instrText xml:space="preserve"> HYPERLINK \l "_Toc30636" </w:instrText>
          </w:r>
          <w:r>
            <w:fldChar w:fldCharType="separate"/>
          </w:r>
          <w:r>
            <w:rPr>
              <w:rFonts w:ascii="Times New Roman" w:hAnsi="Times New Roman" w:eastAsia="黑体" w:cs="Times New Roman"/>
              <w:bCs/>
              <w:szCs w:val="28"/>
            </w:rPr>
            <w:t xml:space="preserve">5.6  </w:t>
          </w:r>
          <w:r>
            <w:rPr>
              <w:rFonts w:ascii="Times New Roman" w:hAnsi="Times New Roman" w:eastAsia="黑体" w:cs="Times New Roman"/>
              <w:bCs/>
              <w:szCs w:val="26"/>
            </w:rPr>
            <w:t>稳健性检验</w:t>
          </w:r>
          <w:r>
            <w:tab/>
          </w:r>
          <w:r>
            <w:fldChar w:fldCharType="begin"/>
          </w:r>
          <w:r>
            <w:instrText xml:space="preserve"> PAGEREF _Toc30636 \h </w:instrText>
          </w:r>
          <w:r>
            <w:fldChar w:fldCharType="separate"/>
          </w:r>
          <w:r>
            <w:t>37</w:t>
          </w:r>
          <w:r>
            <w:fldChar w:fldCharType="end"/>
          </w:r>
          <w:r>
            <w:fldChar w:fldCharType="end"/>
          </w:r>
        </w:p>
        <w:p w14:paraId="56343E2A">
          <w:pPr>
            <w:pStyle w:val="10"/>
            <w:tabs>
              <w:tab w:val="right" w:leader="dot" w:pos="9386"/>
            </w:tabs>
            <w:ind w:left="960"/>
          </w:pPr>
          <w:r>
            <w:fldChar w:fldCharType="begin"/>
          </w:r>
          <w:r>
            <w:instrText xml:space="preserve"> HYPERLINK \l "_Toc3118" </w:instrText>
          </w:r>
          <w:r>
            <w:fldChar w:fldCharType="separate"/>
          </w:r>
          <w:r>
            <w:rPr>
              <w:rFonts w:ascii="Times New Roman" w:hAnsi="Times New Roman" w:eastAsia="黑体" w:cs="Times New Roman"/>
              <w:bCs/>
            </w:rPr>
            <w:t>5.6.1  安慰剂检验</w:t>
          </w:r>
          <w:r>
            <w:tab/>
          </w:r>
          <w:r>
            <w:fldChar w:fldCharType="begin"/>
          </w:r>
          <w:r>
            <w:instrText xml:space="preserve"> PAGEREF _Toc3118 \h </w:instrText>
          </w:r>
          <w:r>
            <w:fldChar w:fldCharType="separate"/>
          </w:r>
          <w:r>
            <w:t>37</w:t>
          </w:r>
          <w:r>
            <w:fldChar w:fldCharType="end"/>
          </w:r>
          <w:r>
            <w:fldChar w:fldCharType="end"/>
          </w:r>
        </w:p>
        <w:p w14:paraId="2ED91945">
          <w:pPr>
            <w:pStyle w:val="10"/>
            <w:tabs>
              <w:tab w:val="right" w:leader="dot" w:pos="9386"/>
            </w:tabs>
            <w:ind w:left="960"/>
          </w:pPr>
          <w:r>
            <w:fldChar w:fldCharType="begin"/>
          </w:r>
          <w:r>
            <w:instrText xml:space="preserve"> HYPERLINK \l "_Toc14699" </w:instrText>
          </w:r>
          <w:r>
            <w:fldChar w:fldCharType="separate"/>
          </w:r>
          <w:r>
            <w:rPr>
              <w:rFonts w:ascii="Times New Roman" w:hAnsi="Times New Roman" w:eastAsia="黑体" w:cs="Times New Roman"/>
              <w:bCs/>
            </w:rPr>
            <w:t>5.6.2  变量替换——投币排名百分位</w:t>
          </w:r>
          <w:r>
            <w:tab/>
          </w:r>
          <w:r>
            <w:fldChar w:fldCharType="begin"/>
          </w:r>
          <w:r>
            <w:instrText xml:space="preserve"> PAGEREF _Toc14699 \h </w:instrText>
          </w:r>
          <w:r>
            <w:fldChar w:fldCharType="separate"/>
          </w:r>
          <w:r>
            <w:t>38</w:t>
          </w:r>
          <w:r>
            <w:fldChar w:fldCharType="end"/>
          </w:r>
          <w:r>
            <w:fldChar w:fldCharType="end"/>
          </w:r>
        </w:p>
        <w:p w14:paraId="56C17149">
          <w:pPr>
            <w:pStyle w:val="10"/>
            <w:tabs>
              <w:tab w:val="right" w:leader="dot" w:pos="9386"/>
            </w:tabs>
            <w:ind w:left="960"/>
          </w:pPr>
          <w:r>
            <w:fldChar w:fldCharType="begin"/>
          </w:r>
          <w:r>
            <w:instrText xml:space="preserve"> HYPERLINK \l "_Toc31127" </w:instrText>
          </w:r>
          <w:r>
            <w:fldChar w:fldCharType="separate"/>
          </w:r>
          <w:r>
            <w:rPr>
              <w:rFonts w:ascii="Times New Roman" w:hAnsi="Times New Roman" w:eastAsia="黑体" w:cs="Times New Roman"/>
              <w:bCs/>
            </w:rPr>
            <w:t>5.6.3  滞后阶数对比</w:t>
          </w:r>
          <w:r>
            <w:tab/>
          </w:r>
          <w:r>
            <w:fldChar w:fldCharType="begin"/>
          </w:r>
          <w:r>
            <w:instrText xml:space="preserve"> PAGEREF _Toc31127 \h </w:instrText>
          </w:r>
          <w:r>
            <w:fldChar w:fldCharType="separate"/>
          </w:r>
          <w:r>
            <w:t>38</w:t>
          </w:r>
          <w:r>
            <w:fldChar w:fldCharType="end"/>
          </w:r>
          <w:r>
            <w:fldChar w:fldCharType="end"/>
          </w:r>
        </w:p>
        <w:p w14:paraId="5F0B1E12">
          <w:pPr>
            <w:pStyle w:val="10"/>
            <w:tabs>
              <w:tab w:val="right" w:leader="dot" w:pos="9386"/>
            </w:tabs>
            <w:ind w:left="960"/>
          </w:pPr>
          <w:r>
            <w:fldChar w:fldCharType="begin"/>
          </w:r>
          <w:r>
            <w:instrText xml:space="preserve"> HYPERLINK \l "_Toc2266" </w:instrText>
          </w:r>
          <w:r>
            <w:fldChar w:fldCharType="separate"/>
          </w:r>
          <w:r>
            <w:rPr>
              <w:rFonts w:ascii="Times New Roman" w:hAnsi="Times New Roman" w:eastAsia="黑体" w:cs="Times New Roman"/>
              <w:bCs/>
            </w:rPr>
            <w:t>5.6.4  样本调整</w:t>
          </w:r>
          <w:r>
            <w:tab/>
          </w:r>
          <w:r>
            <w:fldChar w:fldCharType="begin"/>
          </w:r>
          <w:r>
            <w:instrText xml:space="preserve"> PAGEREF _Toc2266 \h </w:instrText>
          </w:r>
          <w:r>
            <w:fldChar w:fldCharType="separate"/>
          </w:r>
          <w:r>
            <w:t>38</w:t>
          </w:r>
          <w:r>
            <w:fldChar w:fldCharType="end"/>
          </w:r>
          <w:r>
            <w:fldChar w:fldCharType="end"/>
          </w:r>
        </w:p>
        <w:p w14:paraId="2CD93B2A">
          <w:pPr>
            <w:pStyle w:val="10"/>
            <w:tabs>
              <w:tab w:val="right" w:leader="dot" w:pos="9386"/>
            </w:tabs>
            <w:ind w:left="960"/>
          </w:pPr>
          <w:r>
            <w:fldChar w:fldCharType="begin"/>
          </w:r>
          <w:r>
            <w:instrText xml:space="preserve"> HYPERLINK \l "_Toc13678" </w:instrText>
          </w:r>
          <w:r>
            <w:fldChar w:fldCharType="separate"/>
          </w:r>
          <w:r>
            <w:rPr>
              <w:rFonts w:ascii="Times New Roman" w:hAnsi="Times New Roman" w:eastAsia="黑体" w:cs="Times New Roman"/>
              <w:bCs/>
            </w:rPr>
            <w:t>5.6.5  外生冲击检验——新冠疫情交互项</w:t>
          </w:r>
          <w:r>
            <w:tab/>
          </w:r>
          <w:r>
            <w:fldChar w:fldCharType="begin"/>
          </w:r>
          <w:r>
            <w:instrText xml:space="preserve"> PAGEREF _Toc13678 \h </w:instrText>
          </w:r>
          <w:r>
            <w:fldChar w:fldCharType="separate"/>
          </w:r>
          <w:r>
            <w:t>39</w:t>
          </w:r>
          <w:r>
            <w:fldChar w:fldCharType="end"/>
          </w:r>
          <w:r>
            <w:fldChar w:fldCharType="end"/>
          </w:r>
        </w:p>
        <w:p w14:paraId="446EA196">
          <w:pPr>
            <w:pStyle w:val="10"/>
            <w:tabs>
              <w:tab w:val="right" w:leader="dot" w:pos="9386"/>
            </w:tabs>
            <w:ind w:left="960"/>
          </w:pPr>
          <w:r>
            <w:fldChar w:fldCharType="begin"/>
          </w:r>
          <w:r>
            <w:instrText xml:space="preserve"> HYPERLINK \l "_Toc909" </w:instrText>
          </w:r>
          <w:r>
            <w:fldChar w:fldCharType="separate"/>
          </w:r>
          <w:r>
            <w:rPr>
              <w:rFonts w:ascii="Times New Roman" w:hAnsi="Times New Roman" w:eastAsia="黑体" w:cs="Times New Roman"/>
              <w:bCs/>
              <w:szCs w:val="28"/>
            </w:rPr>
            <w:t xml:space="preserve">5.7  </w:t>
          </w:r>
          <w:r>
            <w:rPr>
              <w:rFonts w:ascii="Times New Roman" w:hAnsi="Times New Roman" w:eastAsia="黑体" w:cs="Times New Roman"/>
              <w:bCs/>
              <w:szCs w:val="26"/>
            </w:rPr>
            <w:t>主要结论汇总</w:t>
          </w:r>
          <w:r>
            <w:tab/>
          </w:r>
          <w:r>
            <w:fldChar w:fldCharType="begin"/>
          </w:r>
          <w:r>
            <w:instrText xml:space="preserve"> PAGEREF _Toc909 \h </w:instrText>
          </w:r>
          <w:r>
            <w:fldChar w:fldCharType="separate"/>
          </w:r>
          <w:r>
            <w:t>39</w:t>
          </w:r>
          <w:r>
            <w:fldChar w:fldCharType="end"/>
          </w:r>
          <w:r>
            <w:fldChar w:fldCharType="end"/>
          </w:r>
        </w:p>
        <w:p w14:paraId="5F7C69B1">
          <w:pPr>
            <w:pStyle w:val="13"/>
            <w:tabs>
              <w:tab w:val="right" w:leader="dot" w:pos="9386"/>
            </w:tabs>
          </w:pPr>
          <w:r>
            <w:fldChar w:fldCharType="begin"/>
          </w:r>
          <w:r>
            <w:instrText xml:space="preserve"> HYPERLINK \l "_Toc13516" </w:instrText>
          </w:r>
          <w:r>
            <w:fldChar w:fldCharType="separate"/>
          </w:r>
          <w:r>
            <w:rPr>
              <w:rFonts w:ascii="Times New Roman" w:hAnsi="Times New Roman" w:eastAsia="黑体" w:cs="Times New Roman"/>
              <w:bCs/>
              <w:szCs w:val="32"/>
            </w:rPr>
            <w:t>第六章  总结和讨论</w:t>
          </w:r>
          <w:r>
            <w:tab/>
          </w:r>
          <w:r>
            <w:fldChar w:fldCharType="begin"/>
          </w:r>
          <w:r>
            <w:instrText xml:space="preserve"> PAGEREF _Toc13516 \h </w:instrText>
          </w:r>
          <w:r>
            <w:fldChar w:fldCharType="separate"/>
          </w:r>
          <w:r>
            <w:t>39</w:t>
          </w:r>
          <w:r>
            <w:fldChar w:fldCharType="end"/>
          </w:r>
          <w:r>
            <w:fldChar w:fldCharType="end"/>
          </w:r>
        </w:p>
        <w:p w14:paraId="41679B90">
          <w:pPr>
            <w:pStyle w:val="10"/>
            <w:tabs>
              <w:tab w:val="right" w:leader="dot" w:pos="9386"/>
            </w:tabs>
            <w:ind w:left="960"/>
          </w:pPr>
          <w:r>
            <w:fldChar w:fldCharType="begin"/>
          </w:r>
          <w:r>
            <w:instrText xml:space="preserve"> HYPERLINK \l "_Toc18604" </w:instrText>
          </w:r>
          <w:r>
            <w:fldChar w:fldCharType="separate"/>
          </w:r>
          <w:r>
            <w:rPr>
              <w:rFonts w:ascii="Times New Roman" w:hAnsi="Times New Roman" w:eastAsia="黑体" w:cs="Times New Roman"/>
              <w:bCs/>
              <w:szCs w:val="28"/>
            </w:rPr>
            <w:t>6.1 总结与建议</w:t>
          </w:r>
          <w:r>
            <w:tab/>
          </w:r>
          <w:r>
            <w:fldChar w:fldCharType="begin"/>
          </w:r>
          <w:r>
            <w:instrText xml:space="preserve"> PAGEREF _Toc18604 \h </w:instrText>
          </w:r>
          <w:r>
            <w:fldChar w:fldCharType="separate"/>
          </w:r>
          <w:r>
            <w:t>40</w:t>
          </w:r>
          <w:r>
            <w:fldChar w:fldCharType="end"/>
          </w:r>
          <w:r>
            <w:fldChar w:fldCharType="end"/>
          </w:r>
        </w:p>
        <w:p w14:paraId="793D4EB1">
          <w:pPr>
            <w:pStyle w:val="10"/>
            <w:tabs>
              <w:tab w:val="right" w:leader="dot" w:pos="9386"/>
            </w:tabs>
            <w:ind w:left="960"/>
          </w:pPr>
          <w:r>
            <w:fldChar w:fldCharType="begin"/>
          </w:r>
          <w:r>
            <w:instrText xml:space="preserve"> HYPERLINK \l "_Toc26341" </w:instrText>
          </w:r>
          <w:r>
            <w:fldChar w:fldCharType="separate"/>
          </w:r>
          <w:r>
            <w:rPr>
              <w:rFonts w:ascii="Times New Roman" w:hAnsi="Times New Roman" w:eastAsia="黑体" w:cs="Times New Roman"/>
              <w:bCs/>
              <w:szCs w:val="28"/>
            </w:rPr>
            <w:t>6.2 局限性与展望</w:t>
          </w:r>
          <w:r>
            <w:tab/>
          </w:r>
          <w:r>
            <w:fldChar w:fldCharType="begin"/>
          </w:r>
          <w:r>
            <w:instrText xml:space="preserve"> PAGEREF _Toc26341 \h </w:instrText>
          </w:r>
          <w:r>
            <w:fldChar w:fldCharType="separate"/>
          </w:r>
          <w:r>
            <w:t>42</w:t>
          </w:r>
          <w:r>
            <w:fldChar w:fldCharType="end"/>
          </w:r>
          <w:r>
            <w:fldChar w:fldCharType="end"/>
          </w:r>
        </w:p>
        <w:p w14:paraId="5D7F6F30">
          <w:pPr>
            <w:rPr>
              <w:rFonts w:ascii="Times New Roman" w:hAnsi="Times New Roman" w:cs="Times New Roman"/>
            </w:rPr>
          </w:pPr>
          <w:r>
            <w:rPr>
              <w:rFonts w:ascii="Times New Roman" w:hAnsi="Times New Roman" w:cs="Times New Roman"/>
            </w:rPr>
            <w:fldChar w:fldCharType="end"/>
          </w:r>
        </w:p>
      </w:sdtContent>
    </w:sdt>
    <w:p w14:paraId="4B41223D">
      <w:pPr>
        <w:rPr>
          <w:rFonts w:ascii="Times New Roman" w:hAnsi="Times New Roman" w:cs="Times New Roman"/>
        </w:rPr>
      </w:pPr>
    </w:p>
    <w:p w14:paraId="642B8D3D">
      <w:pPr>
        <w:rPr>
          <w:rFonts w:ascii="Times New Roman" w:hAnsi="Times New Roman" w:cs="Times New Roman"/>
        </w:rPr>
      </w:pPr>
    </w:p>
    <w:p w14:paraId="4054B249">
      <w:pPr>
        <w:spacing w:before="400" w:after="200"/>
        <w:jc w:val="center"/>
        <w:outlineLvl w:val="0"/>
        <w:rPr>
          <w:rFonts w:ascii="Times New Roman" w:hAnsi="Times New Roman" w:eastAsia="黑体" w:cs="Times New Roman"/>
          <w:b/>
          <w:bCs/>
          <w:sz w:val="32"/>
          <w:szCs w:val="32"/>
        </w:rPr>
        <w:sectPr>
          <w:headerReference r:id="rId6" w:type="default"/>
          <w:pgSz w:w="11906" w:h="16838"/>
          <w:pgMar w:top="1440" w:right="1260" w:bottom="1440" w:left="1260" w:header="708" w:footer="708" w:gutter="0"/>
          <w:pgNumType w:start="1"/>
          <w:cols w:space="720" w:num="1"/>
          <w:docGrid w:linePitch="360" w:charSpace="0"/>
        </w:sectPr>
      </w:pPr>
    </w:p>
    <w:p w14:paraId="46823A04">
      <w:pPr>
        <w:spacing w:before="400" w:after="200"/>
        <w:jc w:val="center"/>
        <w:outlineLvl w:val="0"/>
        <w:rPr>
          <w:rFonts w:ascii="Times New Roman" w:hAnsi="Times New Roman" w:eastAsia="黑体" w:cs="Times New Roman"/>
        </w:rPr>
      </w:pPr>
      <w:bookmarkStart w:id="12" w:name="_Toc10678"/>
      <w:r>
        <w:rPr>
          <w:rFonts w:ascii="Times New Roman" w:hAnsi="Times New Roman" w:eastAsia="黑体" w:cs="Times New Roman"/>
          <w:b/>
          <w:bCs/>
          <w:sz w:val="32"/>
          <w:szCs w:val="32"/>
        </w:rPr>
        <w:t>第一章  导论</w:t>
      </w:r>
      <w:bookmarkEnd w:id="12"/>
    </w:p>
    <w:p w14:paraId="38EB74DF">
      <w:pPr>
        <w:spacing w:before="300" w:after="150"/>
        <w:outlineLvl w:val="1"/>
        <w:rPr>
          <w:rFonts w:ascii="Times New Roman" w:hAnsi="Times New Roman" w:cs="Times New Roman"/>
        </w:rPr>
      </w:pPr>
      <w:bookmarkStart w:id="13" w:name="_Toc8437"/>
      <w:r>
        <w:rPr>
          <w:rFonts w:ascii="Times New Roman" w:hAnsi="Times New Roman" w:eastAsia="黑体" w:cs="Times New Roman"/>
          <w:b/>
          <w:bCs/>
          <w:sz w:val="28"/>
          <w:szCs w:val="28"/>
        </w:rPr>
        <w:t>1.1  研究背景</w:t>
      </w:r>
      <w:bookmarkEnd w:id="13"/>
    </w:p>
    <w:p w14:paraId="133AE4E5">
      <w:pPr>
        <w:spacing w:line="288" w:lineRule="auto"/>
        <w:ind w:firstLine="482"/>
        <w:rPr>
          <w:rFonts w:ascii="Times New Roman" w:hAnsi="Times New Roman" w:cs="Times New Roman"/>
        </w:rPr>
      </w:pPr>
      <w:r>
        <w:rPr>
          <w:rFonts w:ascii="Times New Roman" w:hAnsi="Times New Roman" w:cs="Times New Roman"/>
        </w:rPr>
        <w:t>近年来，随着移动互联网的深度普及和数字经济的快速发展，网络视频已成为中国网民最重要的在线娱乐与知识获取渠道之一。根据中国互联网络信息中心（CNNIC）2024年8月发布的第54次《中国互联网络发展状况统计报告》，截至2024年6月，我国网民规模已近11亿人（10.9967亿人），互联网普及率达78.0%，网络视频用户规模达10.68亿人，占网民整体的97.1%，短视频用户更占网民整体的95.5%。网络内容消费已全面融入普通人的日常生活，以用户生成内容（User-Generated Content，UGC）为核心的视频平台正在成为知识传播与文化共创的重要基础设施</w:t>
      </w:r>
      <w:r>
        <w:rPr>
          <w:rFonts w:ascii="Times New Roman" w:hAnsi="Times New Roman" w:cs="Times New Roman"/>
          <w:vertAlign w:val="superscript"/>
        </w:rPr>
        <w:footnoteReference w:id="0"/>
      </w:r>
      <w:r>
        <w:rPr>
          <w:rFonts w:ascii="Times New Roman" w:hAnsi="Times New Roman" w:cs="Times New Roman"/>
        </w:rPr>
        <w:t>。</w:t>
      </w:r>
    </w:p>
    <w:p w14:paraId="399CAAF8">
      <w:pPr>
        <w:spacing w:line="288" w:lineRule="auto"/>
        <w:ind w:firstLine="482"/>
        <w:rPr>
          <w:rFonts w:ascii="Times New Roman" w:hAnsi="Times New Roman" w:cs="Times New Roman"/>
        </w:rPr>
      </w:pPr>
      <w:r>
        <w:rPr>
          <w:rFonts w:ascii="Times New Roman" w:hAnsi="Times New Roman" w:cs="Times New Roman"/>
        </w:rPr>
        <w:t>在此背景下，以UP主（用户自发内容创作者）为核心创作力量的哔哩哔哩（Bilibili）平台，凭借其独特的弹幕文化与垂直内容生态，已成为中国年轻一代最具代表性的视频社区。根据哔哩哔哩2024年年度报告，截至2024年底，平台月均活跃用户（MAU）超过3.41亿，日均活跃用户（DAU）近1.04亿，用户日均使用时长超过102分钟，同比增长约5.2%；全年总营收达268.3亿元，同比增长19%，并在2024年实现首次全年盈利</w:t>
      </w:r>
      <w:r>
        <w:rPr>
          <w:rFonts w:ascii="Times New Roman" w:hAnsi="Times New Roman" w:cs="Times New Roman"/>
          <w:vertAlign w:val="superscript"/>
        </w:rPr>
        <w:footnoteReference w:id="1"/>
      </w:r>
      <w:r>
        <w:rPr>
          <w:rFonts w:ascii="Times New Roman" w:hAnsi="Times New Roman" w:cs="Times New Roman"/>
        </w:rPr>
        <w:t>。与此同时，平台内容创作生态持续繁荣，截至2024年底，粉丝超过10万的UP主数量同比增加近30%，全年有近310万UP主在平台获得收入</w:t>
      </w:r>
      <w:r>
        <w:rPr>
          <w:rFonts w:ascii="Times New Roman" w:hAnsi="Times New Roman" w:cs="Times New Roman"/>
          <w:vertAlign w:val="superscript"/>
        </w:rPr>
        <w:footnoteReference w:id="2"/>
      </w:r>
      <w:r>
        <w:rPr>
          <w:rFonts w:ascii="Times New Roman" w:hAnsi="Times New Roman" w:cs="Times New Roman"/>
        </w:rPr>
        <w:t>。</w:t>
      </w:r>
    </w:p>
    <w:p w14:paraId="2A16E8FC">
      <w:pPr>
        <w:spacing w:line="288" w:lineRule="auto"/>
        <w:ind w:firstLine="482"/>
        <w:rPr>
          <w:rFonts w:ascii="Times New Roman" w:hAnsi="Times New Roman" w:cs="Times New Roman"/>
        </w:rPr>
      </w:pPr>
      <w:r>
        <w:rPr>
          <w:rFonts w:ascii="Times New Roman" w:hAnsi="Times New Roman" w:cs="Times New Roman"/>
        </w:rPr>
        <w:t>特别值得关注的是，知识类内容正在成为哔哩哔哩平台最重要的内容板块之一。在2024年度“百大UP主”评选中，知识区UP主以21位并列第二，与游戏区并驾齐驱，充分彰显了知识创作力量的崛起</w:t>
      </w:r>
      <w:r>
        <w:rPr>
          <w:rFonts w:ascii="Times New Roman" w:hAnsi="Times New Roman" w:cs="Times New Roman"/>
          <w:vertAlign w:val="superscript"/>
        </w:rPr>
        <w:footnoteReference w:id="3"/>
      </w:r>
      <w:r>
        <w:rPr>
          <w:rFonts w:ascii="Times New Roman" w:hAnsi="Times New Roman" w:cs="Times New Roman"/>
        </w:rPr>
        <w:t>。B站知识区涵盖科普、社科人文、财经商业、校园学习、职业技能等多个细分领域，凭借“B站大学”的口碑吸引了超过2亿用户在平台学习。知识区内容质量参差不齐、优质内容激励不足等问题，已成为制约平台知识生态持续健康发展的关键因素。</w:t>
      </w:r>
    </w:p>
    <w:p w14:paraId="476DD071">
      <w:pPr>
        <w:spacing w:line="288" w:lineRule="auto"/>
        <w:ind w:firstLine="482"/>
        <w:rPr>
          <w:rFonts w:ascii="Times New Roman" w:hAnsi="Times New Roman" w:cs="Times New Roman"/>
        </w:rPr>
      </w:pPr>
      <w:r>
        <w:rPr>
          <w:rFonts w:ascii="Times New Roman" w:hAnsi="Times New Roman" w:cs="Times New Roman"/>
          <w:highlight w:val="lightGray"/>
        </w:rPr>
        <w:t>然而，如何有效激励创作者持续产出高质量内容，始终是UGC平台运营面临的核心挑战。</w:t>
      </w:r>
      <w:r>
        <w:rPr>
          <w:rFonts w:ascii="Times New Roman" w:hAnsi="Times New Roman" w:cs="Times New Roman"/>
        </w:rPr>
        <w:t>现有激励机制研究主要集中在以收入分成、创作激励奖金等为代表的金钱激励层面，对非金钱激励的作用机制探讨相对匮乏。在实践层面，以点赞、收藏为代表的社交互动已被证明对内容质量的预测力有限，存在明显的“流量信号代替质量信号”问题。哔哩哔哩投币机制作为一种稀缺性非金钱激励——每位正式会员每日仅有限量硬币可供投出——其特殊的设计逻辑使其在互动深度和价值认同层面具有不同于其他互动形式的独特属性。然而，投币激励究竟如何作用于知识区创作者的内容质量，其传导路径与影响幅度如何，目前尚缺乏系统的实证研究。</w:t>
      </w:r>
    </w:p>
    <w:p w14:paraId="64FB6711">
      <w:pPr>
        <w:spacing w:before="120" w:beforeLines="50" w:after="60" w:line="360" w:lineRule="auto"/>
        <w:rPr>
          <w:rFonts w:ascii="Times New Roman" w:hAnsi="Times New Roman" w:eastAsia="黑体" w:cs="Times New Roman"/>
        </w:rPr>
      </w:pPr>
      <w:r>
        <w:rPr>
          <w:rFonts w:ascii="Times New Roman" w:hAnsi="Times New Roman" w:eastAsia="黑体" w:cs="Times New Roman"/>
          <w:b/>
          <w:bCs/>
          <w:sz w:val="28"/>
          <w:szCs w:val="28"/>
        </w:rPr>
        <w:t>1.2  研究内容</w:t>
      </w:r>
    </w:p>
    <w:p w14:paraId="0DB36F70">
      <w:pPr>
        <w:spacing w:line="288" w:lineRule="auto"/>
        <w:ind w:firstLine="482"/>
        <w:rPr>
          <w:rFonts w:ascii="Times New Roman" w:hAnsi="Times New Roman" w:cs="Times New Roman"/>
        </w:rPr>
      </w:pPr>
      <w:r>
        <w:rPr>
          <w:rFonts w:ascii="Times New Roman" w:hAnsi="Times New Roman" w:cs="Times New Roman"/>
        </w:rPr>
        <w:t>哔哩哔哩投币机制是一种典型的稀缺性非金钱激励形式。与点赞、评论等无成本互动不同，投币行为要求用户让渡其有限的每日硬币配额，这种“资源转让”的稀缺性设计，赋予了投币行为超越表面认可的深层价值认同含义。对于创作者而言，投币既不像直播打赏那样构成直接收入来源，也不像粉丝关注那样提供持续流量，其激励价值主要来源于象征性承认和社会声望——这正是典型的非金钱激励属性。</w:t>
      </w:r>
    </w:p>
    <w:p w14:paraId="3874CE2C">
      <w:pPr>
        <w:spacing w:line="288" w:lineRule="auto"/>
        <w:ind w:firstLine="482"/>
        <w:rPr>
          <w:rFonts w:ascii="Times New Roman" w:hAnsi="Times New Roman" w:cs="Times New Roman"/>
        </w:rPr>
      </w:pPr>
      <w:r>
        <w:rPr>
          <w:rFonts w:ascii="Times New Roman" w:hAnsi="Times New Roman" w:cs="Times New Roman"/>
        </w:rPr>
        <w:t>因此，本文以B站知识区活跃UP主为研究对象，以投币激励对内容质量的影响为研究主题，展开对非金钱激励机制在内容生产领域的系统性探索。本文通过Python爬虫技术收集了86位知识区活跃UP主自2019年3月至2025年12月间发布的8242条视频数据，样本覆盖科普、社科人文、财经商业、校园学习及职业技能等多个知识区细分领域。在此基础上，本文构建了融合弹幕情感得分与币播比的多模态内容质量指数，采用双向固定效应模型开展实证分析，并通过机制分析揭示投币激励影响内容质量的内在传导路径。</w:t>
      </w:r>
    </w:p>
    <w:p w14:paraId="59CC6B5E">
      <w:pPr>
        <w:spacing w:line="288" w:lineRule="auto"/>
        <w:ind w:firstLine="482"/>
        <w:rPr>
          <w:rFonts w:ascii="Times New Roman" w:hAnsi="Times New Roman" w:cs="Times New Roman"/>
        </w:rPr>
      </w:pPr>
      <w:r>
        <w:rPr>
          <w:rFonts w:ascii="Times New Roman" w:hAnsi="Times New Roman" w:cs="Times New Roman"/>
        </w:rPr>
        <w:t>具体而言，本文的研究内容包含以下几个层面。</w:t>
      </w:r>
      <w:r>
        <w:rPr>
          <w:rFonts w:ascii="Times New Roman" w:hAnsi="Times New Roman" w:cs="Times New Roman"/>
          <w:highlight w:val="lightGray"/>
        </w:rPr>
        <w:t>在激励机制层面，本文聚焦投币这一非金钱激励形式的稀缺性特征，辨析其与点赞、收藏、分享等常规互动的本质区别。</w:t>
      </w:r>
      <w:r>
        <w:rPr>
          <w:rFonts w:ascii="Times New Roman" w:hAnsi="Times New Roman" w:cs="Times New Roman"/>
        </w:rPr>
        <w:t>在内容质量测量层面，</w:t>
      </w:r>
      <w:r>
        <w:rPr>
          <w:rFonts w:ascii="Times New Roman" w:hAnsi="Times New Roman" w:cs="Times New Roman"/>
          <w:highlight w:val="lightGray"/>
        </w:rPr>
        <w:t>本文提出基于多模态数据的内容质量指数构建方法，同时整合文本层面（弹幕情感）和行为层面（币播比）的信息，避免以单一流量指标代替质量判断。</w:t>
      </w:r>
      <w:r>
        <w:rPr>
          <w:rFonts w:ascii="Times New Roman" w:hAnsi="Times New Roman" w:cs="Times New Roman"/>
        </w:rPr>
        <w:t>在因果识别层面，</w:t>
      </w:r>
      <w:r>
        <w:rPr>
          <w:rFonts w:ascii="Times New Roman" w:hAnsi="Times New Roman" w:cs="Times New Roman"/>
          <w:highlight w:val="lightGray"/>
        </w:rPr>
        <w:t>本文采用双向固定效应模型控制个体与时间异质性，并引入Lewbel（2012）工具变量法解决内生性问题，以确保估计结论的因果有效性。</w:t>
      </w:r>
      <w:r>
        <w:rPr>
          <w:rFonts w:ascii="Times New Roman" w:hAnsi="Times New Roman" w:cs="Times New Roman"/>
        </w:rPr>
        <w:t>在异质性分析层面，</w:t>
      </w:r>
      <w:r>
        <w:rPr>
          <w:rFonts w:ascii="Times New Roman" w:hAnsi="Times New Roman" w:cs="Times New Roman"/>
          <w:highlight w:val="lightGray"/>
        </w:rPr>
        <w:t>本文进一步探讨投币激励效应在不同粉丝规模创作者群体与不同时长视频类型之间的差异，</w:t>
      </w:r>
      <w:r>
        <w:rPr>
          <w:rFonts w:ascii="Times New Roman" w:hAnsi="Times New Roman" w:cs="Times New Roman"/>
        </w:rPr>
        <w:t>为差异化激励策略的制定提供依据。</w:t>
      </w:r>
    </w:p>
    <w:p w14:paraId="6589BE0D">
      <w:pPr>
        <w:spacing w:before="300" w:after="150"/>
        <w:outlineLvl w:val="1"/>
        <w:rPr>
          <w:rFonts w:ascii="Times New Roman" w:hAnsi="Times New Roman" w:cs="Times New Roman"/>
        </w:rPr>
      </w:pPr>
      <w:bookmarkStart w:id="14" w:name="_Toc26115"/>
      <w:r>
        <w:rPr>
          <w:rFonts w:ascii="Times New Roman" w:hAnsi="Times New Roman" w:eastAsia="黑体" w:cs="Times New Roman"/>
          <w:b/>
          <w:bCs/>
          <w:sz w:val="28"/>
          <w:szCs w:val="28"/>
        </w:rPr>
        <w:t>1.3  研究意义</w:t>
      </w:r>
      <w:bookmarkEnd w:id="14"/>
    </w:p>
    <w:p w14:paraId="167C10F2">
      <w:pPr>
        <w:spacing w:before="200" w:after="100"/>
        <w:outlineLvl w:val="2"/>
        <w:rPr>
          <w:rFonts w:ascii="Times New Roman" w:hAnsi="Times New Roman" w:cs="Times New Roman"/>
        </w:rPr>
      </w:pPr>
      <w:bookmarkStart w:id="15" w:name="_Toc28714"/>
      <w:r>
        <w:rPr>
          <w:rFonts w:ascii="Times New Roman" w:hAnsi="Times New Roman" w:eastAsia="黑体" w:cs="Times New Roman"/>
          <w:b/>
          <w:bCs/>
        </w:rPr>
        <w:t>1.3.1  理论意义</w:t>
      </w:r>
      <w:bookmarkEnd w:id="15"/>
    </w:p>
    <w:p w14:paraId="431EA102">
      <w:pPr>
        <w:spacing w:line="288" w:lineRule="auto"/>
        <w:ind w:firstLine="482"/>
        <w:rPr>
          <w:rFonts w:ascii="Times New Roman" w:hAnsi="Times New Roman" w:cs="Times New Roman"/>
        </w:rPr>
      </w:pPr>
      <w:r>
        <w:rPr>
          <w:rFonts w:ascii="Times New Roman" w:hAnsi="Times New Roman" w:cs="Times New Roman"/>
        </w:rPr>
        <w:t>理论上，本文将激励机制研究进一步延伸至数字内容生产领域，丰富了非金钱激励理论在UGC平台情境下的应用研究。既有激励理论多在线下组织情境中讨论金钱激励与非金钱激励的作用逻辑，关于互联网平台中独特激励形式——尤其是稀缺性符号激励——如何影响创作者内容生产行为的实证研究仍较为有限。本文以投币机制为切入点，将社会交换理论、自我决定理论引入B站知识区的创作者激励研究，提供了非金钱激励影响内容质量的全链路实证证据。</w:t>
      </w:r>
    </w:p>
    <w:p w14:paraId="06847E61">
      <w:pPr>
        <w:spacing w:line="288" w:lineRule="auto"/>
        <w:ind w:firstLine="482"/>
        <w:rPr>
          <w:rFonts w:ascii="Times New Roman" w:hAnsi="Times New Roman" w:cs="Times New Roman"/>
        </w:rPr>
      </w:pPr>
      <w:r>
        <w:rPr>
          <w:rFonts w:ascii="Times New Roman" w:hAnsi="Times New Roman" w:cs="Times New Roman"/>
        </w:rPr>
        <w:t>此前关于内容质量的研究，存在普遍以流量指标（播放量、点赞数）代替内容质量的测量局限。本文提出的融合弹幕情感分析与币播比的多模态质量指数，结合CRITIC客观赋权法，为UGC平台内容质量的精准测量提供了新的方法论范式。此外，本文通过机制分析区分了投入互惠路径、深度反馈路径与流量传播路径的差异化作用，从实证层面厘清了价值信号与流量信号的本质差异，为理解非金钱激励的独特作用逻辑提供了新的理论视角。</w:t>
      </w:r>
    </w:p>
    <w:p w14:paraId="3AD8F841">
      <w:pPr>
        <w:spacing w:before="200" w:after="100"/>
        <w:outlineLvl w:val="2"/>
        <w:rPr>
          <w:rFonts w:ascii="Times New Roman" w:hAnsi="Times New Roman" w:cs="Times New Roman"/>
        </w:rPr>
      </w:pPr>
      <w:bookmarkStart w:id="16" w:name="_Toc30901"/>
      <w:r>
        <w:rPr>
          <w:rFonts w:ascii="Times New Roman" w:hAnsi="Times New Roman" w:eastAsia="黑体" w:cs="Times New Roman"/>
          <w:b/>
          <w:bCs/>
        </w:rPr>
        <w:t>1.3.2  实践意义</w:t>
      </w:r>
      <w:bookmarkEnd w:id="16"/>
    </w:p>
    <w:p w14:paraId="03BBDC71">
      <w:pPr>
        <w:spacing w:line="288" w:lineRule="auto"/>
        <w:ind w:firstLine="482"/>
        <w:rPr>
          <w:rFonts w:ascii="Times New Roman" w:hAnsi="Times New Roman" w:cs="Times New Roman"/>
        </w:rPr>
      </w:pPr>
      <w:r>
        <w:rPr>
          <w:rFonts w:ascii="Times New Roman" w:hAnsi="Times New Roman" w:cs="Times New Roman"/>
        </w:rPr>
        <w:t>互联网时代，视频内容平台竞争日趋激烈，如何在平台生态中实现“优质内容-用户认可-创作者激励”的正向循环，已成为各大平台共同面对的运营难题。本文的研究场景聚焦于B站知识区，但其结论对于广泛的UGC内容平台同样具有参考价值——无论是短视频平台的知识创作板块，还是专业知识分享社区，都面临如何设计激励机制以提升内容质量的核心挑战。</w:t>
      </w:r>
    </w:p>
    <w:p w14:paraId="26EEA5D9">
      <w:pPr>
        <w:spacing w:line="288" w:lineRule="auto"/>
        <w:ind w:firstLine="482"/>
        <w:rPr>
          <w:rFonts w:ascii="Times New Roman" w:hAnsi="Times New Roman" w:cs="Times New Roman"/>
        </w:rPr>
      </w:pPr>
      <w:r>
        <w:rPr>
          <w:rFonts w:ascii="Times New Roman" w:hAnsi="Times New Roman" w:cs="Times New Roman"/>
        </w:rPr>
        <w:t>秀场直播、短视频电商等平台的变现模式本质上也涉及非金钱激励对创作者行为的影响，本文的研究框架可以为此类场景提供分析范式上的借鉴。对于平台运营方而言，本文的研究结论建议：应维护投币机制的稀缺性设计，抵制将投币与流量挂钩的异化倾向；应针对头部创作者与长视频内容实施有针对性的激励策略；并应逐步将内容评价体系从流量导向切换为质量导向，以推动平台内容生态的健康可持续发展。</w:t>
      </w:r>
    </w:p>
    <w:p w14:paraId="5C3AD7E3">
      <w:pPr>
        <w:spacing w:before="300" w:after="150"/>
        <w:outlineLvl w:val="1"/>
        <w:rPr>
          <w:rFonts w:ascii="Times New Roman" w:hAnsi="Times New Roman" w:eastAsia="黑体" w:cs="Times New Roman"/>
        </w:rPr>
      </w:pPr>
      <w:bookmarkStart w:id="17" w:name="_Toc4418"/>
      <w:r>
        <w:rPr>
          <w:rFonts w:ascii="Times New Roman" w:hAnsi="Times New Roman" w:eastAsia="黑体" w:cs="Times New Roman"/>
          <w:b/>
          <w:bCs/>
          <w:sz w:val="28"/>
          <w:szCs w:val="28"/>
        </w:rPr>
        <w:t>1.4  研究方法</w:t>
      </w:r>
      <w:bookmarkEnd w:id="17"/>
    </w:p>
    <w:p w14:paraId="6BFAE2C0">
      <w:pPr>
        <w:spacing w:line="288" w:lineRule="auto"/>
        <w:ind w:firstLine="482"/>
        <w:rPr>
          <w:rFonts w:ascii="Times New Roman" w:hAnsi="Times New Roman" w:cs="Times New Roman"/>
        </w:rPr>
      </w:pPr>
      <w:r>
        <w:rPr>
          <w:rFonts w:ascii="Times New Roman" w:hAnsi="Times New Roman" w:cs="Times New Roman"/>
        </w:rPr>
        <w:t>本文主要采用定量实证研究方法，以面板数据回归分析为核心，综合运用文本挖掘、机器学习和工具变量等多种技术手段。</w:t>
      </w:r>
    </w:p>
    <w:p w14:paraId="1001D74B">
      <w:pPr>
        <w:spacing w:line="288" w:lineRule="auto"/>
        <w:ind w:firstLine="482"/>
        <w:rPr>
          <w:rFonts w:ascii="Times New Roman" w:hAnsi="Times New Roman" w:cs="Times New Roman"/>
        </w:rPr>
      </w:pPr>
      <w:r>
        <w:rPr>
          <w:rFonts w:ascii="Times New Roman" w:hAnsi="Times New Roman" w:cs="Times New Roman"/>
        </w:rPr>
        <w:t>在数据收集方面，本文通过Python爬虫调用哔哩哔哩开放API接口，系统收集了86位知识区活跃UP主自2019年3月至2025年12月间发布的8242条视频的相关数据，包括视频基础信息（发布时间、时长、分区、标签）、互动数据（播放量、投币数、点赞数、收藏数、弹幕数、评论数）及文本数据（弹幕内容、评论内容）。</w:t>
      </w:r>
    </w:p>
    <w:p w14:paraId="7C1E8AA9">
      <w:pPr>
        <w:spacing w:line="288" w:lineRule="auto"/>
        <w:ind w:firstLine="482"/>
        <w:rPr>
          <w:rFonts w:ascii="Times New Roman" w:hAnsi="Times New Roman" w:cs="Times New Roman"/>
        </w:rPr>
      </w:pPr>
      <w:r>
        <w:rPr>
          <w:rFonts w:ascii="Times New Roman" w:hAnsi="Times New Roman" w:cs="Times New Roman"/>
        </w:rPr>
        <w:t>在因变量测量方面，本文提出多模态内容质量指数的创新构建方案。一方面，本文构建了包含逾千词的B站知识区专属情感词典，融合学术语料与平台亚文化表达，结合SnowNLP自然语言处理库对弹幕文本进行情感评分；另一方面，以币播比（投币数除以播放量）作为衡量内容硬核程度的核心行为指标。两个维度通过CRITIC（Criteria Importance Through Intercriteria Correlation）客观赋权法合成最终的内容质量指数。研究方法的一大创新之处在于，本文并非依赖单一的流量代理指标，而是通过结合文本情感数据与用户行为数据，对内容质量进行更为立体、准确的测量。</w:t>
      </w:r>
    </w:p>
    <w:p w14:paraId="7AEDB0E9">
      <w:pPr>
        <w:spacing w:line="288" w:lineRule="auto"/>
        <w:ind w:firstLine="482"/>
        <w:rPr>
          <w:rFonts w:ascii="Times New Roman" w:hAnsi="Times New Roman" w:cs="Times New Roman"/>
        </w:rPr>
      </w:pPr>
      <w:r>
        <w:rPr>
          <w:rFonts w:ascii="Times New Roman" w:hAnsi="Times New Roman" w:cs="Times New Roman"/>
        </w:rPr>
        <w:t>在计量分析方面，本文以双向固定效应模型（Two-Way Fixed Effects Model）为基准回归框架，同时控制创作者个体固定效应和时间固定效应（年度与月度），并引入Lewbel（2012）异方差工具变量法应对投币激励变量的内生性问题。此外，本文还通过安慰剂检验（500次置换）、秩变量替换、样本缩减及外生冲击交互检验等方式，对研究结论进行多维稳健性验证。</w:t>
      </w:r>
    </w:p>
    <w:p w14:paraId="34AB72CA">
      <w:pPr>
        <w:spacing w:before="300" w:after="150"/>
        <w:outlineLvl w:val="1"/>
        <w:rPr>
          <w:rFonts w:ascii="Times New Roman" w:hAnsi="Times New Roman" w:cs="Times New Roman"/>
        </w:rPr>
      </w:pPr>
      <w:bookmarkStart w:id="18" w:name="_Toc31612"/>
      <w:r>
        <w:rPr>
          <w:rFonts w:ascii="Times New Roman" w:hAnsi="Times New Roman" w:eastAsia="黑体" w:cs="Times New Roman"/>
          <w:b/>
          <w:bCs/>
          <w:sz w:val="28"/>
          <w:szCs w:val="28"/>
        </w:rPr>
        <w:t>1.5  研究框架</w:t>
      </w:r>
      <w:bookmarkEnd w:id="18"/>
    </w:p>
    <w:p w14:paraId="2CB6E693">
      <w:pPr>
        <w:spacing w:line="288" w:lineRule="auto"/>
        <w:ind w:firstLine="482"/>
        <w:rPr>
          <w:rFonts w:ascii="Times New Roman" w:hAnsi="Times New Roman" w:cs="Times New Roman"/>
        </w:rPr>
      </w:pPr>
      <w:r>
        <w:rPr>
          <w:rFonts w:ascii="Times New Roman" w:hAnsi="Times New Roman" w:cs="Times New Roman"/>
        </w:rPr>
        <w:t>本文的研究框架主要分为六个部分：绪论、理论与文献综述、理论推导与假设提出、数据来源与数据收集、实证分析、总结与讨论。</w:t>
      </w:r>
    </w:p>
    <w:p w14:paraId="7F6A7512">
      <w:pPr>
        <w:spacing w:line="288" w:lineRule="auto"/>
        <w:ind w:firstLine="482"/>
        <w:rPr>
          <w:rFonts w:ascii="Times New Roman" w:hAnsi="Times New Roman" w:cs="Times New Roman"/>
        </w:rPr>
      </w:pPr>
      <w:r>
        <w:rPr>
          <w:rFonts w:ascii="Times New Roman" w:hAnsi="Times New Roman" w:cs="Times New Roman"/>
        </w:rPr>
        <w:t>第一章绪论。本章对研究背景、研究内容、研究意义、研究方法及本文的研究框架进行详细阐述。研究背景从中国互联网内容生态的宏观发展和哔哩哔哩平台的现实情况出发，提出了本文的研究主题与核心问题。</w:t>
      </w:r>
    </w:p>
    <w:p w14:paraId="098E5503">
      <w:pPr>
        <w:spacing w:line="288" w:lineRule="auto"/>
        <w:ind w:firstLine="482"/>
        <w:rPr>
          <w:rFonts w:ascii="Times New Roman" w:hAnsi="Times New Roman" w:cs="Times New Roman"/>
        </w:rPr>
      </w:pPr>
      <w:r>
        <w:rPr>
          <w:rFonts w:ascii="Times New Roman" w:hAnsi="Times New Roman" w:cs="Times New Roman"/>
        </w:rPr>
        <w:t>第二章理论与文献综述。本章对UGC平台内容生态、非金钱激励机制、内容质量测量及相关理论基础四个模块进行文献梳理，将激励—努力—绩效链条上的各变量的内涵与相互关系加以厘清。具体而言，先对B站平台特征、投币机制设计及知识区发展现状进行概括性回顾；其次，对激励理论（尤其是非金钱激励）相关研究进行梳理，回顾了社会交换理论、自我决定理论及生产周期理论、累积优势理论的核心主张；再次，对UGC平台内容质量的测量方法及相关实证研究进行综述；最后，对激励机制与内容质量关系的已有研究进行评述，指出现有研究的不足与本文的创新空间。</w:t>
      </w:r>
    </w:p>
    <w:p w14:paraId="4220ACEF">
      <w:pPr>
        <w:spacing w:line="288" w:lineRule="auto"/>
        <w:ind w:firstLine="482"/>
        <w:rPr>
          <w:rFonts w:ascii="Times New Roman" w:hAnsi="Times New Roman" w:cs="Times New Roman"/>
        </w:rPr>
      </w:pPr>
      <w:r>
        <w:rPr>
          <w:rFonts w:ascii="Times New Roman" w:hAnsi="Times New Roman" w:cs="Times New Roman"/>
        </w:rPr>
        <w:t>第三章理论推导与假设提出。本章在文献回顾的基础上，结合B站投币机制的独特属性对非金钱激励影响内容质量的作用机制进行理论推导，提出本文的核心假设及传导路径假设，并在章末对各变量的具体含义与测量方式进行界定。</w:t>
      </w:r>
    </w:p>
    <w:p w14:paraId="2C8ADC45">
      <w:pPr>
        <w:spacing w:line="288" w:lineRule="auto"/>
        <w:ind w:firstLine="482"/>
        <w:rPr>
          <w:rFonts w:ascii="Times New Roman" w:hAnsi="Times New Roman" w:cs="Times New Roman"/>
        </w:rPr>
      </w:pPr>
      <w:r>
        <w:rPr>
          <w:rFonts w:ascii="Times New Roman" w:hAnsi="Times New Roman" w:cs="Times New Roman"/>
        </w:rPr>
        <w:t>第四章数据来源与数据收集。本章详细介绍数据收集的具体流程，包括样本的选取标准与选取过程、Python爬虫数据获取方案、内容质量指数的构建步骤，以及样本的描述性统计与基本特征。</w:t>
      </w:r>
    </w:p>
    <w:p w14:paraId="4AD8326E">
      <w:pPr>
        <w:spacing w:line="288" w:lineRule="auto"/>
        <w:ind w:firstLine="482"/>
        <w:rPr>
          <w:rFonts w:ascii="Times New Roman" w:hAnsi="Times New Roman" w:cs="Times New Roman"/>
        </w:rPr>
      </w:pPr>
      <w:r>
        <w:rPr>
          <w:rFonts w:ascii="Times New Roman" w:hAnsi="Times New Roman" w:cs="Times New Roman"/>
        </w:rPr>
        <w:t>第五章实证分析。本章使用Stata对研究数据进行基准回归、内生性检验、异质性分析和机制检验，并通过多种稳健性检验方案对主要结论的可靠性进行验证。回归结果揭示了投币激励对内容质量的显著因果影响，以及投入互惠机制与深度反馈机制两条有效传导路径。</w:t>
      </w:r>
    </w:p>
    <w:p w14:paraId="148FFAE5">
      <w:pPr>
        <w:spacing w:line="288" w:lineRule="auto"/>
        <w:ind w:firstLine="482"/>
        <w:rPr>
          <w:rFonts w:ascii="Times New Roman" w:hAnsi="Times New Roman" w:cs="Times New Roman"/>
        </w:rPr>
      </w:pPr>
      <w:r>
        <w:rPr>
          <w:rFonts w:ascii="Times New Roman" w:hAnsi="Times New Roman" w:cs="Times New Roman"/>
        </w:rPr>
        <w:t>第六章总结与讨论。本章对实证结果进行系统总结，结合B站知识区的平台特点提出理论贡献与实践建议，并对本文的研究局限及未来研究方向进行展望。</w:t>
      </w:r>
    </w:p>
    <w:p w14:paraId="60E5B4CC">
      <w:pPr>
        <w:spacing w:line="288" w:lineRule="auto"/>
        <w:ind w:firstLine="482"/>
        <w:rPr>
          <w:rFonts w:ascii="Times New Roman" w:hAnsi="Times New Roman" w:cs="Times New Roman"/>
        </w:rPr>
      </w:pPr>
      <w:r>
        <w:rPr>
          <w:rFonts w:ascii="Times New Roman" w:hAnsi="Times New Roman" w:cs="Times New Roman"/>
        </w:rPr>
        <w:t>本文的研究路线如下图所示：</w:t>
      </w:r>
    </w:p>
    <w:p w14:paraId="6B88ABDB">
      <w:pPr>
        <w:jc w:val="center"/>
        <w:rPr>
          <w:rFonts w:ascii="Times New Roman" w:hAnsi="Times New Roman" w:cs="Times New Roman"/>
        </w:rPr>
      </w:pPr>
      <w:r>
        <w:rPr>
          <w:rFonts w:ascii="Times New Roman" w:hAnsi="Times New Roman" w:cs="Times New Roman"/>
        </w:rPr>
        <w:drawing>
          <wp:inline distT="0" distB="0" distL="114300" distR="114300">
            <wp:extent cx="2036445" cy="3646805"/>
            <wp:effectExtent l="0" t="0" r="8255" b="10795"/>
            <wp:docPr id="2" name="图片 2"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named"/>
                    <pic:cNvPicPr>
                      <a:picLocks noChangeAspect="1"/>
                    </pic:cNvPicPr>
                  </pic:nvPicPr>
                  <pic:blipFill>
                    <a:blip r:embed="rId9"/>
                    <a:stretch>
                      <a:fillRect/>
                    </a:stretch>
                  </pic:blipFill>
                  <pic:spPr>
                    <a:xfrm>
                      <a:off x="0" y="0"/>
                      <a:ext cx="2036445" cy="3646805"/>
                    </a:xfrm>
                    <a:prstGeom prst="rect">
                      <a:avLst/>
                    </a:prstGeom>
                  </pic:spPr>
                </pic:pic>
              </a:graphicData>
            </a:graphic>
          </wp:inline>
        </w:drawing>
      </w:r>
    </w:p>
    <w:p w14:paraId="284CEBE0">
      <w:pPr>
        <w:pStyle w:val="8"/>
        <w:jc w:val="center"/>
        <w:rPr>
          <w:rFonts w:ascii="Times New Roman" w:hAnsi="Times New Roman" w:eastAsia="宋体"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全文研究路线图</w:t>
      </w:r>
    </w:p>
    <w:p w14:paraId="733858F1">
      <w:pPr>
        <w:jc w:val="center"/>
        <w:rPr>
          <w:rFonts w:ascii="Times New Roman" w:hAnsi="Times New Roman" w:cs="Times New Roman"/>
        </w:rPr>
      </w:pPr>
      <w:r>
        <w:rPr>
          <w:rFonts w:ascii="Times New Roman" w:hAnsi="Times New Roman" w:cs="Times New Roman"/>
        </w:rPr>
        <w:br w:type="page"/>
      </w:r>
    </w:p>
    <w:p w14:paraId="3D9C8FF6">
      <w:pPr>
        <w:numPr>
          <w:ilvl w:val="0"/>
          <w:numId w:val="5"/>
        </w:numPr>
        <w:spacing w:before="400" w:after="200"/>
        <w:jc w:val="center"/>
        <w:outlineLvl w:val="0"/>
        <w:rPr>
          <w:rFonts w:ascii="Times New Roman" w:hAnsi="Times New Roman" w:eastAsia="黑体" w:cs="Times New Roman"/>
          <w:b/>
          <w:bCs/>
          <w:sz w:val="32"/>
          <w:szCs w:val="32"/>
        </w:rPr>
      </w:pPr>
      <w:r>
        <w:rPr>
          <w:rFonts w:ascii="Times New Roman" w:hAnsi="Times New Roman" w:eastAsia="黑体" w:cs="Times New Roman"/>
          <w:b/>
          <w:bCs/>
          <w:sz w:val="32"/>
          <w:szCs w:val="32"/>
        </w:rPr>
        <w:t xml:space="preserve"> </w:t>
      </w:r>
      <w:bookmarkStart w:id="19" w:name="_Toc477"/>
      <w:r>
        <w:rPr>
          <w:rFonts w:ascii="Times New Roman" w:hAnsi="Times New Roman" w:eastAsia="黑体" w:cs="Times New Roman"/>
          <w:b/>
          <w:bCs/>
          <w:sz w:val="32"/>
          <w:szCs w:val="32"/>
        </w:rPr>
        <w:t>文献综述与理论基础</w:t>
      </w:r>
      <w:bookmarkEnd w:id="19"/>
    </w:p>
    <w:p w14:paraId="6B3CF53F">
      <w:pPr>
        <w:spacing w:line="288" w:lineRule="auto"/>
        <w:ind w:firstLine="482"/>
        <w:rPr>
          <w:rFonts w:ascii="Times New Roman" w:hAnsi="Times New Roman" w:cs="Times New Roman"/>
        </w:rPr>
      </w:pPr>
      <w:r>
        <w:rPr>
          <w:rFonts w:ascii="Times New Roman" w:hAnsi="Times New Roman" w:cs="Times New Roman"/>
        </w:rPr>
        <w:t>本章节对哔哩哔哩平台、用户生成内容、内容创作激励机制以及相关理论进行系统性文献回顾，对过去知识类视频社区场景以及关键变量——投币激励、内容打磨周期、评论互动深度、内容质量——的相关研究成果进行归纳总结。本章探讨了投币激励—创作努力—内容质量的作用链条上各关键变量的内涵，并系统梳理了支撑本研究的核心理论。</w:t>
      </w:r>
    </w:p>
    <w:p w14:paraId="3AAEEC51">
      <w:pPr>
        <w:spacing w:before="300" w:after="150"/>
        <w:outlineLvl w:val="1"/>
        <w:rPr>
          <w:rFonts w:ascii="Times New Roman" w:hAnsi="Times New Roman" w:eastAsia="黑体" w:cs="Times New Roman"/>
          <w:b/>
          <w:bCs/>
          <w:sz w:val="28"/>
          <w:szCs w:val="28"/>
        </w:rPr>
      </w:pPr>
      <w:bookmarkStart w:id="20" w:name="_Toc15743"/>
      <w:r>
        <w:rPr>
          <w:rFonts w:ascii="Times New Roman" w:hAnsi="Times New Roman" w:eastAsia="黑体" w:cs="Times New Roman"/>
          <w:b/>
          <w:bCs/>
          <w:sz w:val="28"/>
          <w:szCs w:val="28"/>
        </w:rPr>
        <w:t>2.1  哔哩哔哩平台</w:t>
      </w:r>
      <w:bookmarkEnd w:id="20"/>
    </w:p>
    <w:p w14:paraId="18635684">
      <w:pPr>
        <w:spacing w:line="288" w:lineRule="auto"/>
        <w:ind w:firstLine="482"/>
        <w:rPr>
          <w:rFonts w:ascii="Times New Roman" w:hAnsi="Times New Roman" w:eastAsia="黑体" w:cs="Times New Roman"/>
          <w:b/>
          <w:bCs/>
          <w:sz w:val="28"/>
          <w:szCs w:val="28"/>
        </w:rPr>
      </w:pPr>
      <w:bookmarkStart w:id="21" w:name="_Toc3325"/>
      <w:r>
        <w:rPr>
          <w:rFonts w:ascii="Times New Roman" w:hAnsi="Times New Roman" w:cs="Times New Roman"/>
        </w:rPr>
        <w:t>本文以哔哩哔哩（Bilibili，以下简称“B站”）知识区作为研究场景。因此，本节首先对哔哩哔哩平台的内涵、发展历程、内容分区及其独特的互动激励体系进行文献回顾。哔哩哔哩平台与其知识区的生态特征，是本研究考察投币激励效应的场景基础，也是区别于其他视频平台的核心所在。</w:t>
      </w:r>
      <w:bookmarkEnd w:id="21"/>
    </w:p>
    <w:p w14:paraId="5903988E">
      <w:pPr>
        <w:spacing w:before="200" w:after="100"/>
        <w:outlineLvl w:val="2"/>
        <w:rPr>
          <w:rFonts w:ascii="Times New Roman" w:hAnsi="Times New Roman" w:cs="Times New Roman"/>
        </w:rPr>
      </w:pPr>
      <w:bookmarkStart w:id="22" w:name="_Toc1148"/>
      <w:r>
        <w:rPr>
          <w:rFonts w:ascii="Times New Roman" w:hAnsi="Times New Roman" w:eastAsia="黑体" w:cs="Times New Roman"/>
          <w:b/>
          <w:bCs/>
        </w:rPr>
        <w:t>2.1.1  哔哩哔哩平台的内涵与发展历程</w:t>
      </w:r>
      <w:bookmarkEnd w:id="22"/>
    </w:p>
    <w:p w14:paraId="13A82363">
      <w:pPr>
        <w:spacing w:line="288" w:lineRule="auto"/>
        <w:ind w:firstLine="482"/>
        <w:rPr>
          <w:rFonts w:ascii="Times New Roman" w:hAnsi="Times New Roman" w:cs="Times New Roman"/>
        </w:rPr>
      </w:pPr>
      <w:r>
        <w:rPr>
          <w:rFonts w:ascii="Times New Roman" w:hAnsi="Times New Roman" w:cs="Times New Roman"/>
        </w:rPr>
        <w:t>哔哩哔哩成立于2009年，前身为“Mikufans”，起初瞄准二次元爱好者群体，以ACG（动画、漫画、游戏）内容社区为核心业务。2010年更名为哔哩哔哩弹幕网，2012年推出移动端应用，2014年出任董事长的陈睿开始推动平台商业化探索，2018年在美国纳斯达克上市，同年推出“bilibili创作激励计划”。经过十五年的发展，哔哩哔哩已从一个专注二次元文化的小众社区，蜕变为涵盖多元内容的综合性年轻人聚集平台（李轩，2020）。</w:t>
      </w:r>
    </w:p>
    <w:p w14:paraId="59532D25">
      <w:pPr>
        <w:spacing w:line="288" w:lineRule="auto"/>
        <w:ind w:firstLine="482"/>
        <w:rPr>
          <w:rFonts w:ascii="Times New Roman" w:hAnsi="Times New Roman" w:cs="Times New Roman"/>
        </w:rPr>
      </w:pPr>
      <w:r>
        <w:rPr>
          <w:rFonts w:ascii="Times New Roman" w:hAnsi="Times New Roman" w:cs="Times New Roman"/>
        </w:rPr>
        <w:t>在用户规模方面，根据哔哩哔哩2024年ESG报告及财务年报的公开数据，截至2024年全年，哔哩哔哩日均活跃用户达1.04亿，月均活跃用户超过3.41亿，用户日均使用时长超过102分钟，日均视频播放量超过51亿次，同比增长19%；通过正式会员考试的注册会员数量达2.58亿，同比增长12%</w:t>
      </w:r>
      <w:r>
        <w:rPr>
          <w:rStyle w:val="24"/>
          <w:rFonts w:ascii="Times New Roman" w:hAnsi="Times New Roman" w:cs="Times New Roman"/>
        </w:rPr>
        <w:footnoteReference w:id="4"/>
      </w:r>
      <w:r>
        <w:rPr>
          <w:rFonts w:ascii="Times New Roman" w:hAnsi="Times New Roman" w:cs="Times New Roman"/>
        </w:rPr>
        <w:t>。在创作者生态方面，2024年月均活跃UP主数量达400万，有近310万UP主在平台获得收入，创作者通过广告产品及增值服务业务获得的总收入同比增长21%</w:t>
      </w:r>
      <w:r>
        <w:rPr>
          <w:rStyle w:val="24"/>
          <w:rFonts w:ascii="Times New Roman" w:hAnsi="Times New Roman" w:cs="Times New Roman"/>
        </w:rPr>
        <w:footnoteReference w:id="5"/>
      </w:r>
      <w:r>
        <w:rPr>
          <w:rFonts w:ascii="Times New Roman" w:hAnsi="Times New Roman" w:cs="Times New Roman"/>
        </w:rPr>
        <w:t>。与此同时，全年有超过800万用户通过“充电计划”为UP主进行付费支持，充电计划带动的UP主总收入同比增长超过400%</w:t>
      </w:r>
      <w:r>
        <w:rPr>
          <w:rFonts w:ascii="Times New Roman" w:hAnsi="Times New Roman" w:cs="Times New Roman"/>
          <w:vertAlign w:val="superscript"/>
        </w:rPr>
        <w:t>5</w:t>
      </w:r>
      <w:r>
        <w:rPr>
          <w:rFonts w:ascii="Times New Roman" w:hAnsi="Times New Roman" w:cs="Times New Roman"/>
        </w:rPr>
        <w:t>。这些数据揭示了哔哩哔哩作为内容创作者经济生态的重要地位。</w:t>
      </w:r>
    </w:p>
    <w:p w14:paraId="47E006FA">
      <w:pPr>
        <w:spacing w:line="288" w:lineRule="auto"/>
        <w:ind w:firstLine="482"/>
        <w:rPr>
          <w:rFonts w:ascii="Times New Roman" w:hAnsi="Times New Roman" w:cs="Times New Roman"/>
        </w:rPr>
      </w:pPr>
      <w:r>
        <w:rPr>
          <w:rFonts w:ascii="Times New Roman" w:hAnsi="Times New Roman" w:cs="Times New Roman"/>
        </w:rPr>
        <w:t>从内容生态的演进轨迹来看，哔哩哔哩经历了三个主要发展阶段。第一阶段（2009—2013年）为ACG社区奠基期，创作者以动漫、游戏、音乐领域为主，平台用户圈层高度重叠，形成了良好的社区氛围。第二阶段（2014—2017年）为商业化探索期，哔哩哔哩先后开通直播服务、独代游戏、推出大会员体系及电商业务，创作内容类型开始向泛娱乐方向扩展。第三阶段（2018年至今）为泛知识内容破圈期，知识、科技、财经、心理等专业内容大规模涌现，2022年有2.43亿用户在哔哩哔哩观看了知识类内容，是中国在校大学生人数的5.5倍；截至2023年3月，泛知识内容已占平台整体内容的41%</w:t>
      </w:r>
      <w:r>
        <w:rPr>
          <w:rStyle w:val="24"/>
          <w:rFonts w:ascii="Times New Roman" w:hAnsi="Times New Roman" w:cs="Times New Roman"/>
        </w:rPr>
        <w:footnoteReference w:id="6"/>
      </w:r>
      <w:r>
        <w:rPr>
          <w:rFonts w:ascii="Times New Roman" w:hAnsi="Times New Roman" w:cs="Times New Roman"/>
        </w:rPr>
        <w:t>。</w:t>
      </w:r>
    </w:p>
    <w:p w14:paraId="62DFEB03">
      <w:pPr>
        <w:spacing w:before="200" w:after="100"/>
        <w:outlineLvl w:val="2"/>
        <w:rPr>
          <w:rFonts w:ascii="Times New Roman" w:hAnsi="Times New Roman" w:cs="Times New Roman"/>
        </w:rPr>
      </w:pPr>
      <w:bookmarkStart w:id="23" w:name="_Toc20296"/>
      <w:r>
        <w:rPr>
          <w:rFonts w:ascii="Times New Roman" w:hAnsi="Times New Roman" w:eastAsia="黑体" w:cs="Times New Roman"/>
          <w:b/>
          <w:bCs/>
        </w:rPr>
        <w:t>2.1.2  哔哩哔哩的内容类型与知识区</w:t>
      </w:r>
      <w:bookmarkEnd w:id="23"/>
    </w:p>
    <w:p w14:paraId="513CED4D">
      <w:pPr>
        <w:spacing w:line="288" w:lineRule="auto"/>
        <w:ind w:firstLine="482"/>
        <w:rPr>
          <w:rFonts w:ascii="Times New Roman" w:hAnsi="Times New Roman" w:cs="Times New Roman"/>
        </w:rPr>
      </w:pPr>
      <w:r>
        <w:rPr>
          <w:rFonts w:ascii="Times New Roman" w:hAnsi="Times New Roman" w:cs="Times New Roman"/>
        </w:rPr>
        <w:t>哔哩哔哩按照内容类型设置了多个主分区，主要包括：动画、番剧、国创、音乐、舞蹈、游戏、知识、科技、运动、汽车、生活、美食、动物圈、时尚、娱乐等分区，已形成了超过200万个文化标签和7000余个核心文化圈层。其中，知识区（Knowledge Zone）作为平台重要的内容板块，涵盖了科学科普、社会人文、野生技术协会、读书、职业职场、校园学习等多个子分区，呈现出多元化的知识内容生产格局（李轩，2020）。</w:t>
      </w:r>
    </w:p>
    <w:p w14:paraId="1300118D">
      <w:pPr>
        <w:spacing w:line="288" w:lineRule="auto"/>
        <w:ind w:firstLine="482"/>
        <w:rPr>
          <w:rFonts w:ascii="Times New Roman" w:hAnsi="Times New Roman" w:cs="Times New Roman"/>
        </w:rPr>
      </w:pPr>
      <w:r>
        <w:rPr>
          <w:rFonts w:ascii="Times New Roman" w:hAnsi="Times New Roman" w:cs="Times New Roman"/>
        </w:rPr>
        <w:t>知识类视频内容具有明显区别于娱乐内容的特征。从创作过程来看，知识类UP主需要投入大量时间进行资料收集、脚本撰写、知识核实和后期制作，内容的打磨周期通常比娱乐类视频更长，创作门槛更高。从内容质量评价来看，知识类视频的价值体现在信息的准确性、深度和教育价值上，观众在投币行为上更为审慎，投币往往代表了对内容知识价值的认可（王伟军等，2021）。从互动模式来看，知识区的用户评论质量显著高于娱乐区，评论内容更多涉及知识讨论、问题探讨和观点交流，形成了独特的知识型社区互动氛围（樊传果，2021）。</w:t>
      </w:r>
    </w:p>
    <w:p w14:paraId="5128C5E8">
      <w:pPr>
        <w:spacing w:line="288" w:lineRule="auto"/>
        <w:ind w:firstLine="482"/>
        <w:rPr>
          <w:rFonts w:ascii="Times New Roman" w:hAnsi="Times New Roman" w:cs="Times New Roman"/>
        </w:rPr>
      </w:pPr>
      <w:r>
        <w:rPr>
          <w:rFonts w:ascii="Times New Roman" w:hAnsi="Times New Roman" w:cs="Times New Roman"/>
        </w:rPr>
        <w:t>2024年，哔哩哔哩知识类、科技类内容的播放量同比增长均超过20%，全年有2.2亿用户通过B站学习专业知识，AI相关内容播放量同比激增80%</w:t>
      </w:r>
      <w:r>
        <w:rPr>
          <w:rStyle w:val="24"/>
          <w:rFonts w:ascii="Times New Roman" w:hAnsi="Times New Roman" w:cs="Times New Roman"/>
        </w:rPr>
        <w:footnoteReference w:id="7"/>
      </w:r>
      <w:r>
        <w:rPr>
          <w:rFonts w:ascii="Times New Roman" w:hAnsi="Times New Roman" w:cs="Times New Roman"/>
        </w:rPr>
        <w:t>。DeepSeek的出现带动AI品类播放量增长60%，30岁以下用户占比超70%</w:t>
      </w:r>
      <w:r>
        <w:rPr>
          <w:rFonts w:ascii="Times New Roman" w:hAnsi="Times New Roman" w:cs="Times New Roman"/>
          <w:vertAlign w:val="superscript"/>
        </w:rPr>
        <w:t>8</w:t>
      </w:r>
      <w:r>
        <w:rPr>
          <w:rFonts w:ascii="Times New Roman" w:hAnsi="Times New Roman" w:cs="Times New Roman"/>
        </w:rPr>
        <w:t>，催生了大量大模型部署教程、工具测评、技术解析类高质量知识稿件。这些数据表明，知识区已成为哔哩哔哩内容生态中最具增长潜力的板块之一，为本研究提供了丰富且具有典型性的研究场景。</w:t>
      </w:r>
    </w:p>
    <w:p w14:paraId="3C5918F4">
      <w:pPr>
        <w:spacing w:before="200" w:after="100"/>
        <w:outlineLvl w:val="2"/>
        <w:rPr>
          <w:rFonts w:ascii="Times New Roman" w:hAnsi="Times New Roman" w:cs="Times New Roman"/>
        </w:rPr>
      </w:pPr>
      <w:bookmarkStart w:id="24" w:name="_Toc10062"/>
      <w:r>
        <w:rPr>
          <w:rFonts w:ascii="Times New Roman" w:hAnsi="Times New Roman" w:eastAsia="黑体" w:cs="Times New Roman"/>
          <w:b/>
          <w:bCs/>
        </w:rPr>
        <w:t>2.1.3  哔哩哔哩的互动特点</w:t>
      </w:r>
      <w:bookmarkEnd w:id="24"/>
    </w:p>
    <w:p w14:paraId="64B4FA0F">
      <w:pPr>
        <w:spacing w:line="288" w:lineRule="auto"/>
        <w:ind w:firstLine="482"/>
        <w:rPr>
          <w:rFonts w:ascii="Times New Roman" w:hAnsi="Times New Roman" w:cs="Times New Roman"/>
        </w:rPr>
      </w:pPr>
      <w:r>
        <w:rPr>
          <w:rFonts w:ascii="Times New Roman" w:hAnsi="Times New Roman" w:cs="Times New Roman"/>
        </w:rPr>
        <w:t>在哔哩哔哩具有与其他视频平台显著不同的用户互动特征，其核心在于以弹幕为代表的即时互动体系，以及“一键三连”（点赞、投币、收藏）为代表的多维度互动评价机制。</w:t>
      </w:r>
    </w:p>
    <w:p w14:paraId="56D89759">
      <w:pPr>
        <w:spacing w:line="288" w:lineRule="auto"/>
        <w:ind w:firstLine="482"/>
        <w:rPr>
          <w:rFonts w:ascii="Times New Roman" w:hAnsi="Times New Roman" w:cs="Times New Roman"/>
        </w:rPr>
      </w:pPr>
      <w:r>
        <w:rPr>
          <w:rFonts w:ascii="Times New Roman" w:hAnsi="Times New Roman" w:cs="Times New Roman"/>
        </w:rPr>
        <w:t>弹幕文化是哔哩哔哩最具标志性的社区特征。弹幕是一种将观众评论实时叠加在视频画面上的互动形式，能够在时间维度上创造观众之间的“虚拟共在感”（汪雅倩，2021）。范亚男（2020）基于互动仪式链理论，研究了哔哩哔哩弹幕的情感功能，发现弹幕互动能够强化情感共鸣、构建群体边界认同，形成高度聚焦的集体情感能量。王金红（2021）进一步指出，主流媒体短视频中弹幕的互动仪式建构，体现了新媒体时代媒介交往的新形态。樊传果（2021）通过对哔哩哔哩互动模式的系统研究，发现弹幕互动、评论互动与UP主的创作行为之间存在明显的相互强化关系，即优质内容带来高质量互动，而高质量互动反过来激励UP主持续创作高质量内容。</w:t>
      </w:r>
    </w:p>
    <w:p w14:paraId="549C6F3B">
      <w:pPr>
        <w:spacing w:line="288" w:lineRule="auto"/>
        <w:ind w:firstLine="482"/>
        <w:rPr>
          <w:rFonts w:ascii="Times New Roman" w:hAnsi="Times New Roman" w:cs="Times New Roman"/>
        </w:rPr>
      </w:pPr>
      <w:r>
        <w:rPr>
          <w:rFonts w:ascii="Times New Roman" w:hAnsi="Times New Roman" w:cs="Times New Roman"/>
        </w:rPr>
        <w:t>在“一键三连”体系中，投币行为具有特殊的信号意义。哔哩哔哩的注册用户每日仅可获得一枚硬币，且每人对一个原创视频最多可投两枚硬币。这种稀缺性设计使得投币行为相比点赞更难以发生，从而赋予了投币更强的“成本信号”属性——当用户决定为一个视频投币时，意味着他们认为该视频的知识价值或娱乐价值足以让其消耗珍贵的每日硬币资源（朱梦蝶，2021）。正是这种机制设计，使得投币数据成为衡量内容质量的重要代理指标，同时也构成了本研究将投币激励作为核心自变量的理论依据。</w:t>
      </w:r>
    </w:p>
    <w:p w14:paraId="16FC7E36">
      <w:pPr>
        <w:spacing w:before="200" w:after="100"/>
        <w:outlineLvl w:val="2"/>
        <w:rPr>
          <w:rFonts w:ascii="Times New Roman" w:hAnsi="Times New Roman" w:cs="Times New Roman"/>
        </w:rPr>
      </w:pPr>
      <w:bookmarkStart w:id="25" w:name="_Toc28398"/>
      <w:r>
        <w:rPr>
          <w:rFonts w:ascii="Times New Roman" w:hAnsi="Times New Roman" w:eastAsia="黑体" w:cs="Times New Roman"/>
          <w:b/>
          <w:bCs/>
        </w:rPr>
        <w:t>2.1.4  哔哩哔哩的激励与收益机制</w:t>
      </w:r>
      <w:bookmarkEnd w:id="25"/>
    </w:p>
    <w:p w14:paraId="6C850E8D">
      <w:pPr>
        <w:spacing w:line="288" w:lineRule="auto"/>
        <w:ind w:firstLine="482"/>
        <w:rPr>
          <w:rFonts w:ascii="Times New Roman" w:hAnsi="Times New Roman" w:cs="Times New Roman"/>
        </w:rPr>
      </w:pPr>
      <w:r>
        <w:rPr>
          <w:rFonts w:ascii="Times New Roman" w:hAnsi="Times New Roman" w:cs="Times New Roman"/>
        </w:rPr>
        <w:t>哔哩哔哩平台对UP主的激励体系包含多个层次，涵盖货币激励与非货币激励两大类型。</w:t>
      </w:r>
    </w:p>
    <w:p w14:paraId="1FCDDE71">
      <w:pPr>
        <w:spacing w:line="288" w:lineRule="auto"/>
        <w:ind w:firstLine="482"/>
        <w:rPr>
          <w:rFonts w:ascii="Times New Roman" w:hAnsi="Times New Roman" w:cs="Times New Roman"/>
        </w:rPr>
      </w:pPr>
      <w:r>
        <w:rPr>
          <w:rFonts w:ascii="Times New Roman" w:hAnsi="Times New Roman" w:cs="Times New Roman"/>
        </w:rPr>
        <w:t>在货币激励方面，平台激励主要通过“bilibili创作激励计划”实现。该计划于2018年1月正式推出，根据视频播放量、点赞、投币、收藏等互动数据对视频流量价值进行综合评估，并按照规则给予UP主现金奖励。2024年，哔哩哔哩对该计划进行了重大调整，将激励重点从关注播放量转向综合商业化能力，推出了面向10万粉以下且商业化尚不成熟UP主的月度爆款小目标机制，要求UP主在任务周期内达到特定的播放量和投币量方可获得激励</w:t>
      </w:r>
      <w:r>
        <w:rPr>
          <w:rStyle w:val="24"/>
          <w:rFonts w:ascii="Times New Roman" w:hAnsi="Times New Roman" w:cs="Times New Roman"/>
        </w:rPr>
        <w:footnoteReference w:id="8"/>
      </w:r>
      <w:r>
        <w:rPr>
          <w:rFonts w:ascii="Times New Roman" w:hAnsi="Times New Roman" w:cs="Times New Roman"/>
        </w:rPr>
        <w:t>。除基础激励计划外，花火商单平台、悬赏带货、直播打赏等也构成了UP主货币收益的重要来源，2024年“花火”和直播带货分别带动UP主收入增长33%和68%</w:t>
      </w:r>
      <w:r>
        <w:rPr>
          <w:rFonts w:ascii="Times New Roman" w:hAnsi="Times New Roman" w:cs="Times New Roman"/>
          <w:vertAlign w:val="superscript"/>
        </w:rPr>
        <w:t>5</w:t>
      </w:r>
      <w:r>
        <w:rPr>
          <w:rFonts w:ascii="Times New Roman" w:hAnsi="Times New Roman" w:cs="Times New Roman"/>
        </w:rPr>
        <w:t>。</w:t>
      </w:r>
    </w:p>
    <w:p w14:paraId="6209643E">
      <w:pPr>
        <w:spacing w:line="288" w:lineRule="auto"/>
        <w:ind w:firstLine="482"/>
        <w:rPr>
          <w:rFonts w:ascii="Times New Roman" w:hAnsi="Times New Roman" w:cs="Times New Roman"/>
        </w:rPr>
      </w:pPr>
      <w:r>
        <w:rPr>
          <w:rFonts w:ascii="Times New Roman" w:hAnsi="Times New Roman" w:cs="Times New Roman"/>
        </w:rPr>
        <w:t>在非货币激励方面，哔哩哔哩通过多种机制为创作者提供精神层面的激励。观众发送的弹幕、评论、点赞以及“一键三连”等互动行为，构成了对UP主的即时正向反馈；平台设置的UP主勋章及认证体系，则通过成就标识强化UP主的身份认同与创作动力；粉丝数量增长、视频登上热门推荐等，也提供了重要的社会认可激励。朱梦蝶（2021）在研究B站用户自我披露行为时发现，社区的归属感和被认可的需求是驱动用户持续参与的核心非货币激励因素。帅杰（2021）的研究则表明，在数字内容市场中，流量信号与质量激励之间存在复杂的互动关系，高流量本身也构成一种非货币性的社会证明激励。</w:t>
      </w:r>
    </w:p>
    <w:p w14:paraId="6B27FA4F">
      <w:pPr>
        <w:spacing w:line="288" w:lineRule="auto"/>
        <w:ind w:firstLine="482"/>
        <w:rPr>
          <w:rFonts w:ascii="Times New Roman" w:hAnsi="Times New Roman" w:cs="Times New Roman"/>
        </w:rPr>
      </w:pPr>
      <w:r>
        <w:rPr>
          <w:rFonts w:ascii="Times New Roman" w:hAnsi="Times New Roman" w:cs="Times New Roman"/>
        </w:rPr>
        <w:t>需要指出的是，哔哩哔哩的投币机制在激励功能上具有独特性：观众投币本身并不直接形成UP主的货币收入（投币属于平台生态内的虚拟积分系统，而非直接打赏），但投币数据被纳入平台创作激励的评估指标，从而间接影响UP主的货币收益。更为重要的是，投币行为作为一种明确的“认可信号”，对UP主的创作积极性和内容打磨意愿产生显著的非货币激励效应。这种兼具货币信号与精神激励双重属性的特征，使得投币激励成为研究UGC激励机制的独特切入点。</w:t>
      </w:r>
    </w:p>
    <w:p w14:paraId="6A920109">
      <w:pPr>
        <w:spacing w:before="200" w:after="100"/>
        <w:outlineLvl w:val="2"/>
        <w:rPr>
          <w:rFonts w:ascii="Times New Roman" w:hAnsi="Times New Roman" w:cs="Times New Roman"/>
        </w:rPr>
      </w:pPr>
      <w:bookmarkStart w:id="26" w:name="_Toc32291"/>
      <w:r>
        <w:rPr>
          <w:rFonts w:ascii="Times New Roman" w:hAnsi="Times New Roman" w:eastAsia="黑体" w:cs="Times New Roman"/>
          <w:b/>
          <w:bCs/>
        </w:rPr>
        <w:t>2.1.5  哔哩哔哩的UP主生态</w:t>
      </w:r>
      <w:bookmarkEnd w:id="26"/>
    </w:p>
    <w:p w14:paraId="6D8A5540">
      <w:pPr>
        <w:spacing w:line="288" w:lineRule="auto"/>
        <w:ind w:firstLine="482"/>
        <w:rPr>
          <w:rFonts w:ascii="Times New Roman" w:hAnsi="Times New Roman" w:cs="Times New Roman"/>
        </w:rPr>
      </w:pPr>
      <w:r>
        <w:rPr>
          <w:rFonts w:ascii="Times New Roman" w:hAnsi="Times New Roman" w:cs="Times New Roman"/>
        </w:rPr>
        <w:t>UP主（User Producer，内容上传者）是哔哩哔哩平台内容生产的核心主体，也是平台PUGV（Professional User Generated Video，专业用户生成视频）生态的基石。根据2024年数据，B站投稿超过5年的创作者人数超过200万，2024年“百大UP主”中近九成持续更新超过5年，粉丝数超过10万的UP主数量同比增加近30%</w:t>
      </w:r>
      <w:r>
        <w:rPr>
          <w:rStyle w:val="24"/>
          <w:rFonts w:ascii="Times New Roman" w:hAnsi="Times New Roman" w:cs="Times New Roman"/>
        </w:rPr>
        <w:footnoteReference w:id="9"/>
      </w:r>
      <w:r>
        <w:rPr>
          <w:rFonts w:ascii="Times New Roman" w:hAnsi="Times New Roman" w:cs="Times New Roman"/>
        </w:rPr>
        <w:t>。</w:t>
      </w:r>
    </w:p>
    <w:p w14:paraId="71925F2E">
      <w:pPr>
        <w:spacing w:line="288" w:lineRule="auto"/>
        <w:ind w:firstLine="482"/>
        <w:rPr>
          <w:rFonts w:ascii="Times New Roman" w:hAnsi="Times New Roman" w:cs="Times New Roman"/>
        </w:rPr>
      </w:pPr>
      <w:r>
        <w:rPr>
          <w:rFonts w:ascii="Times New Roman" w:hAnsi="Times New Roman" w:cs="Times New Roman"/>
        </w:rPr>
        <w:t>从UP主的内部分层来看，可以依据粉丝规模和商业化成熟度将UP主划分为头部（百万粉以上）、腰部（十万至百万粉）、尾部（万粉以下）三个层级。不同层级的UP主在激励响应、内容更新频率和变现渠道上存在显著差异（刘俊仙，2021）。头部UP主的主要收入来源是花火商单广告，其创作激励对平台补贴的依赖度较低；而腰尾部UP主由于商业化能力有限，平台激励计划对其创作决策的影响更为直接和显著。从激励机制角度来看，这种异质性意味着投币激励对不同层级UP主可能产生不同的效应强度，这也是本研究将创作者层级作为调节变量的理论基础之一。</w:t>
      </w:r>
    </w:p>
    <w:p w14:paraId="5F2716D8">
      <w:pPr>
        <w:spacing w:line="288" w:lineRule="auto"/>
        <w:ind w:firstLine="482"/>
        <w:rPr>
          <w:rFonts w:ascii="Times New Roman" w:hAnsi="Times New Roman" w:cs="Times New Roman"/>
        </w:rPr>
      </w:pPr>
      <w:r>
        <w:rPr>
          <w:rFonts w:ascii="Times New Roman" w:hAnsi="Times New Roman" w:cs="Times New Roman"/>
        </w:rPr>
        <w:t>从内容更新模式来看，知识区UP主的内容打磨周期通常长于娱乐区。金梦瑶（2023）对数智时代科普短视频创作者进行了深入研究，发现知识类创作者普遍面临创作质量与更新频率之间的两难困境——高质量内容的生产需要充分的准备时间，但算法驱动的流量分配机制对更新频率也有较高要求，二者之间的张力构成了知识型UP主特有的“角色困境”。在这一背景下，来自观众的投币激励作为一种明确的正向反馈信号，有可能通过影响UP主的创作意愿和打磨投入来调节这一张力，这也是本研究探讨投币激励与内容打磨周期关系的问题来源。</w:t>
      </w:r>
    </w:p>
    <w:p w14:paraId="074D49D2">
      <w:pPr>
        <w:spacing w:before="300" w:after="150"/>
        <w:outlineLvl w:val="1"/>
        <w:rPr>
          <w:rFonts w:ascii="Times New Roman" w:hAnsi="Times New Roman" w:eastAsia="黑体" w:cs="Times New Roman"/>
          <w:b/>
          <w:bCs/>
          <w:sz w:val="28"/>
          <w:szCs w:val="28"/>
        </w:rPr>
      </w:pPr>
      <w:bookmarkStart w:id="27" w:name="_Toc24246"/>
      <w:r>
        <w:rPr>
          <w:rFonts w:ascii="Times New Roman" w:hAnsi="Times New Roman" w:eastAsia="黑体" w:cs="Times New Roman"/>
          <w:b/>
          <w:bCs/>
          <w:sz w:val="28"/>
          <w:szCs w:val="28"/>
        </w:rPr>
        <w:t>2.2  用户生成内容</w:t>
      </w:r>
      <w:bookmarkEnd w:id="27"/>
    </w:p>
    <w:p w14:paraId="04E2D889">
      <w:pPr>
        <w:spacing w:line="288" w:lineRule="auto"/>
        <w:ind w:firstLine="482"/>
        <w:rPr>
          <w:rFonts w:ascii="Times New Roman" w:hAnsi="Times New Roman" w:eastAsia="黑体" w:cs="Times New Roman"/>
          <w:b/>
          <w:bCs/>
          <w:sz w:val="28"/>
          <w:szCs w:val="28"/>
        </w:rPr>
      </w:pPr>
      <w:r>
        <w:rPr>
          <w:rFonts w:ascii="Times New Roman" w:hAnsi="Times New Roman" w:cs="Times New Roman"/>
        </w:rPr>
        <w:t>容随着Web 2.0时代的到来以及移动互联网的快速普及，用户生成内容（User Generated Content，UGC）成为数字媒体生态中最为重要的内容生产形式。对于知识类视频平台而言，UP主所创作的知识类视频是一种典型的专业用户生成内容（PUGV）。本节对用户生成内容的相关概念、知识类UGC的特征与分类，以及UGC质量的内涵与测量方式进行系统回顾。研究回顾了UGC研究的核心概念和基础理论模型，以及UGC质量评价体系的发展演进，为本文的内容质量指标构建提供理论依据。</w:t>
      </w:r>
    </w:p>
    <w:p w14:paraId="13D72AF3">
      <w:pPr>
        <w:spacing w:before="200" w:after="100"/>
        <w:outlineLvl w:val="2"/>
        <w:rPr>
          <w:rFonts w:ascii="Times New Roman" w:hAnsi="Times New Roman" w:cs="Times New Roman"/>
        </w:rPr>
      </w:pPr>
      <w:bookmarkStart w:id="28" w:name="_Toc4379"/>
      <w:r>
        <w:rPr>
          <w:rFonts w:ascii="Times New Roman" w:hAnsi="Times New Roman" w:eastAsia="黑体" w:cs="Times New Roman"/>
          <w:b/>
          <w:bCs/>
        </w:rPr>
        <w:t>2.2.1  用户生成内容的概念界定</w:t>
      </w:r>
      <w:bookmarkEnd w:id="28"/>
    </w:p>
    <w:p w14:paraId="4AACC86D">
      <w:pPr>
        <w:spacing w:line="288" w:lineRule="auto"/>
        <w:ind w:firstLine="482"/>
        <w:rPr>
          <w:rFonts w:ascii="Times New Roman" w:hAnsi="Times New Roman" w:cs="Times New Roman"/>
        </w:rPr>
      </w:pPr>
      <w:r>
        <w:rPr>
          <w:rFonts w:ascii="Times New Roman" w:hAnsi="Times New Roman" w:cs="Times New Roman"/>
        </w:rPr>
        <w:t>用户生成内容（UGC）的概念随互联网及Web 2.0的兴起而出现。2007年，OECD（经济合作与发展组织）发布了题为“Participative Web and User-Created Content: Web 2.0, Wikis and Social Networking”的报告，系统总结了用户生成内容的三大核心特征：内容公开可及而非私密、原创自制而非转载搬运、由普通用户产生而非专业机构生产（赵宇翔等，2012）。在此基础上，学界逐渐形成了对UGC的主流定义：用户生成内容是指在互联网环境中，每一位普通用户自愿自主地创作并发布的原创性内容，其表现形式涵盖文本型、音频型、视频型、图片型等多种媒体形态。</w:t>
      </w:r>
    </w:p>
    <w:p w14:paraId="08FAF56F">
      <w:pPr>
        <w:spacing w:line="288" w:lineRule="auto"/>
        <w:ind w:firstLine="482"/>
        <w:rPr>
          <w:rFonts w:ascii="Times New Roman" w:hAnsi="Times New Roman" w:cs="Times New Roman"/>
        </w:rPr>
      </w:pPr>
      <w:r>
        <w:rPr>
          <w:rFonts w:ascii="Times New Roman" w:hAnsi="Times New Roman" w:cs="Times New Roman"/>
        </w:rPr>
        <w:t>赵宇翔等（2012）基于类型理论对用户生成内容进行了更为精细的概念界定，将UGC的用户类型区分为个体、组织和社会群体三类，将UGC的生产模式区分为独立式、累积式、竞争式和协作式四种形态。这一分类框架有助于理解哔哩哔哩知识区中不同创作模式的UP主行为差异。秦芬等（2018）在梳理UGC激励机制的综述文献中指出，UGC生产动机可从外部社会驱动、当下技术驱动、内部个体驱动三个维度进行解析，这与本研究将投币激励视为外部动机、将创作热情视为内部动机的分析框架高度契合。</w:t>
      </w:r>
    </w:p>
    <w:p w14:paraId="5B450BDC">
      <w:pPr>
        <w:spacing w:line="288" w:lineRule="auto"/>
        <w:ind w:firstLine="482"/>
        <w:rPr>
          <w:rFonts w:ascii="Times New Roman" w:hAnsi="Times New Roman" w:cs="Times New Roman"/>
        </w:rPr>
      </w:pPr>
      <w:r>
        <w:rPr>
          <w:rFonts w:ascii="Times New Roman" w:hAnsi="Times New Roman" w:cs="Times New Roman"/>
        </w:rPr>
        <w:t>就哔哩哔哩知识区的UGC而言，其内容生产者（UP主）具有典型的“半专业”特征——相比普通意义上的UGC创作者，知识区UP主通常具备特定领域的专业知识背景，其内容生产流程更接近于专业媒体内容的制作规范，包括资料调研、脚本策划、录制拍摄、后期剪辑等环节。因此，李轩（2020）将哔哩哔哩内容生产模式界定为“PUGV”（专业用户生成视频），以区别于一般意义上的UGC，强调了其在专业程度上的提升。本研究将在此框架下，聚焦于知识类PUGV的质量生产机制。</w:t>
      </w:r>
    </w:p>
    <w:p w14:paraId="1F0EA5FD">
      <w:pPr>
        <w:spacing w:before="200" w:after="100"/>
        <w:outlineLvl w:val="2"/>
        <w:rPr>
          <w:rFonts w:ascii="Times New Roman" w:hAnsi="Times New Roman" w:cs="Times New Roman"/>
        </w:rPr>
      </w:pPr>
      <w:bookmarkStart w:id="29" w:name="_Toc16763"/>
      <w:r>
        <w:rPr>
          <w:rFonts w:ascii="Times New Roman" w:hAnsi="Times New Roman" w:eastAsia="黑体" w:cs="Times New Roman"/>
          <w:b/>
          <w:bCs/>
        </w:rPr>
        <w:t>2.2.2  知识类UGC的特点与分类</w:t>
      </w:r>
      <w:bookmarkEnd w:id="29"/>
    </w:p>
    <w:p w14:paraId="35CDFDFC">
      <w:pPr>
        <w:spacing w:line="288" w:lineRule="auto"/>
        <w:ind w:firstLine="482"/>
        <w:rPr>
          <w:rFonts w:ascii="Times New Roman" w:hAnsi="Times New Roman" w:cs="Times New Roman"/>
        </w:rPr>
      </w:pPr>
      <w:r>
        <w:rPr>
          <w:rFonts w:ascii="Times New Roman" w:hAnsi="Times New Roman" w:cs="Times New Roman"/>
        </w:rPr>
        <w:t>知识类用户生成内容是指创作者在知识积累与学习素养基础上，以普及知识、分享经验、解析问题为核心目标创作的UGC内容。与娱乐类UGC相比，知识类UGC具有以下显著特征。</w:t>
      </w:r>
    </w:p>
    <w:p w14:paraId="2A75BD63">
      <w:pPr>
        <w:spacing w:line="288" w:lineRule="auto"/>
        <w:ind w:firstLine="482"/>
        <w:rPr>
          <w:rFonts w:ascii="Times New Roman" w:hAnsi="Times New Roman" w:cs="Times New Roman"/>
        </w:rPr>
      </w:pPr>
      <w:r>
        <w:rPr>
          <w:rFonts w:ascii="Times New Roman" w:hAnsi="Times New Roman" w:cs="Times New Roman"/>
        </w:rPr>
        <w:t>首先，从内容属性来看，知识类UGC以信息价值而非情感娱乐价值为核心，其质量评价标准侧重于准确性、深度性、逻辑性和实用性（颜成钢等，2021）。颜成钢等（2021）在全媒体内容质量评价研究中指出，知识类内容的质量评估需要综合考量内容本体的专业性、来源的权威性以及表达的清晰度等多个维度，单一的流量指标难以全面反映知识内容的真实价值。</w:t>
      </w:r>
    </w:p>
    <w:p w14:paraId="0E4BC73B">
      <w:pPr>
        <w:spacing w:line="288" w:lineRule="auto"/>
        <w:ind w:firstLine="482"/>
        <w:rPr>
          <w:rFonts w:ascii="Times New Roman" w:hAnsi="Times New Roman" w:cs="Times New Roman"/>
        </w:rPr>
      </w:pPr>
      <w:r>
        <w:rPr>
          <w:rFonts w:ascii="Times New Roman" w:hAnsi="Times New Roman" w:cs="Times New Roman"/>
        </w:rPr>
        <w:t>其次，从创作过程来看，知识类视频的制作周期显著长于娱乐类视频。科普类UP主通常需要花费数天乃至数周进行资料核实、知识梳理和脚本打磨，而一个十分钟的历史类或科学类视频背后往往有数十小时的准备工作（金梦瑶，2023）。这种高投入特性使得投币激励对知识类UP主的边际激励效应更为显著——当创作者意识到观众愿意付出宝贵的硬币资源来认可自己的劳动，往往会产生更强的继续深耕的内在动力。</w:t>
      </w:r>
    </w:p>
    <w:p w14:paraId="7D08BACD">
      <w:pPr>
        <w:spacing w:line="288" w:lineRule="auto"/>
        <w:ind w:firstLine="482"/>
        <w:rPr>
          <w:rFonts w:ascii="Times New Roman" w:hAnsi="Times New Roman" w:cs="Times New Roman"/>
        </w:rPr>
      </w:pPr>
      <w:r>
        <w:rPr>
          <w:rFonts w:ascii="Times New Roman" w:hAnsi="Times New Roman" w:cs="Times New Roman"/>
        </w:rPr>
        <w:t>第三，从受众互动模式来看，知识类UGC的用户群体具有更高的认知参与度和互动深度。社交媒体环境下学术型用户生成内容质量评估研究（李蕾，2020）表明，知识社区的用户在内容消费过程中具有更为明确的学习目的，其评论行为更多体现为知识探讨、问题补充和经验分享，而非情感宣泄或娱乐互动，这使得知识区的评论互动深度成为衡量内容质量的有效代理指标。</w:t>
      </w:r>
    </w:p>
    <w:p w14:paraId="44E9E89F">
      <w:pPr>
        <w:spacing w:line="288" w:lineRule="auto"/>
        <w:ind w:firstLine="482"/>
        <w:rPr>
          <w:rFonts w:ascii="Times New Roman" w:hAnsi="Times New Roman" w:cs="Times New Roman"/>
        </w:rPr>
      </w:pPr>
      <w:r>
        <w:rPr>
          <w:rFonts w:ascii="Times New Roman" w:hAnsi="Times New Roman" w:cs="Times New Roman"/>
        </w:rPr>
        <w:t>从知识类UGC的分类来看，在哔哩哔哩平台内，知识分区主要涵盖科学科普（自然科学、社会科学、应用科学等）、社会人文（历史、文化、哲学等）、野生技术协会（软件教程、手工制作、技能分享等）、读书（书评、读书笔记、文学分析等）、职业职场（职场技能、行业见解等）和校园学习（考试备考、学科辅导等）六大子分区。不同子分区的内容特性、目标受众和互动模式各有差异，但都共享知识类内容的核心属性——以传递知识价值为核心目标。</w:t>
      </w:r>
    </w:p>
    <w:p w14:paraId="43E3EB35">
      <w:pPr>
        <w:spacing w:before="200" w:after="100"/>
        <w:outlineLvl w:val="2"/>
        <w:rPr>
          <w:rFonts w:ascii="Times New Roman" w:hAnsi="Times New Roman" w:cs="Times New Roman"/>
        </w:rPr>
      </w:pPr>
      <w:bookmarkStart w:id="30" w:name="_Toc19934"/>
      <w:r>
        <w:rPr>
          <w:rFonts w:ascii="Times New Roman" w:hAnsi="Times New Roman" w:eastAsia="黑体" w:cs="Times New Roman"/>
          <w:b/>
          <w:bCs/>
        </w:rPr>
        <w:t>2.2.3  UGC质量的内涵与测量</w:t>
      </w:r>
      <w:bookmarkEnd w:id="30"/>
    </w:p>
    <w:p w14:paraId="078A1339">
      <w:pPr>
        <w:spacing w:line="288" w:lineRule="auto"/>
        <w:ind w:firstLine="482"/>
        <w:rPr>
          <w:rFonts w:ascii="Times New Roman" w:hAnsi="Times New Roman" w:cs="Times New Roman"/>
        </w:rPr>
      </w:pPr>
      <w:r>
        <w:rPr>
          <w:rFonts w:ascii="Times New Roman" w:hAnsi="Times New Roman" w:cs="Times New Roman"/>
        </w:rPr>
        <w:t>用户生成内容的质量问题是学界关注的重要议题。由于UGC生产门槛较低、创作者水平参差不齐，内容质量的良莠不齐成为UGC平台的核心挑战（秦芬等，2018）。围绕UGC质量的研究主要从影响因素分析和质量评价体系构建两个维度展开。</w:t>
      </w:r>
    </w:p>
    <w:p w14:paraId="7C38FAC7">
      <w:pPr>
        <w:spacing w:line="288" w:lineRule="auto"/>
        <w:ind w:firstLine="482"/>
        <w:rPr>
          <w:rFonts w:ascii="Times New Roman" w:hAnsi="Times New Roman" w:cs="Times New Roman"/>
        </w:rPr>
      </w:pPr>
      <w:r>
        <w:rPr>
          <w:rFonts w:ascii="Times New Roman" w:hAnsi="Times New Roman" w:cs="Times New Roman"/>
        </w:rPr>
        <w:t>在质量评价体系方面，现有研究提出了多种框架。孙晓宁等（2015）在对社会化问答系统的研究中构建了包含内容质量、情境质量、来源质量和情感质量四项指标的SQA-IQ5评价框架，这一框架已被广泛应用于UGC质量评估研究。内容质量反映信息本身的准确性、客观性和完整性；情境质量反映信息与用户需求的契合程度；来源质量反映创作者的专业性和可信度；情感质量反映创作者的表达方式和互动态度。颜成钢等（2021）则基于全媒体视角，从内容维度和渠道维度对UGC质量评估进行了扩展性研究，强调在视频类内容中应当综合考量视听呈现质量、信息深度和互动质量等多个层面。</w:t>
      </w:r>
    </w:p>
    <w:p w14:paraId="4FE2D163">
      <w:pPr>
        <w:spacing w:line="288" w:lineRule="auto"/>
        <w:ind w:firstLine="482"/>
        <w:rPr>
          <w:rFonts w:ascii="Times New Roman" w:hAnsi="Times New Roman" w:cs="Times New Roman"/>
        </w:rPr>
      </w:pPr>
      <w:r>
        <w:rPr>
          <w:rFonts w:ascii="Times New Roman" w:hAnsi="Times New Roman" w:cs="Times New Roman"/>
        </w:rPr>
        <w:t>在量化测量方面，以哔哩哔哩平台数据为基础的研究通常采用多维度指标合成的方式来代理内容质量。赵宇翔等（2010）较早提出了基于用户行为数据（播放量、点赞、收藏、投币、转发等）构建UGC视频内容质量测评框架的思路，认为观众的主动反馈行为是内容质量的有效代理指标。帅杰（2021）在研究数字经济下内容市场的质量激励问题时，验证了内容平台中流量数据与用户深度互动数据（如评论、收藏、投币）在衡量内容质量方面具有不同的信息含量，其中深度互动指标对内容的真实质量具有更强的预测效度。</w:t>
      </w:r>
    </w:p>
    <w:p w14:paraId="3C7C5E4B">
      <w:pPr>
        <w:spacing w:line="288" w:lineRule="auto"/>
        <w:ind w:firstLine="482"/>
        <w:rPr>
          <w:rFonts w:ascii="Times New Roman" w:hAnsi="Times New Roman" w:cs="Times New Roman"/>
        </w:rPr>
      </w:pPr>
      <w:r>
        <w:rPr>
          <w:rFonts w:ascii="Times New Roman" w:hAnsi="Times New Roman" w:cs="Times New Roman"/>
        </w:rPr>
        <w:t>在本研究中，我们将</w:t>
      </w:r>
      <w:r>
        <w:rPr>
          <w:rFonts w:ascii="Times New Roman" w:hAnsi="Times New Roman" w:cs="Times New Roman"/>
          <w:b/>
          <w:color w:val="FF0000"/>
        </w:rPr>
        <w:t>内容质量指数（CQI）</w:t>
      </w:r>
      <w:r>
        <w:rPr>
          <w:rFonts w:ascii="Times New Roman" w:hAnsi="Times New Roman" w:cs="Times New Roman"/>
        </w:rPr>
        <w:t>定义为以</w:t>
      </w:r>
      <w:commentRangeStart w:id="0"/>
      <w:r>
        <w:rPr>
          <w:rFonts w:ascii="Times New Roman" w:hAnsi="Times New Roman" w:cs="Times New Roman"/>
          <w:highlight w:val="lightGray"/>
        </w:rPr>
        <w:t>弹幕情感得分和币播比（投币量/播放量）为核心维度，通过CRITIC客观赋权法合成的综合质量指标。弹幕情感得分反映了观众在内容消费过程中的即时情感评价，体现了内容的感知价值；币播比则捕捉了投币这一高成本行为在播放量基础上的比例，反映了内容获得深度认可的程度。</w:t>
      </w:r>
      <w:commentRangeEnd w:id="0"/>
      <w:r>
        <w:rPr>
          <w:rStyle w:val="23"/>
        </w:rPr>
        <w:commentReference w:id="0"/>
      </w:r>
      <w:r>
        <w:rPr>
          <w:rFonts w:ascii="Times New Roman" w:hAnsi="Times New Roman" w:cs="Times New Roman"/>
        </w:rPr>
        <w:t>这一测量方案在借鉴现有文献量化思路的基础上，充分利用了哔哩哔哩特有的交互数据特征。</w:t>
      </w:r>
    </w:p>
    <w:p w14:paraId="225100A6">
      <w:pPr>
        <w:spacing w:before="200" w:after="100"/>
        <w:outlineLvl w:val="2"/>
        <w:rPr>
          <w:rFonts w:ascii="Times New Roman" w:hAnsi="Times New Roman" w:cs="Times New Roman"/>
        </w:rPr>
      </w:pPr>
      <w:bookmarkStart w:id="31" w:name="_Toc13216"/>
      <w:commentRangeStart w:id="1"/>
      <w:r>
        <w:rPr>
          <w:rFonts w:ascii="Times New Roman" w:hAnsi="Times New Roman" w:eastAsia="黑体" w:cs="Times New Roman"/>
          <w:b/>
          <w:bCs/>
        </w:rPr>
        <w:t>2.2.3  UGC质量的影响因素</w:t>
      </w:r>
      <w:commentRangeEnd w:id="1"/>
      <w:bookmarkEnd w:id="31"/>
      <w:r>
        <w:rPr>
          <w:rStyle w:val="23"/>
        </w:rPr>
        <w:commentReference w:id="1"/>
      </w:r>
    </w:p>
    <w:p w14:paraId="08C6D1E2">
      <w:pPr>
        <w:spacing w:line="288" w:lineRule="auto"/>
        <w:ind w:firstLine="482"/>
        <w:rPr>
          <w:rFonts w:ascii="Times New Roman" w:hAnsi="Times New Roman" w:cs="Times New Roman"/>
        </w:rPr>
      </w:pPr>
      <w:r>
        <w:rPr>
          <w:rFonts w:ascii="Times New Roman" w:hAnsi="Times New Roman" w:cs="Times New Roman"/>
        </w:rPr>
        <w:t>用户生成内容质量的影响因素是一个多层次的研究议题，涉及创作者个体特征、内容生产过程、受众互动反馈和平台激励机制等多个维度。</w:t>
      </w:r>
    </w:p>
    <w:p w14:paraId="6F231860">
      <w:pPr>
        <w:spacing w:line="288" w:lineRule="auto"/>
        <w:ind w:firstLine="482"/>
        <w:rPr>
          <w:rFonts w:ascii="Times New Roman" w:hAnsi="Times New Roman" w:cs="Times New Roman"/>
        </w:rPr>
      </w:pPr>
      <w:r>
        <w:rPr>
          <w:rFonts w:ascii="Times New Roman" w:hAnsi="Times New Roman" w:cs="Times New Roman"/>
        </w:rPr>
        <w:t>从创作者个体特征来看，在线知识社区贡献者身份对内容质量具有显著影响（张薇薇等，2020）。张薇薇等（2020）研究发现，经过平台认证的身份标识能够显著提升创作者的内容质量水平，认证身份所带来的社会责任感和声誉压力会促进创作者对内容质量的自我要求。此外，创作者的专业背景和领域经验也是知识类UGC质量的重要决定因素，具有专业背景的UP主在知识准确性和内容深度上通常表现更优。</w:t>
      </w:r>
    </w:p>
    <w:p w14:paraId="29D6B986">
      <w:pPr>
        <w:spacing w:line="288" w:lineRule="auto"/>
        <w:ind w:firstLine="482"/>
        <w:rPr>
          <w:rFonts w:ascii="Times New Roman" w:hAnsi="Times New Roman" w:cs="Times New Roman"/>
        </w:rPr>
      </w:pPr>
      <w:r>
        <w:rPr>
          <w:rFonts w:ascii="Times New Roman" w:hAnsi="Times New Roman" w:cs="Times New Roman"/>
        </w:rPr>
        <w:t>从内容生产过程来看，创作周期和投入强度是影响UGC质量的关键过程变量。本研究将“内容打磨周期”（以相邻视频发布间隔的对数值ln_interval代理）作为投币激励与内容质量之间的中介变量之一，反映了创作者在时间资源上的投入程度。相关研究表明，内容质量与创作者的资源投入之间存在显著的正向关系——当创作者拥有更充裕的准备时间时，往往能够产出更为深入、准确和具有教育价值的知识内容（金梦瑶，2023；胡佳琦，2022）。</w:t>
      </w:r>
    </w:p>
    <w:p w14:paraId="1494AB75">
      <w:pPr>
        <w:spacing w:line="288" w:lineRule="auto"/>
        <w:ind w:firstLine="482"/>
        <w:rPr>
          <w:rFonts w:ascii="Times New Roman" w:hAnsi="Times New Roman" w:cs="Times New Roman"/>
        </w:rPr>
      </w:pPr>
      <w:r>
        <w:rPr>
          <w:rFonts w:ascii="Times New Roman" w:hAnsi="Times New Roman" w:cs="Times New Roman"/>
        </w:rPr>
        <w:t>从受众互动反馈来看，用户评论行为对UGC质量的形成具有双重作用：一方面，高质量的用户评论可以为创作者提供有价值的改进建议，通过“价值共创”机制帮助创作者迭代优化内容质量（王璇，2021）；另一方面，受众的评论互动深度本身也是内容质量信号的重要载体，深度评论往往表明内容引发了受众的深层思考，体现了内容的知识价值（李蕾，2020）。本研究将评论互动深度（以评论数量的对数值ln_comment代理）作为第二个中介变量，正是基于这种“评论互动作为内容质量催化剂”的理论逻辑。</w:t>
      </w:r>
    </w:p>
    <w:p w14:paraId="54BD9EF8">
      <w:pPr>
        <w:spacing w:line="288" w:lineRule="auto"/>
        <w:ind w:firstLine="482"/>
        <w:rPr>
          <w:rFonts w:ascii="Times New Roman" w:hAnsi="Times New Roman" w:cs="Times New Roman"/>
        </w:rPr>
      </w:pPr>
      <w:r>
        <w:rPr>
          <w:rFonts w:ascii="Times New Roman" w:hAnsi="Times New Roman" w:cs="Times New Roman"/>
        </w:rPr>
        <w:t>从平台激励机制来看，UGC质量激励的核心问题是如何通过有效的激励设计引导创作者持续产出高质量内容。秦芬等（2018）在综述UGC激励机制研究时指出，激励机制对UGC质量的影响可以通过多条路径实现：直接的货币激励影响创作者的成本收益计算，非货币激励影响创作者的内在动机，而混合激励机制则可能产生替代效应或互补效应。哔哩哔哩的投币机制正是一种独特的混合激励形式，兼具非货币性质的情感认可和货币性质的间接激励功能，其对UGC质量的作用机制有待深入探讨。</w:t>
      </w:r>
    </w:p>
    <w:p w14:paraId="2C8868DE">
      <w:pPr>
        <w:spacing w:before="300" w:after="150"/>
        <w:outlineLvl w:val="1"/>
        <w:rPr>
          <w:rFonts w:ascii="Times New Roman" w:hAnsi="Times New Roman" w:eastAsia="黑体" w:cs="Times New Roman"/>
          <w:b/>
          <w:bCs/>
          <w:sz w:val="28"/>
          <w:szCs w:val="28"/>
        </w:rPr>
      </w:pPr>
      <w:bookmarkStart w:id="32" w:name="_Toc30540"/>
      <w:r>
        <w:rPr>
          <w:rFonts w:ascii="Times New Roman" w:hAnsi="Times New Roman" w:eastAsia="黑体" w:cs="Times New Roman"/>
          <w:b/>
          <w:bCs/>
          <w:sz w:val="28"/>
          <w:szCs w:val="28"/>
        </w:rPr>
        <w:t>2.3  内容创作激励机制</w:t>
      </w:r>
      <w:bookmarkEnd w:id="32"/>
    </w:p>
    <w:p w14:paraId="12F36543">
      <w:pPr>
        <w:spacing w:line="288" w:lineRule="auto"/>
        <w:ind w:firstLine="482"/>
        <w:rPr>
          <w:rFonts w:ascii="Times New Roman" w:hAnsi="Times New Roman" w:cs="Times New Roman"/>
        </w:rPr>
      </w:pPr>
      <w:r>
        <w:rPr>
          <w:rFonts w:ascii="Times New Roman" w:hAnsi="Times New Roman" w:cs="Times New Roman"/>
        </w:rPr>
        <w:t>对于以用户生成内容为核心商业模式的平台而言，如何设计有效的激励机制来吸引创作者生产高质量内容，是平台运营的核心命题（秦芬等，2018）。本节从激励机制的基本概念出发，系统梳理货币激励与非货币激励的差异，深入分析哔哩哔哩投币激励的特征，并回顾激励对内容质量影响的相关研究成果。</w:t>
      </w:r>
    </w:p>
    <w:p w14:paraId="2175E564">
      <w:pPr>
        <w:spacing w:before="200" w:after="100"/>
        <w:outlineLvl w:val="2"/>
        <w:rPr>
          <w:rFonts w:ascii="Times New Roman" w:hAnsi="Times New Roman" w:cs="Times New Roman"/>
        </w:rPr>
      </w:pPr>
      <w:bookmarkStart w:id="33" w:name="_Toc19551"/>
      <w:r>
        <w:rPr>
          <w:rFonts w:ascii="Times New Roman" w:hAnsi="Times New Roman" w:eastAsia="黑体" w:cs="Times New Roman"/>
          <w:b/>
          <w:bCs/>
        </w:rPr>
        <w:t>2.3.1  激励机制的概念与类型</w:t>
      </w:r>
      <w:bookmarkEnd w:id="33"/>
    </w:p>
    <w:p w14:paraId="0054620E">
      <w:pPr>
        <w:spacing w:line="288" w:lineRule="auto"/>
        <w:ind w:firstLine="482"/>
        <w:rPr>
          <w:rFonts w:ascii="Times New Roman" w:hAnsi="Times New Roman" w:cs="Times New Roman"/>
        </w:rPr>
      </w:pPr>
      <w:r>
        <w:rPr>
          <w:rFonts w:ascii="Times New Roman" w:hAnsi="Times New Roman" w:cs="Times New Roman"/>
        </w:rPr>
        <w:t>激励（Incentive）是指能够影响个体行为方向、强度和持续性的外部刺激因素。斯蒂芬·P·罗宾斯（2005）指出，激励是能够让个体向特定工作目标努力的方法。黄国庆（2004）则从组织管理角度出发，认为激励是一种反复的过程，通过影响人们的内在需要，强化或改变人的行为，以激发个体动机并使其实现预设目标。在数字内容平台的语境下，激励机制不仅涉及对创作者的外部刺激，还涉及创作者内在创作热情与平台商业逻辑之间的协调（胡佳琦，2022）。</w:t>
      </w:r>
    </w:p>
    <w:p w14:paraId="58E8A6F7">
      <w:pPr>
        <w:spacing w:line="288" w:lineRule="auto"/>
        <w:ind w:firstLine="482"/>
        <w:rPr>
          <w:rFonts w:ascii="Times New Roman" w:hAnsi="Times New Roman" w:cs="Times New Roman"/>
        </w:rPr>
      </w:pPr>
      <w:r>
        <w:rPr>
          <w:rFonts w:ascii="Times New Roman" w:hAnsi="Times New Roman" w:cs="Times New Roman"/>
        </w:rPr>
        <w:t>按照激励的来源和性质，可以将激励分为货币激励（金钱激励）和非货币激励（非金钱激励）两大类型。货币激励是指以直接货币报酬（如平台补贴、商单收入、打赏分成等）为核心的激励形式；非货币激励则是指以精神层面的认可、社会声誉、身份认同和自我实现感为核心的激励形式，包括点赞、评论、粉丝增长、社区荣誉等（石颖，2021；董姝妍，2020）。刘俊仙（2021）在研究货币激励的效用时发现，货币激励对行为的影响具有显著的边际递减效应，而非货币激励在满足高层次需求（如自我实现、社会认可）方面往往具有货币激励无法替代的独特价值。</w:t>
      </w:r>
    </w:p>
    <w:p w14:paraId="32211B7D">
      <w:pPr>
        <w:spacing w:line="288" w:lineRule="auto"/>
        <w:ind w:firstLine="482"/>
        <w:rPr>
          <w:rFonts w:ascii="Times New Roman" w:hAnsi="Times New Roman" w:cs="Times New Roman"/>
        </w:rPr>
      </w:pPr>
      <w:r>
        <w:rPr>
          <w:rFonts w:ascii="Times New Roman" w:hAnsi="Times New Roman" w:cs="Times New Roman"/>
        </w:rPr>
        <w:t>近年来，学界对于“激励悖论”（Incentive Paradox）问题的关注日益增加。胡佳琦（2022）以自我决定理论为框架，深入研究了社交媒体平台用户生成内容的激励悖论问题，发现过度依赖外部货币激励可能导致创作者内在动机（对内容本身的热情和认同）受到“挤出效应”的影响，反而降低了内容的原创性和质量深度。这一发现对理解哔哩哔哩投币激励的效应具有重要的理论启示：投币激励作为一种兼具情感认可和间接货币信号双重属性的特殊激励形式，其对内在动机的影响路径可能不同于单纯的货币激励。</w:t>
      </w:r>
    </w:p>
    <w:p w14:paraId="5F9A87B0">
      <w:pPr>
        <w:spacing w:before="200" w:after="100"/>
        <w:outlineLvl w:val="2"/>
        <w:rPr>
          <w:rFonts w:ascii="Times New Roman" w:hAnsi="Times New Roman" w:cs="Times New Roman"/>
        </w:rPr>
      </w:pPr>
      <w:bookmarkStart w:id="34" w:name="_Toc12306"/>
      <w:r>
        <w:rPr>
          <w:rFonts w:ascii="Times New Roman" w:hAnsi="Times New Roman" w:eastAsia="黑体" w:cs="Times New Roman"/>
          <w:b/>
          <w:bCs/>
        </w:rPr>
        <w:t>2.3.2  货币激励与非货币激励的差异</w:t>
      </w:r>
      <w:bookmarkEnd w:id="34"/>
    </w:p>
    <w:p w14:paraId="3074FF29">
      <w:pPr>
        <w:spacing w:line="288" w:lineRule="auto"/>
        <w:ind w:firstLine="482"/>
        <w:rPr>
          <w:rFonts w:ascii="Times New Roman" w:hAnsi="Times New Roman" w:cs="Times New Roman"/>
        </w:rPr>
      </w:pPr>
      <w:r>
        <w:rPr>
          <w:rFonts w:ascii="Times New Roman" w:hAnsi="Times New Roman" w:cs="Times New Roman"/>
        </w:rPr>
        <w:t>货币激励与非货币激励在对创作者行为和内容质量影响机制上存在本质性差异。</w:t>
      </w:r>
    </w:p>
    <w:p w14:paraId="1FD37FDA">
      <w:pPr>
        <w:spacing w:line="288" w:lineRule="auto"/>
        <w:ind w:firstLine="482"/>
        <w:rPr>
          <w:rFonts w:ascii="Times New Roman" w:hAnsi="Times New Roman" w:cs="Times New Roman"/>
        </w:rPr>
      </w:pPr>
      <w:r>
        <w:rPr>
          <w:rFonts w:ascii="Times New Roman" w:hAnsi="Times New Roman" w:cs="Times New Roman"/>
        </w:rPr>
        <w:t>在货币激励方面，经典的激励理论认为，货币激励通过影响创作者的成本收益计算来引导行为。Bonner等（2002）对管理会计领域的激励研究进行综述后指出，金钱激励对努力的影响差别很大，单纯的金钱激励往往不能持续提升绩效，其效果取决于任务复杂程度、个人能力等调节因素。在UGC平台的语境下，货币激励直接影响创作者的更新频率，但对内容深度和质量的影响较为间接且复杂——当货币激励与内容质量挂钩时（如基于币播比设计激励），可能促进质量提升；当货币激励仅与播放量挂钩时，则可能诱导创作者牺牲深度以追求流量（秦芬等，2018）。</w:t>
      </w:r>
    </w:p>
    <w:p w14:paraId="18E0FE6C">
      <w:pPr>
        <w:spacing w:line="288" w:lineRule="auto"/>
        <w:ind w:firstLine="482"/>
        <w:rPr>
          <w:rFonts w:ascii="Times New Roman" w:hAnsi="Times New Roman" w:cs="Times New Roman"/>
        </w:rPr>
      </w:pPr>
      <w:r>
        <w:rPr>
          <w:rFonts w:ascii="Times New Roman" w:hAnsi="Times New Roman" w:cs="Times New Roman"/>
        </w:rPr>
        <w:t>在非货币激励方面，石颖（2021）对非薪酬激励机制的研究表明，非货币激励在满足个体高层次需求（马斯洛需求层次中的尊重需求和自我实现需求）方面具有独特优势，且往往比货币激励具有更强的持久性和内化效应。董姝妍（2020）从实践角度总结了非货币激励的多种形式及其效果，指出社会认可、同伴反馈和社区归属感是驱动知识工作者持续高质量产出的重要非货币激励因素，这些因素与哔哩哔哩知识区UP主所获得的观众认可（弹幕、评论、投币）高度吻合。</w:t>
      </w:r>
    </w:p>
    <w:p w14:paraId="3A509D45">
      <w:pPr>
        <w:spacing w:line="288" w:lineRule="auto"/>
        <w:ind w:firstLine="482"/>
        <w:rPr>
          <w:rFonts w:ascii="Times New Roman" w:hAnsi="Times New Roman" w:cs="Times New Roman"/>
        </w:rPr>
      </w:pPr>
      <w:r>
        <w:rPr>
          <w:rFonts w:ascii="Times New Roman" w:hAnsi="Times New Roman" w:cs="Times New Roman"/>
        </w:rPr>
        <w:t>此外，货币激励与非货币激励之间可能存在复杂的交互效应。张志国等（2021）通过一项基于在线健身项目的实证研究，发现货币激励和社交激励（非货币激励）对运动行为的促进作用呈现出互补关系，即当货币激励较强时，社交激励的边际效应相对减弱；而当货币激励较弱时，社交激励对行为的驱动作用则更为突出。这一发现对于理解哔哩哔哩不同规模UP主（头部与尾部）对投币激励的差异化响应具有重要的参考价值。</w:t>
      </w:r>
    </w:p>
    <w:p w14:paraId="60E3C90E">
      <w:pPr>
        <w:spacing w:before="200" w:after="100"/>
        <w:outlineLvl w:val="2"/>
        <w:rPr>
          <w:rFonts w:ascii="Times New Roman" w:hAnsi="Times New Roman" w:cs="Times New Roman"/>
        </w:rPr>
      </w:pPr>
      <w:bookmarkStart w:id="35" w:name="_Toc21160"/>
      <w:r>
        <w:rPr>
          <w:rFonts w:ascii="Times New Roman" w:hAnsi="Times New Roman" w:eastAsia="黑体" w:cs="Times New Roman"/>
          <w:b/>
          <w:bCs/>
        </w:rPr>
        <w:t>2.3.3  投币激励的概念与特征</w:t>
      </w:r>
      <w:bookmarkEnd w:id="35"/>
    </w:p>
    <w:p w14:paraId="717072B7">
      <w:pPr>
        <w:spacing w:line="288" w:lineRule="auto"/>
        <w:ind w:firstLine="482"/>
        <w:rPr>
          <w:rFonts w:ascii="Times New Roman" w:hAnsi="Times New Roman" w:cs="Times New Roman"/>
        </w:rPr>
      </w:pPr>
      <w:r>
        <w:rPr>
          <w:rFonts w:ascii="Times New Roman" w:hAnsi="Times New Roman" w:cs="Times New Roman"/>
        </w:rPr>
        <w:t>哔哩哔哩的投币机制是一种在国内视频平台中具有高度独特性的激励设计，其核心特征可以从三个维度加以解析。</w:t>
      </w:r>
    </w:p>
    <w:p w14:paraId="748B27D8">
      <w:pPr>
        <w:spacing w:line="288" w:lineRule="auto"/>
        <w:ind w:firstLine="482"/>
        <w:rPr>
          <w:rFonts w:ascii="Times New Roman" w:hAnsi="Times New Roman" w:cs="Times New Roman"/>
        </w:rPr>
      </w:pPr>
      <w:r>
        <w:rPr>
          <w:rFonts w:ascii="Times New Roman" w:hAnsi="Times New Roman" w:cs="Times New Roman"/>
        </w:rPr>
        <w:t>第一，稀缺性维度。哔哩哔哩注册用户每日通过日常任务（如登录、观看视频等）可获得有限数量的硬币，每日硬币产出上限固定，且每人对同一原创视频最多可投两枚硬币。这种人为设计的稀缺性使得投币行为具有较高的“成本”——用户在决定投币前必须在不同视频之间进行权衡比较，从而保证了投币数据的信息含量（朱梦蝶，2021）。相比之下，点赞行为零成本且高度普遍，其信息含量远低于投币。</w:t>
      </w:r>
    </w:p>
    <w:p w14:paraId="68D0A2C4">
      <w:pPr>
        <w:spacing w:line="288" w:lineRule="auto"/>
        <w:ind w:firstLine="482"/>
        <w:rPr>
          <w:rFonts w:ascii="Times New Roman" w:hAnsi="Times New Roman" w:cs="Times New Roman"/>
        </w:rPr>
      </w:pPr>
      <w:r>
        <w:rPr>
          <w:rFonts w:ascii="Times New Roman" w:hAnsi="Times New Roman" w:cs="Times New Roman"/>
        </w:rPr>
        <w:t>第二，社会信号维度。投币行为在哔哩哔哩社区中具有明确的社交展示功能——在视频下方公开显示的投币数量是衡量内容认可度的重要社会证明。高投币量的视频更容易获得推荐算法的青睐，进而获得更多曝光机会。这意味着投币不仅是对UP主的个体激励，也是一种影响内容传播的社会信号机制，与信号理论（Spence，1973）的分析框架高度契合。</w:t>
      </w:r>
    </w:p>
    <w:p w14:paraId="2072B37F">
      <w:pPr>
        <w:spacing w:line="288" w:lineRule="auto"/>
        <w:ind w:firstLine="482"/>
        <w:rPr>
          <w:rFonts w:ascii="Times New Roman" w:hAnsi="Times New Roman" w:cs="Times New Roman"/>
        </w:rPr>
      </w:pPr>
      <w:r>
        <w:rPr>
          <w:rFonts w:ascii="Times New Roman" w:hAnsi="Times New Roman" w:cs="Times New Roman"/>
        </w:rPr>
        <w:t>第三，滞后激励维度。与直播打赏的即时性不同，投币激励对UP主后续创作行为的影响具有时间上的滞后性。一期视频获得的投币量往往会在下一期或多期视频发布时影响UP主的创作决策——高投币量提振信心、促进深耕；低投币量则可能导致创作动力下降或内容策略调整（王伟军等，2021）。这种时间滞后性正是本研究将核心自变量设置为“滞后两期投币数对数（L2_ln_coin）”的核心理由，反映了投币激励影响创作行为的动态机制。</w:t>
      </w:r>
    </w:p>
    <w:p w14:paraId="17835A42">
      <w:pPr>
        <w:spacing w:line="288" w:lineRule="auto"/>
        <w:ind w:firstLine="482"/>
        <w:rPr>
          <w:rFonts w:ascii="Times New Roman" w:hAnsi="Times New Roman" w:cs="Times New Roman"/>
        </w:rPr>
      </w:pPr>
      <w:r>
        <w:rPr>
          <w:rFonts w:ascii="Times New Roman" w:hAnsi="Times New Roman" w:cs="Times New Roman"/>
        </w:rPr>
        <w:t>从实证数据来看，知识区UP主对投币行为的重视程度显著高于其他分区。在科普、历史、计算机等知识类分区中，UP主通常将“一键三连”（其中包括投币）视为观众认可视频的标志性行动，并在视频结尾明确引导用户投币，将其视为继续深度创作的动力来源。这种行为模式本身就揭示了投币激励对创作者心理的独特激励功能。</w:t>
      </w:r>
    </w:p>
    <w:p w14:paraId="202BE8E7">
      <w:pPr>
        <w:spacing w:before="200" w:after="100"/>
        <w:outlineLvl w:val="2"/>
        <w:rPr>
          <w:rFonts w:ascii="Times New Roman" w:hAnsi="Times New Roman" w:cs="Times New Roman"/>
        </w:rPr>
      </w:pPr>
      <w:bookmarkStart w:id="36" w:name="_Toc24198"/>
      <w:r>
        <w:rPr>
          <w:rFonts w:ascii="Times New Roman" w:hAnsi="Times New Roman" w:eastAsia="黑体" w:cs="Times New Roman"/>
          <w:b/>
          <w:bCs/>
        </w:rPr>
        <w:t>2.3.4  激励对内容质量的影响</w:t>
      </w:r>
      <w:bookmarkEnd w:id="36"/>
    </w:p>
    <w:p w14:paraId="61C30573">
      <w:pPr>
        <w:spacing w:line="288" w:lineRule="auto"/>
        <w:ind w:firstLine="482"/>
        <w:rPr>
          <w:rFonts w:ascii="Times New Roman" w:hAnsi="Times New Roman" w:cs="Times New Roman"/>
        </w:rPr>
      </w:pPr>
      <w:r>
        <w:rPr>
          <w:rFonts w:ascii="Times New Roman" w:hAnsi="Times New Roman" w:cs="Times New Roman"/>
        </w:rPr>
        <w:t>激励机制如何影响内容质量，是UGC研究领域的核心命题之一。现有研究从不同角度探讨了这一问题，形成了较为丰富的理论积累和实证发现。</w:t>
      </w:r>
    </w:p>
    <w:p w14:paraId="769BB3B1">
      <w:pPr>
        <w:spacing w:line="288" w:lineRule="auto"/>
        <w:ind w:firstLine="482"/>
        <w:rPr>
          <w:rFonts w:ascii="Times New Roman" w:hAnsi="Times New Roman" w:cs="Times New Roman"/>
        </w:rPr>
      </w:pPr>
      <w:r>
        <w:rPr>
          <w:rFonts w:ascii="Times New Roman" w:hAnsi="Times New Roman" w:cs="Times New Roman"/>
        </w:rPr>
        <w:t>从群体实验证据来看，Gallus（2017）通过在维基百科进行的大规模自然实验，证明了非货币奖励（荣誉认可）对志愿者内容贡献的显著正向效应，且这种效应具有持续性，获奖创作者在奖励后继续维持了更高的内容贡献水平。Neckermann等（2014）则对非正式奖励在同伴生产（Peer Production）环境中的效应进行了实验研究，发现即便是低成本的象征性认可，也能显著提升贡献者的质量导向行为。这些研究为投币激励正向影响知识内容质量提供了外部效度支持。</w:t>
      </w:r>
    </w:p>
    <w:p w14:paraId="34BBAA62">
      <w:pPr>
        <w:spacing w:line="288" w:lineRule="auto"/>
        <w:ind w:firstLine="482"/>
        <w:rPr>
          <w:rFonts w:ascii="Times New Roman" w:hAnsi="Times New Roman" w:cs="Times New Roman"/>
        </w:rPr>
      </w:pPr>
      <w:r>
        <w:rPr>
          <w:rFonts w:ascii="Times New Roman" w:hAnsi="Times New Roman" w:cs="Times New Roman"/>
        </w:rPr>
        <w:t>从中国知识平台的研究来看，在线知识社区贡献者身份对内容质量的影响研究（张薇薇等，2020）表明，平台认可和社区荣誉机制对知识内容质量具有显著的正向效应，且这种效应通过提升贡献者的自我效能感和责任感来实现。王伟军等（2021）对UGC短视频持续贡献行为的研究发现，观众互动反馈（包括点赞、评论和投币）是预测UP主内容持续投入的重要前因变量，高质量的受众反馈与UP主下期视频质量之间存在正向相关关系。</w:t>
      </w:r>
    </w:p>
    <w:p w14:paraId="646F6A4A">
      <w:pPr>
        <w:spacing w:line="288" w:lineRule="auto"/>
        <w:ind w:firstLine="482"/>
        <w:rPr>
          <w:rFonts w:ascii="Times New Roman" w:hAnsi="Times New Roman" w:cs="Times New Roman"/>
        </w:rPr>
      </w:pPr>
      <w:r>
        <w:rPr>
          <w:rFonts w:ascii="Times New Roman" w:hAnsi="Times New Roman" w:cs="Times New Roman"/>
        </w:rPr>
        <w:t>从激励机制与内容质量之间的路径机制来看，现有研究揭示了多条可能的传导路径。</w:t>
      </w:r>
    </w:p>
    <w:p w14:paraId="38C14285">
      <w:pPr>
        <w:spacing w:line="288" w:lineRule="auto"/>
        <w:ind w:firstLine="482"/>
        <w:rPr>
          <w:rFonts w:ascii="Times New Roman" w:hAnsi="Times New Roman" w:cs="Times New Roman"/>
        </w:rPr>
      </w:pPr>
      <w:r>
        <w:rPr>
          <w:rFonts w:ascii="Times New Roman" w:hAnsi="Times New Roman" w:cs="Times New Roman"/>
        </w:rPr>
        <w:t>路径一：激励→创作者认知重估→增加时间投入→内容质量提升。当创作者获得较高的投币激励时，会形成“观众认可当前内容深度”的积极认知，从而愿意在下一期内容上投入更多时间进行打磨。</w:t>
      </w:r>
    </w:p>
    <w:p w14:paraId="54011F8A">
      <w:pPr>
        <w:spacing w:line="288" w:lineRule="auto"/>
        <w:ind w:firstLine="482"/>
        <w:rPr>
          <w:rFonts w:ascii="Times New Roman" w:hAnsi="Times New Roman" w:cs="Times New Roman"/>
        </w:rPr>
      </w:pPr>
      <w:r>
        <w:rPr>
          <w:rFonts w:ascii="Times New Roman" w:hAnsi="Times New Roman" w:cs="Times New Roman"/>
        </w:rPr>
        <w:t>路径二：激励→创作者情绪激活→提升创作投入→内容质量提升。从互动仪式链理论（Collins，2004；樊传果，2021）的角度来看，观众的积极反馈（包括投币）会激活创作者的情感能量，这种高情感能量状态有助于创作者进入更深入的创作状态，产出质量更高的内容。</w:t>
      </w:r>
    </w:p>
    <w:p w14:paraId="2FB80573">
      <w:pPr>
        <w:spacing w:line="288" w:lineRule="auto"/>
        <w:ind w:firstLine="482"/>
        <w:rPr>
          <w:rFonts w:ascii="Times New Roman" w:hAnsi="Times New Roman" w:cs="Times New Roman"/>
        </w:rPr>
      </w:pPr>
      <w:r>
        <w:rPr>
          <w:rFonts w:ascii="Times New Roman" w:hAnsi="Times New Roman" w:cs="Times New Roman"/>
        </w:rPr>
        <w:t>路径三：激励→受众评论增加→创作者获取改进信息→内容质量提升。投币较多的视频往往也伴随着更活跃的评论互动，高质量评论为创作者提供了宝贵的改进方向和知识补充，进而帮助创作者在后续视频中完善内容框架。</w:t>
      </w:r>
    </w:p>
    <w:p w14:paraId="53E03C07">
      <w:pPr>
        <w:spacing w:before="300" w:after="150"/>
        <w:outlineLvl w:val="1"/>
        <w:rPr>
          <w:rFonts w:ascii="Times New Roman" w:hAnsi="Times New Roman" w:eastAsia="黑体" w:cs="Times New Roman"/>
          <w:b/>
          <w:bCs/>
          <w:sz w:val="28"/>
          <w:szCs w:val="28"/>
        </w:rPr>
      </w:pPr>
      <w:commentRangeStart w:id="2"/>
      <w:bookmarkStart w:id="37" w:name="_Toc2552"/>
      <w:r>
        <w:rPr>
          <w:rFonts w:ascii="Times New Roman" w:hAnsi="Times New Roman" w:eastAsia="黑体" w:cs="Times New Roman"/>
          <w:b/>
          <w:bCs/>
          <w:sz w:val="28"/>
          <w:szCs w:val="28"/>
        </w:rPr>
        <w:t>2.3  内容创作激励机制</w:t>
      </w:r>
      <w:bookmarkEnd w:id="37"/>
      <w:commentRangeEnd w:id="2"/>
      <w:r>
        <w:rPr>
          <w:rStyle w:val="23"/>
        </w:rPr>
        <w:commentReference w:id="2"/>
      </w:r>
    </w:p>
    <w:p w14:paraId="169FAB95">
      <w:pPr>
        <w:spacing w:line="288" w:lineRule="auto"/>
        <w:ind w:firstLine="482"/>
        <w:rPr>
          <w:rFonts w:ascii="Times New Roman" w:hAnsi="Times New Roman" w:cs="Times New Roman"/>
        </w:rPr>
      </w:pPr>
      <w:r>
        <w:rPr>
          <w:rFonts w:ascii="Times New Roman" w:hAnsi="Times New Roman" w:cs="Times New Roman"/>
        </w:rPr>
        <w:t>本文模型的构建主要基于社会交换理论、自我决定理论、互动仪式链理论和信号理论四大理论框架。上述理论从不同角度为解释投币激励影响知识内容质量的机制提供了坚实的理论支撑。本节对各理论的核心内容及其在本研究中的适用性进行系统回顾。</w:t>
      </w:r>
    </w:p>
    <w:p w14:paraId="0ACD6940">
      <w:pPr>
        <w:spacing w:before="200" w:after="100"/>
        <w:outlineLvl w:val="2"/>
        <w:rPr>
          <w:rFonts w:ascii="Times New Roman" w:hAnsi="Times New Roman" w:eastAsia="黑体" w:cs="Times New Roman"/>
        </w:rPr>
      </w:pPr>
      <w:bookmarkStart w:id="38" w:name="_Toc23731"/>
      <w:r>
        <w:rPr>
          <w:rFonts w:ascii="Times New Roman" w:hAnsi="Times New Roman" w:eastAsia="黑体" w:cs="Times New Roman"/>
          <w:b/>
          <w:bCs/>
        </w:rPr>
        <w:t>2.4.1  社会交换理论</w:t>
      </w:r>
      <w:bookmarkEnd w:id="38"/>
    </w:p>
    <w:p w14:paraId="7AB04F0C">
      <w:pPr>
        <w:spacing w:line="288" w:lineRule="auto"/>
        <w:ind w:firstLine="482"/>
        <w:rPr>
          <w:rFonts w:ascii="Times New Roman" w:hAnsi="Times New Roman" w:cs="Times New Roman"/>
        </w:rPr>
      </w:pPr>
      <w:r>
        <w:rPr>
          <w:rFonts w:ascii="Times New Roman" w:hAnsi="Times New Roman" w:cs="Times New Roman"/>
        </w:rPr>
        <w:t>社会交换理论（Social Exchange Theory）由布劳（Blau，1964）、埃默森（Emerson，1976）等学者奠定基础，以霍曼斯（Homans，1961）的行为主义交换论和古尔德纳（Gouldner，1960）的互惠规范思想为重要基石。该理论认为，社会互动的本质是一种以互惠为基础的资源交换过程，个体之间的社会行为受到交换关系中的成本、收益和互惠规范的驱动（戴长征，2021）。</w:t>
      </w:r>
    </w:p>
    <w:p w14:paraId="5668E2AF">
      <w:pPr>
        <w:spacing w:line="288" w:lineRule="auto"/>
        <w:ind w:firstLine="482"/>
        <w:rPr>
          <w:rFonts w:ascii="Times New Roman" w:hAnsi="Times New Roman" w:cs="Times New Roman"/>
        </w:rPr>
      </w:pPr>
      <w:r>
        <w:rPr>
          <w:rFonts w:ascii="Times New Roman" w:hAnsi="Times New Roman" w:cs="Times New Roman"/>
        </w:rPr>
        <w:t>在社会交换理论框架下，互惠规范（Norm of Reciprocity）是理解UGC激励机制的核心概念。古尔德纳（Gouldner，1960）指出，互惠规范是一种普遍的道德规范，规定了接受利益的一方应当以对等的方式回报施惠方。在哔哩哔哩的知识视频场景中，观众通过投币行为向UP主表达认可，而UP主感知到这种认可后会产生“互惠义务感”，从而倾向于通过提升内容质量来回报观众的支持。这种互惠逻辑为本研究关于投币激励正向影响内容打磨投入的核心假设（H1、H2）提供了直接的理论依据。</w:t>
      </w:r>
    </w:p>
    <w:p w14:paraId="69AD02DC">
      <w:pPr>
        <w:spacing w:line="288" w:lineRule="auto"/>
        <w:ind w:firstLine="482"/>
        <w:rPr>
          <w:rFonts w:ascii="Times New Roman" w:hAnsi="Times New Roman" w:cs="Times New Roman"/>
        </w:rPr>
      </w:pPr>
      <w:r>
        <w:rPr>
          <w:rFonts w:ascii="Times New Roman" w:hAnsi="Times New Roman" w:cs="Times New Roman"/>
        </w:rPr>
        <w:t>Wasko和Faraj（2000）将社会交换理论应用于在线知识社区，发现知识共享行为受到互惠预期、社区认同和声誉建构动机的共同驱动，其中互惠预期是最强的预测变量。Wang和Fesenmaier（2003）进一步指出，在线社区中资源交换的形式不仅包括物质资源，还包括信息资源、社会认可和情感支持等非物质资源，这种多元化的交换形式使社会交换理论的解释范畴得到了有效拓展。从这一视角来看，观众在哔哩哔哩投币的行为，本质上是以虚拟货币为媒介向UP主传递社会认可资源，而UP主以更高质量的内容作为回报，构成了典型的社会资源交换循环。</w:t>
      </w:r>
    </w:p>
    <w:p w14:paraId="14BB0D77">
      <w:pPr>
        <w:spacing w:line="288" w:lineRule="auto"/>
        <w:ind w:firstLine="482"/>
        <w:rPr>
          <w:rFonts w:ascii="Times New Roman" w:hAnsi="Times New Roman" w:cs="Times New Roman"/>
        </w:rPr>
      </w:pPr>
      <w:r>
        <w:rPr>
          <w:rFonts w:ascii="Times New Roman" w:hAnsi="Times New Roman" w:cs="Times New Roman"/>
        </w:rPr>
        <w:t>戴长征（2021）从依附与共生的视角出发，结合社会交换理论对澜湄经贸合作进行分析时指出，交换关系从依附走向共生的关键在于双方利益的对称性和互惠规范的制度化。这一洞察对于理解哔哩哔哩平台的UP主-观众-平台三方关系同样具有启发性：当投币激励机制形成稳定的互惠循环时，创作者与观众的关系将从单向内容消费走向共生共创，有助于平台知识内容生态的可持续发展。</w:t>
      </w:r>
    </w:p>
    <w:p w14:paraId="04EE7EBF">
      <w:pPr>
        <w:spacing w:before="200" w:after="100"/>
        <w:outlineLvl w:val="2"/>
        <w:rPr>
          <w:rFonts w:ascii="Times New Roman" w:hAnsi="Times New Roman" w:eastAsia="黑体" w:cs="Times New Roman"/>
          <w:b/>
          <w:bCs/>
        </w:rPr>
      </w:pPr>
      <w:bookmarkStart w:id="39" w:name="_Toc24258"/>
      <w:r>
        <w:rPr>
          <w:rFonts w:ascii="Times New Roman" w:hAnsi="Times New Roman" w:eastAsia="黑体" w:cs="Times New Roman"/>
          <w:b/>
          <w:bCs/>
        </w:rPr>
        <w:t>2.4.2 自我决定理论</w:t>
      </w:r>
      <w:bookmarkEnd w:id="39"/>
    </w:p>
    <w:p w14:paraId="02603A8D">
      <w:pPr>
        <w:spacing w:line="288" w:lineRule="auto"/>
        <w:ind w:firstLine="482"/>
        <w:rPr>
          <w:rFonts w:ascii="Times New Roman" w:hAnsi="Times New Roman" w:cs="Times New Roman"/>
        </w:rPr>
      </w:pPr>
      <w:r>
        <w:rPr>
          <w:rFonts w:ascii="Times New Roman" w:hAnsi="Times New Roman" w:cs="Times New Roman"/>
        </w:rPr>
        <w:t>自我决定理论（Self-Determination Theory，SDT）由德西（Deci）和瑞安（Ryan）在1985年提出，并于2000年进行了系统性的理论扩展。该理论认为人类行为受到内部动机（Intrinsic Motivation）和外部动机（Extrinsic Motivation）的共同驱动，并将外部调节的内化程度区分为四个层次：外部调节、内摄调节、认同调节和整合调节（Deci &amp; Ryan，2000）。</w:t>
      </w:r>
    </w:p>
    <w:p w14:paraId="0115AF30">
      <w:pPr>
        <w:spacing w:line="288" w:lineRule="auto"/>
        <w:ind w:firstLine="482"/>
        <w:rPr>
          <w:rFonts w:ascii="Times New Roman" w:hAnsi="Times New Roman" w:cs="Times New Roman"/>
        </w:rPr>
      </w:pPr>
      <w:r>
        <w:rPr>
          <w:rFonts w:ascii="Times New Roman" w:hAnsi="Times New Roman" w:cs="Times New Roman"/>
        </w:rPr>
        <w:t>自我决定理论的核心命题在于，满足个体的三种基本心理需求——自主感（Autonomy）、能力感（Competence）和归属感（Relatedness）——是激发内部动机的根本条件。当外部激励以满足这三种基本需求为导向时，外部动机更容易内化为持久的内在动力；反之，当外部激励对自主感构成威胁时，则可能发生“过度论证效应”（Overjustification Effect），导致内部动机受损（杨珊等，2020）。</w:t>
      </w:r>
    </w:p>
    <w:p w14:paraId="220A0A0F">
      <w:pPr>
        <w:spacing w:line="288" w:lineRule="auto"/>
        <w:ind w:firstLine="482"/>
        <w:rPr>
          <w:rFonts w:ascii="Times New Roman" w:hAnsi="Times New Roman" w:cs="Times New Roman"/>
        </w:rPr>
      </w:pPr>
      <w:r>
        <w:rPr>
          <w:rFonts w:ascii="Times New Roman" w:hAnsi="Times New Roman" w:cs="Times New Roman"/>
        </w:rPr>
        <w:t>杨珊等（2020）将自我决定理论应用于UGC生产动机研究，构建了包含客观外部动机、内化心理动机和主观内部动机的三层动机模型，并指出社交媒体中的内容生产者主要受内部动机驱动，外部货币奖励在短期内有助于激发创作热情，但长期过度依赖货币激励可能抑制创作者的内部动机。这一发现对于理解哔哩哔哩投币激励的长期效应具有重要参考价值——投币作为观众主动给予的认可（而非平台强制的货币补贴），其对自主感和能力感的满足程度较高，因此更可能与内在动机形成互补而非替代关系。</w:t>
      </w:r>
    </w:p>
    <w:p w14:paraId="44703AF0">
      <w:pPr>
        <w:spacing w:line="288" w:lineRule="auto"/>
        <w:ind w:firstLine="482"/>
        <w:rPr>
          <w:rFonts w:ascii="Times New Roman" w:hAnsi="Times New Roman" w:cs="Times New Roman"/>
        </w:rPr>
      </w:pPr>
      <w:r>
        <w:rPr>
          <w:rFonts w:ascii="Times New Roman" w:hAnsi="Times New Roman" w:cs="Times New Roman"/>
        </w:rPr>
        <w:t>胡佳琦（2022）在研究社交媒体平台UGC生产激励悖论时，以自我决定理论为分析框架，深入探讨了外部激励何时会促进、何时会损害UGC质量的理论边界条件。研究发现，当外部激励具有“信息性”（传递了关于能力的正面信息）而非“控制性”（施加了完成任务的压力）时，外部激励更有可能与内部动机产生协同效应，而非替代效应。哔哩哔哩的投币激励在本质上更接近于“信息性”激励——观众自愿投币传递了对内容质量的认可信号，这种信息性反馈有助于提升UP主的能力感和效能感，从而正向激活内在创作动力。</w:t>
      </w:r>
    </w:p>
    <w:p w14:paraId="65B16A34">
      <w:pPr>
        <w:spacing w:line="288" w:lineRule="auto"/>
        <w:ind w:firstLine="482"/>
        <w:rPr>
          <w:rFonts w:ascii="Times New Roman" w:hAnsi="Times New Roman" w:cs="Times New Roman"/>
        </w:rPr>
      </w:pPr>
      <w:r>
        <w:rPr>
          <w:rFonts w:ascii="Times New Roman" w:hAnsi="Times New Roman" w:cs="Times New Roman"/>
        </w:rPr>
        <w:t>在本研究的假设体系中，自我决定理论为以下逻辑提供了支撑：投币激励通过满足UP主的能力感需求（“观众认可我的内容质量”），激活其内在创作动力，进而促使UP主主动延长内容打磨周期（H2）、积极回应评论互动（H3），最终实现内容质量的提升。这一路径体现了外部激励与内部动机相互促进的理论机制。</w:t>
      </w:r>
    </w:p>
    <w:p w14:paraId="08944316">
      <w:pPr>
        <w:spacing w:before="200" w:after="100"/>
        <w:outlineLvl w:val="2"/>
        <w:rPr>
          <w:rFonts w:ascii="Times New Roman" w:hAnsi="Times New Roman" w:eastAsia="黑体" w:cs="Times New Roman"/>
          <w:b/>
          <w:bCs/>
        </w:rPr>
      </w:pPr>
      <w:bookmarkStart w:id="40" w:name="_Toc15745"/>
      <w:r>
        <w:rPr>
          <w:rFonts w:ascii="Times New Roman" w:hAnsi="Times New Roman" w:eastAsia="黑体" w:cs="Times New Roman"/>
          <w:b/>
          <w:bCs/>
        </w:rPr>
        <w:t>2.4.3 互动仪式链理论</w:t>
      </w:r>
      <w:bookmarkEnd w:id="40"/>
    </w:p>
    <w:p w14:paraId="5A43813D">
      <w:pPr>
        <w:spacing w:line="288" w:lineRule="auto"/>
        <w:ind w:firstLine="482"/>
        <w:rPr>
          <w:rFonts w:ascii="Times New Roman" w:hAnsi="Times New Roman" w:cs="Times New Roman"/>
        </w:rPr>
      </w:pPr>
      <w:r>
        <w:rPr>
          <w:rFonts w:ascii="Times New Roman" w:hAnsi="Times New Roman" w:cs="Times New Roman"/>
        </w:rPr>
        <w:t>互动仪式链理论（Interaction Ritual Chain Theory）由美国社会学家兰德尔·柯林斯（Collins，2004）在戈夫曼（Goffman）的互动仪式概念基础上发展而来，认为社会互动是一系列相互连接的仪式链条，其核心机制是情感能量（Emotional Energy）的积累与循环。当参与者在互动过程中实现充分的相互关注焦点和情感共享时，会积累大量情感能量，并强化对群体的认同感和归属感（樊传果，2021）。</w:t>
      </w:r>
    </w:p>
    <w:p w14:paraId="57E5287C">
      <w:pPr>
        <w:spacing w:line="288" w:lineRule="auto"/>
        <w:ind w:firstLine="482"/>
        <w:rPr>
          <w:rFonts w:ascii="Times New Roman" w:hAnsi="Times New Roman" w:cs="Times New Roman"/>
        </w:rPr>
      </w:pPr>
      <w:r>
        <w:rPr>
          <w:rFonts w:ascii="Times New Roman" w:hAnsi="Times New Roman" w:cs="Times New Roman"/>
        </w:rPr>
        <w:t>互动仪式链理论对于理解哔哩哔哩平台的UP主-观众互动机制具有重要的解释力。在每一期视频发布后，UP主与观众通过弹幕、评论、投币等方式形成的互动，构成了一次“互动仪式”。当互动仪式成功时（高质量的弹幕互动、深度评论交流、积极的投币反馈），双方的情感能量得到充分积累，UP主的群体归属感和创作认同感得到强化，形成继续深度创作的强大动力（汪雅倩，2021）。反之，如果互动仪式失败（稀疏的弹幕、敷衍的评论、低投币量），则会导致UP主情感能量损耗，创作热情下降。</w:t>
      </w:r>
    </w:p>
    <w:p w14:paraId="0982211B">
      <w:pPr>
        <w:spacing w:line="288" w:lineRule="auto"/>
        <w:ind w:firstLine="482"/>
        <w:rPr>
          <w:rFonts w:ascii="Times New Roman" w:hAnsi="Times New Roman" w:cs="Times New Roman"/>
        </w:rPr>
      </w:pPr>
      <w:r>
        <w:rPr>
          <w:rFonts w:ascii="Times New Roman" w:hAnsi="Times New Roman" w:cs="Times New Roman"/>
        </w:rPr>
        <w:t>王金红（2021）在研究主流媒体短视频互动仪式建构时指出，在视频内容场景中，观众的弹幕互动行为具有明显的仪式性特征——特定的弹幕语言、约定俗成的互动规范和集体情感表达，构成了独特的“弹幕仪式”文化。范亚男（2020）基于哔哩哔哩弹幕数据的情感分析研究发现，弹幕的情感强度与视频内容质量之间存在显著的正向相关，高质量内容所激发的高强度弹幕互动是“互动仪式”成功的标志，而成功的互动仪式反过来又激励UP主维持和提升内容质量。</w:t>
      </w:r>
    </w:p>
    <w:p w14:paraId="600A9C6E">
      <w:pPr>
        <w:spacing w:line="288" w:lineRule="auto"/>
        <w:ind w:firstLine="482"/>
        <w:rPr>
          <w:rFonts w:ascii="Times New Roman" w:hAnsi="Times New Roman" w:cs="Times New Roman"/>
        </w:rPr>
      </w:pPr>
      <w:r>
        <w:rPr>
          <w:rFonts w:ascii="Times New Roman" w:hAnsi="Times New Roman" w:cs="Times New Roman"/>
        </w:rPr>
        <w:t>互动仪式链理论还为本研究理解投币行为的仪式性意义提供了独特视角。从仪式理论的角度看，投币行为类似于一种“情感符号”——观众以消耗宝贵硬币的方式向UP主表达“你的内容值得我付出”的情感认可，这种被认可的情感体验对UP主的创作情感能量积累具有显著的强化效应。王璇（2021）基于社会交换理论视角研究大学生生成短视频行为时发现，来自受众的高质量互动反馈是维持创作者持续高质量创作的关键社会资本，这与互动仪式链理论的预测高度一致。</w:t>
      </w:r>
    </w:p>
    <w:p w14:paraId="01B08378">
      <w:pPr>
        <w:spacing w:before="200" w:after="100"/>
        <w:outlineLvl w:val="2"/>
        <w:rPr>
          <w:rFonts w:ascii="Times New Roman" w:hAnsi="Times New Roman" w:eastAsia="黑体" w:cs="Times New Roman"/>
          <w:b/>
          <w:bCs/>
        </w:rPr>
      </w:pPr>
      <w:bookmarkStart w:id="41" w:name="_Toc14189"/>
      <w:r>
        <w:rPr>
          <w:rFonts w:ascii="Times New Roman" w:hAnsi="Times New Roman" w:eastAsia="黑体" w:cs="Times New Roman"/>
          <w:b/>
          <w:bCs/>
        </w:rPr>
        <w:t>2.4.4 信号理论</w:t>
      </w:r>
      <w:bookmarkEnd w:id="41"/>
    </w:p>
    <w:p w14:paraId="5B2A7A65">
      <w:pPr>
        <w:spacing w:line="288" w:lineRule="auto"/>
        <w:ind w:firstLine="482"/>
        <w:rPr>
          <w:rFonts w:ascii="Times New Roman" w:hAnsi="Times New Roman" w:cs="Times New Roman"/>
        </w:rPr>
      </w:pPr>
      <w:r>
        <w:rPr>
          <w:rFonts w:ascii="Times New Roman" w:hAnsi="Times New Roman" w:cs="Times New Roman"/>
        </w:rPr>
        <w:t>信号理论（Signaling Theory）由斯宾塞（Spence，1973）在研究劳动力市场中信息不对称问题时提出，核心命题是：在信息不完全市场中，高质量方可以通过发送成本足够高的可信信号来向低质量方区分自身（Spence，1973）。可信信号的关键在于其发送成本足够高，以至于低质量方无法或不愿仿冒（帅杰，2021）。</w:t>
      </w:r>
    </w:p>
    <w:p w14:paraId="08AD7F50">
      <w:pPr>
        <w:spacing w:line="288" w:lineRule="auto"/>
        <w:ind w:firstLine="482"/>
        <w:rPr>
          <w:rFonts w:ascii="Times New Roman" w:hAnsi="Times New Roman" w:cs="Times New Roman"/>
        </w:rPr>
      </w:pPr>
      <w:r>
        <w:rPr>
          <w:rFonts w:ascii="Times New Roman" w:hAnsi="Times New Roman" w:cs="Times New Roman"/>
        </w:rPr>
        <w:t>在数字内容平台的情境中，信号理论为理解不同类型互动数据的信息含量差异提供了重要分析工具。帅杰（2021）在研究数字经济下内容市场的质量激励问题时，明确区分了“可靠信号”（costly signal）与“廉价信号”（cheap talk）在内容质量评价中的不同效力。点赞行为由于几乎零成本，属于廉价信号，其对内容质量的预测效度相对有限；而投币行为由于存在明确的机会成本（消耗每日有限的硬币配额），属于可靠信号，具有更强的内容质量甄别功能。</w:t>
      </w:r>
    </w:p>
    <w:p w14:paraId="35415C01">
      <w:pPr>
        <w:spacing w:line="288" w:lineRule="auto"/>
        <w:ind w:firstLine="482"/>
        <w:rPr>
          <w:rFonts w:ascii="Times New Roman" w:hAnsi="Times New Roman" w:cs="Times New Roman"/>
        </w:rPr>
      </w:pPr>
      <w:r>
        <w:rPr>
          <w:rFonts w:ascii="Times New Roman" w:hAnsi="Times New Roman" w:cs="Times New Roman"/>
        </w:rPr>
        <w:t>从信号理论的视角来看，哔哩哔哩的投币数据包含两层信号功能：其一，对UP主的质量反馈信号。高投币量向UP主传递了“观众认为该内容值得稀缺资源消耗”的明确信号，这种信号的可信度较高，有助于UP主准确判断自身内容的质量水平，并据此调整后续内容策略（内容打磨周期、内容深度等）。其二，对其他观众的质量推荐信号。视频界面显示的投币数量作为公开的社会证明（Social Proof），向尚未观看该视频的潜在观众传递质量信号，影响其点击和观看决策，从而形成质量认可的正向扩散效应（秦芬等，2018）。</w:t>
      </w:r>
    </w:p>
    <w:p w14:paraId="49F2F5BA">
      <w:pPr>
        <w:spacing w:line="288" w:lineRule="auto"/>
        <w:ind w:firstLine="482"/>
        <w:rPr>
          <w:rFonts w:ascii="Times New Roman" w:hAnsi="Times New Roman" w:cs="Times New Roman"/>
        </w:rPr>
      </w:pPr>
      <w:r>
        <w:rPr>
          <w:rFonts w:ascii="Times New Roman" w:hAnsi="Times New Roman" w:cs="Times New Roman"/>
        </w:rPr>
        <w:t>信号理论还为本研究的假设H4（分享传播路径对内容质量影响不显著）提供了反向论证。分享行为（转发）的实施成本极低，用户无需消耗任何稀缺资源即可完成分享，因此分享数据属于典型的廉价信号，其对内容质量的信息含量和激励效应均有限（帅杰，2021）。这意味着观察到的高分享量更多反映了内容的传播娱乐性（病毒式传播特征），而未必反映了内容的知识深度，因此分享传播路径对UP主内容质量的边际激励效应应当显著弱于投币路径。</w:t>
      </w:r>
    </w:p>
    <w:p w14:paraId="34F3936E">
      <w:pPr>
        <w:spacing w:before="200" w:after="100"/>
        <w:outlineLvl w:val="2"/>
        <w:rPr>
          <w:rFonts w:ascii="Times New Roman" w:hAnsi="Times New Roman" w:eastAsia="黑体" w:cs="Times New Roman"/>
          <w:b/>
          <w:bCs/>
        </w:rPr>
      </w:pPr>
      <w:bookmarkStart w:id="42" w:name="_Toc30810"/>
      <w:r>
        <w:rPr>
          <w:rFonts w:ascii="Times New Roman" w:hAnsi="Times New Roman" w:eastAsia="黑体" w:cs="Times New Roman"/>
          <w:b/>
          <w:bCs/>
        </w:rPr>
        <w:t>2.4.5 累积优势理论与马太效应</w:t>
      </w:r>
      <w:bookmarkEnd w:id="42"/>
    </w:p>
    <w:p w14:paraId="1D0070B1">
      <w:pPr>
        <w:spacing w:line="288" w:lineRule="auto"/>
        <w:ind w:firstLine="482"/>
        <w:rPr>
          <w:rFonts w:ascii="Times New Roman" w:hAnsi="Times New Roman" w:cs="Times New Roman"/>
        </w:rPr>
      </w:pPr>
      <w:r>
        <w:rPr>
          <w:rFonts w:ascii="Times New Roman" w:hAnsi="Times New Roman" w:cs="Times New Roman"/>
        </w:rPr>
        <w:t>累积优势理论（Cumulative Advantage Theory）源于默顿（Merton，1968）对科学界“马太效应”的经典论述，核心观点是：在竞争性的注意力经济中，初始优势（如较高的起始知名度或资源水平）会通过正反馈机制不断积累放大，导致优势群体与劣势群体之间的差距持续扩大。马克思的自我实现理论（张琳琳，2020）则从更宏观的视角指出，个体在追求自我实现的过程中，社会资源的积累方式和分配结构会深刻影响个体的主体性发展路径。</w:t>
      </w:r>
    </w:p>
    <w:p w14:paraId="52546F32">
      <w:pPr>
        <w:spacing w:line="288" w:lineRule="auto"/>
        <w:ind w:firstLine="482"/>
        <w:rPr>
          <w:rFonts w:ascii="Times New Roman" w:hAnsi="Times New Roman" w:cs="Times New Roman"/>
        </w:rPr>
      </w:pPr>
      <w:r>
        <w:rPr>
          <w:rFonts w:ascii="Times New Roman" w:hAnsi="Times New Roman" w:cs="Times New Roman"/>
        </w:rPr>
        <w:t>在哔哩哔哩知识区的创作者生态中，累积优势效应体现在：头部UP主由于已拥有大量粉丝基础，其新发布的视频能够在短时间内获得大量投币，这种高投币量进一步触发平台推荐算法的流量倾斜，形成更多的曝光和互动，从而产生正向的质量-流量-激励-质量循环。相比之下，尾部UP主由于初始粉丝基础薄弱，即使创作出高质量内容，也可能因为曝光不足而获得较少的投币，从而面临“好内容得不到足够认可”的困境，这可能导致其创作动力的边际递减（刘俊仙，2021）。</w:t>
      </w:r>
    </w:p>
    <w:p w14:paraId="33B8012D">
      <w:pPr>
        <w:spacing w:line="288" w:lineRule="auto"/>
        <w:ind w:firstLine="482"/>
        <w:rPr>
          <w:rFonts w:ascii="Times New Roman" w:hAnsi="Times New Roman" w:cs="Times New Roman"/>
        </w:rPr>
      </w:pPr>
      <w:r>
        <w:rPr>
          <w:rFonts w:ascii="Times New Roman" w:hAnsi="Times New Roman" w:cs="Times New Roman"/>
        </w:rPr>
        <w:t>累积优势理论为本研究假设H5（激励效应的群体异质性）提供了重要的理论依据。具体而言，在头部UP主的案例中，投币激励与内容质量之间的正向循环更为稳健，投币激励对内容打磨周期的调节作用可能体现为“更有保障的深度投入”；而在尾部UP主中，投币激励的边际激励效应可能更为显著，即即使是相对少量的投币增加，对尾部UP主的创作动力激励也可能产生更大的比例提升效应（秦芬等，2018）。这一预测与期望理论（Vroom）的分析框架也高度契合——当个体认为付出与回报之间的比例合理时，才会持续投入努力。</w:t>
      </w:r>
    </w:p>
    <w:p w14:paraId="68D75980">
      <w:pPr>
        <w:spacing w:before="300" w:after="150"/>
        <w:outlineLvl w:val="1"/>
        <w:rPr>
          <w:rFonts w:ascii="Times New Roman" w:hAnsi="Times New Roman" w:eastAsia="黑体" w:cs="Times New Roman"/>
          <w:b/>
          <w:bCs/>
          <w:sz w:val="28"/>
          <w:szCs w:val="28"/>
        </w:rPr>
      </w:pPr>
      <w:bookmarkStart w:id="43" w:name="_Toc5619"/>
      <w:r>
        <w:rPr>
          <w:rFonts w:ascii="Times New Roman" w:hAnsi="Times New Roman" w:eastAsia="黑体" w:cs="Times New Roman"/>
          <w:b/>
          <w:bCs/>
          <w:sz w:val="28"/>
          <w:szCs w:val="28"/>
        </w:rPr>
        <w:t>2.5 激励机制与内容质量研究的最新进展</w:t>
      </w:r>
      <w:bookmarkEnd w:id="43"/>
    </w:p>
    <w:p w14:paraId="113E2EB7">
      <w:pPr>
        <w:spacing w:line="288" w:lineRule="auto"/>
        <w:ind w:firstLine="482"/>
        <w:rPr>
          <w:rFonts w:ascii="Times New Roman" w:hAnsi="Times New Roman" w:cs="Times New Roman"/>
        </w:rPr>
      </w:pPr>
      <w:r>
        <w:rPr>
          <w:rFonts w:ascii="Times New Roman" w:hAnsi="Times New Roman" w:cs="Times New Roman"/>
        </w:rPr>
        <w:t>随着数字内容平台经济的快速发展，激励机制与UGC质量的关系研究在近年来出现了若干重要进展，主要体现在大规模实证研究的兴起、新型激励形式的探索以及群体异质性效应的系统识别三个方面。本节对这些进展进行综合梳理。</w:t>
      </w:r>
    </w:p>
    <w:p w14:paraId="3C948831">
      <w:pPr>
        <w:spacing w:before="200" w:after="100"/>
        <w:outlineLvl w:val="2"/>
        <w:rPr>
          <w:rFonts w:ascii="Times New Roman" w:hAnsi="Times New Roman" w:eastAsia="黑体" w:cs="Times New Roman"/>
          <w:b/>
          <w:bCs/>
        </w:rPr>
      </w:pPr>
      <w:bookmarkStart w:id="44" w:name="_Toc5820"/>
      <w:r>
        <w:rPr>
          <w:rFonts w:ascii="Times New Roman" w:hAnsi="Times New Roman" w:eastAsia="黑体" w:cs="Times New Roman"/>
          <w:b/>
          <w:bCs/>
        </w:rPr>
        <w:t>2.5.1 大规模实证研究的兴起</w:t>
      </w:r>
      <w:bookmarkEnd w:id="44"/>
    </w:p>
    <w:p w14:paraId="453C408F">
      <w:pPr>
        <w:spacing w:line="288" w:lineRule="auto"/>
        <w:ind w:firstLine="482"/>
        <w:rPr>
          <w:rFonts w:ascii="Times New Roman" w:hAnsi="Times New Roman" w:cs="Times New Roman"/>
        </w:rPr>
      </w:pPr>
      <w:r>
        <w:rPr>
          <w:rFonts w:ascii="Times New Roman" w:hAnsi="Times New Roman" w:cs="Times New Roman"/>
        </w:rPr>
        <w:t>依托互联网平台海量行为数据，近年来兴起了一系列基于大规模自然实验和面板数据的激励效应研究，为理解激励与UGC质量关系提供了更为可靠的因果推断证据。</w:t>
      </w:r>
    </w:p>
    <w:p w14:paraId="0175CB7B">
      <w:pPr>
        <w:spacing w:line="288" w:lineRule="auto"/>
        <w:ind w:firstLine="482"/>
        <w:rPr>
          <w:rFonts w:ascii="Times New Roman" w:hAnsi="Times New Roman" w:cs="Times New Roman"/>
        </w:rPr>
      </w:pPr>
      <w:r>
        <w:rPr>
          <w:rFonts w:ascii="Times New Roman" w:hAnsi="Times New Roman" w:cs="Times New Roman"/>
        </w:rPr>
        <w:t>Gallus（2017）在维基百科进行了一项大规模自然实地实验，研究了象征性荣誉奖励（非货币性激励）对内容贡献者行为的影响，发现荣誉奖励不仅显著提升了获奖者的后续贡献数量，还对其贡献质量产生了持续的正向效应。这项研究的重要贡献在于，通过随机控制实验的设计，排除了选择性偏差的干扰，为非货币激励正向影响UGC质量提供了严格的因果证据。</w:t>
      </w:r>
    </w:p>
    <w:p w14:paraId="4616D3C7">
      <w:pPr>
        <w:spacing w:line="288" w:lineRule="auto"/>
        <w:ind w:firstLine="482"/>
        <w:rPr>
          <w:rFonts w:ascii="Times New Roman" w:hAnsi="Times New Roman" w:cs="Times New Roman"/>
        </w:rPr>
      </w:pPr>
      <w:r>
        <w:rPr>
          <w:rFonts w:ascii="Times New Roman" w:hAnsi="Times New Roman" w:cs="Times New Roman"/>
        </w:rPr>
        <w:t>Neckermann等（2014）通过同伴生产环境中的实验研究，专门考察了“非正式奖励”（informal rewards）——如口头表扬、象征性认可等——对贡献行为的激励效果，发现这类低成本的非正式奖励能够显著提升参与者的质量导向行为，且其激励效应与正式货币奖励相当甚至更优，尤其是对于内在动机较强的贡献者。这一发现对于理解哔哩哔哩投币激励（一种带有象征性认可属性的非货币激励形式）的效应机制具有重要的外部效度参考价值。</w:t>
      </w:r>
    </w:p>
    <w:p w14:paraId="2D4C9318">
      <w:pPr>
        <w:spacing w:line="288" w:lineRule="auto"/>
        <w:ind w:firstLine="482"/>
        <w:rPr>
          <w:rFonts w:ascii="Times New Roman" w:hAnsi="Times New Roman" w:cs="Times New Roman"/>
        </w:rPr>
      </w:pPr>
      <w:r>
        <w:rPr>
          <w:rFonts w:ascii="Times New Roman" w:hAnsi="Times New Roman" w:cs="Times New Roman"/>
        </w:rPr>
        <w:t>在基于中文平台数据的实证研究方面，基于付费会员机制的群智感知长期激励策略研究（赵芝星等，2021）发现，用户付费行为作为一种高成本参与信号，对平台内容创作者的质量激励效果显著优于免费互动，这与本研究关于投币（有成本的互动信号）相比点赞（零成本互动）具有更强内容质量激励效应的预测方向一致。Zhang和Zhu（2011）对中国维基百科的研究发现，群体规模扩大会降低单个贡献者的感知重要性，从而减弱激励效应，这对于理解哔哩哔哩不同规模UP主对激励的响应差异具有启发性。</w:t>
      </w:r>
    </w:p>
    <w:p w14:paraId="409CF4B0">
      <w:pPr>
        <w:spacing w:before="200" w:after="100"/>
        <w:outlineLvl w:val="2"/>
        <w:rPr>
          <w:rFonts w:ascii="Times New Roman" w:hAnsi="Times New Roman" w:eastAsia="黑体" w:cs="Times New Roman"/>
          <w:b/>
          <w:bCs/>
        </w:rPr>
      </w:pPr>
      <w:bookmarkStart w:id="45" w:name="_Toc22421"/>
      <w:r>
        <w:rPr>
          <w:rFonts w:ascii="Times New Roman" w:hAnsi="Times New Roman" w:eastAsia="黑体" w:cs="Times New Roman"/>
          <w:b/>
          <w:bCs/>
        </w:rPr>
        <w:t>2.5.2 人工智能生成内容时代的UGC激励挑战</w:t>
      </w:r>
      <w:bookmarkEnd w:id="45"/>
    </w:p>
    <w:p w14:paraId="15E48970">
      <w:pPr>
        <w:spacing w:line="288" w:lineRule="auto"/>
        <w:ind w:firstLine="482"/>
        <w:rPr>
          <w:rFonts w:ascii="Times New Roman" w:hAnsi="Times New Roman" w:cs="Times New Roman"/>
        </w:rPr>
      </w:pPr>
      <w:r>
        <w:rPr>
          <w:rFonts w:ascii="Times New Roman" w:hAnsi="Times New Roman" w:cs="Times New Roman"/>
        </w:rPr>
        <w:t>随着AIGC（人工智能生成内容）技术的快速发展，UGC平台的激励机制面临前所未有的新挑战。大量AI辅助生成工具的普及使得UGC内容生产门槛大幅降低，平台上“AI味”内容与真正高质量人工创作内容之间的边界愈发模糊，这对激励机制识别和激励高质量人工创作内容的能力提出了更高要求。</w:t>
      </w:r>
    </w:p>
    <w:p w14:paraId="21989D2B">
      <w:pPr>
        <w:spacing w:line="288" w:lineRule="auto"/>
        <w:ind w:firstLine="482"/>
        <w:rPr>
          <w:rFonts w:ascii="Times New Roman" w:hAnsi="Times New Roman" w:cs="Times New Roman"/>
        </w:rPr>
      </w:pPr>
      <w:r>
        <w:rPr>
          <w:rFonts w:ascii="Times New Roman" w:hAnsi="Times New Roman" w:cs="Times New Roman"/>
        </w:rPr>
        <w:t>颜成钢等（2021）的全媒体内容质量评价研究已经预见性地指出，在内容生产自动化程度提升的背景下，单纯依赖流量数据（播放量、点赞）来评估和激励内容质量将面临失灵风险，需要引入更为深层的质量信号指标（如专业性评估、用户深度互动行为等）来维护激励机制的有效性。哔哩哔哩的投币机制在这一背景下具有独特的抗干扰优势——由于投币需要用户主动消耗有限的日常硬币资源，AI批量生成的低质量内容难以通过“刷数据”等方式人为拉高投币量，因此投币数据作为内容质量代理指标具有相对更强的抗噪性。</w:t>
      </w:r>
    </w:p>
    <w:p w14:paraId="48F6C5C0">
      <w:pPr>
        <w:spacing w:line="288" w:lineRule="auto"/>
        <w:ind w:firstLine="482"/>
        <w:rPr>
          <w:rFonts w:ascii="Times New Roman" w:hAnsi="Times New Roman" w:cs="Times New Roman"/>
        </w:rPr>
      </w:pPr>
      <w:r>
        <w:rPr>
          <w:rFonts w:ascii="Times New Roman" w:hAnsi="Times New Roman" w:cs="Times New Roman"/>
        </w:rPr>
        <w:t>在AI生成视频内容质量的研究方面，Pellas（2023）的研究发现，受众的社会人口学特征显著影响其对AI生成视频的态度，年轻用户对AI辅助创作持更为开放的态度，而对知识内容有较高专业期待的用户则更倾向于以内容的深度和准确性作为质量评判标准。这一发现提示，在评估知识区内容质量时，需要引入能够捕捉专业深度的指标，而非仅依赖表面流量数据。</w:t>
      </w:r>
    </w:p>
    <w:p w14:paraId="2D4F66B3">
      <w:pPr>
        <w:spacing w:before="200" w:after="100"/>
        <w:outlineLvl w:val="2"/>
        <w:rPr>
          <w:rFonts w:ascii="Times New Roman" w:hAnsi="Times New Roman" w:eastAsia="黑体" w:cs="Times New Roman"/>
          <w:b/>
          <w:bCs/>
        </w:rPr>
      </w:pPr>
      <w:bookmarkStart w:id="46" w:name="_Toc7064"/>
      <w:r>
        <w:rPr>
          <w:rFonts w:ascii="Times New Roman" w:hAnsi="Times New Roman" w:eastAsia="黑体" w:cs="Times New Roman"/>
          <w:b/>
          <w:bCs/>
        </w:rPr>
        <w:t>2.5.3 现有研究的局限与本文的研究切入点</w:t>
      </w:r>
      <w:bookmarkEnd w:id="46"/>
    </w:p>
    <w:p w14:paraId="5E37CB61">
      <w:pPr>
        <w:spacing w:line="288" w:lineRule="auto"/>
        <w:ind w:firstLine="482"/>
        <w:rPr>
          <w:rFonts w:ascii="Times New Roman" w:hAnsi="Times New Roman" w:cs="Times New Roman"/>
        </w:rPr>
      </w:pPr>
      <w:r>
        <w:rPr>
          <w:rFonts w:ascii="Times New Roman" w:hAnsi="Times New Roman" w:cs="Times New Roman"/>
        </w:rPr>
        <w:t>通过系统梳理上述文献，可以发现现有关于UGC激励机制与内容质量关系的研究存在以下几方面不足，也为本研究提供了明确的切入点和问题定位。</w:t>
      </w:r>
    </w:p>
    <w:p w14:paraId="11769D9C">
      <w:pPr>
        <w:spacing w:line="288" w:lineRule="auto"/>
        <w:ind w:firstLine="482"/>
        <w:rPr>
          <w:rFonts w:ascii="Times New Roman" w:hAnsi="Times New Roman" w:cs="Times New Roman"/>
        </w:rPr>
      </w:pPr>
      <w:r>
        <w:rPr>
          <w:rFonts w:ascii="Times New Roman" w:hAnsi="Times New Roman" w:cs="Times New Roman"/>
        </w:rPr>
        <w:t>第一，研究场景的局限。现有研究大多聚焦于维基百科等文本型知识社区，或关注秀场直播、带货直播等实时互动场景，专门针对知识类视频UGC平台（尤其是哔哩哔哩知识区）中激励机制效应的研究仍较为匮乏。知识类视频UGC在内容属性、创作过程和激励响应方式上均与上述场景存在显著差异，有必要在专属场景中开展专项研究。</w:t>
      </w:r>
    </w:p>
    <w:p w14:paraId="714ABDBF">
      <w:pPr>
        <w:spacing w:line="288" w:lineRule="auto"/>
        <w:ind w:firstLine="482"/>
        <w:rPr>
          <w:rFonts w:ascii="Times New Roman" w:hAnsi="Times New Roman" w:cs="Times New Roman"/>
        </w:rPr>
      </w:pPr>
      <w:r>
        <w:rPr>
          <w:rFonts w:ascii="Times New Roman" w:hAnsi="Times New Roman" w:cs="Times New Roman"/>
        </w:rPr>
        <w:t>第二，激励形式的特殊性研究不足。现有研究对货币激励与非货币激励的研究已有较为充分的积累，但对哔哩哔哩投币这种“兼具货币信号与精神认可双重属性”的混合激励形式的专项研究几乎空白。投币激励的独特机制——稀缺性、可信信号属性、时间滞后效应——需要专门的理论分析和实证检验。</w:t>
      </w:r>
    </w:p>
    <w:p w14:paraId="4F4FD464">
      <w:pPr>
        <w:spacing w:line="288" w:lineRule="auto"/>
        <w:ind w:firstLine="482"/>
        <w:rPr>
          <w:rFonts w:ascii="Times New Roman" w:hAnsi="Times New Roman" w:cs="Times New Roman"/>
        </w:rPr>
      </w:pPr>
      <w:r>
        <w:rPr>
          <w:rFonts w:ascii="Times New Roman" w:hAnsi="Times New Roman" w:cs="Times New Roman"/>
        </w:rPr>
        <w:t>第三，中介机制的识别不充分。现有研究多关注激励与UGC质量的直接关系，对于激励通过何种具体行为路径（内容打磨周期、评论互动深度等）影响内容质量的中介机制研究较为薄弱，缺乏系统的“激励—努力—质量”链条分析。本研究通过同时引入内容打磨周期和评论互动深度作为两个中介变量，尝试在微观行为层面揭示投币激励的具体传导路径。</w:t>
      </w:r>
    </w:p>
    <w:p w14:paraId="01810B8B">
      <w:pPr>
        <w:spacing w:line="288" w:lineRule="auto"/>
        <w:ind w:firstLine="482"/>
        <w:rPr>
          <w:rFonts w:ascii="Times New Roman" w:hAnsi="Times New Roman" w:cs="Times New Roman"/>
        </w:rPr>
      </w:pPr>
      <w:r>
        <w:rPr>
          <w:rFonts w:ascii="Times New Roman" w:hAnsi="Times New Roman" w:cs="Times New Roman"/>
        </w:rPr>
        <w:t>第四，群体异质性效应的探讨不足。现有研究大多将UGC创作者作为同质化群体进行分析，较少关注激励效应在不同创作者层级（头部vs尾部）和不同内容类型（长视频vs短视频）之间的异质性。本研究引入群体异质性作为调节维度（H5a、H5b），有助于揭示投币激励效应的边界条件，为平台制定差异化激励策略提供依据。</w:t>
      </w:r>
    </w:p>
    <w:p w14:paraId="61E6A7E2">
      <w:pPr>
        <w:spacing w:line="288" w:lineRule="auto"/>
        <w:ind w:firstLine="482"/>
        <w:rPr>
          <w:rFonts w:ascii="Times New Roman" w:hAnsi="Times New Roman" w:cs="Times New Roman"/>
        </w:rPr>
      </w:pPr>
    </w:p>
    <w:p w14:paraId="12C6C841">
      <w:pPr>
        <w:spacing w:before="400" w:after="200"/>
        <w:jc w:val="center"/>
        <w:outlineLvl w:val="0"/>
        <w:rPr>
          <w:rFonts w:ascii="Times New Roman" w:hAnsi="Times New Roman" w:cs="Times New Roman"/>
        </w:rPr>
      </w:pPr>
      <w:bookmarkStart w:id="47" w:name="_Toc2904"/>
      <w:r>
        <w:rPr>
          <w:rFonts w:ascii="Times New Roman" w:hAnsi="Times New Roman" w:eastAsia="黑体" w:cs="Times New Roman"/>
          <w:b/>
          <w:bCs/>
          <w:sz w:val="32"/>
          <w:szCs w:val="32"/>
        </w:rPr>
        <w:t>第三章  研究设计与数据来源</w:t>
      </w:r>
      <w:bookmarkEnd w:id="47"/>
    </w:p>
    <w:p w14:paraId="2182B25A">
      <w:pPr>
        <w:spacing w:line="288" w:lineRule="auto"/>
        <w:ind w:firstLine="482"/>
        <w:rPr>
          <w:rFonts w:ascii="Times New Roman" w:hAnsi="Times New Roman" w:cs="Times New Roman"/>
        </w:rPr>
      </w:pPr>
      <w:r>
        <w:rPr>
          <w:rFonts w:ascii="Times New Roman" w:hAnsi="Times New Roman" w:cs="Times New Roman"/>
        </w:rPr>
        <w:t>本章节将结合既有文献与哔哩哔哩知识区的平台特征，对投币激励影响内容质量的作用机制进行系统推导。本研究建立了一个以投币激励为前因变量、以内容打磨周期和评论互动深度为中介变量、以内容质量指数为结果变量的理论分析框架，并进一步区分了价值信号与流量信号的差异性作用逻辑。本章末尾对各变量的具体含义与测量方式进行了界定。</w:t>
      </w:r>
    </w:p>
    <w:p w14:paraId="02C2D59D">
      <w:pPr>
        <w:spacing w:before="300" w:after="150"/>
        <w:outlineLvl w:val="1"/>
        <w:rPr>
          <w:rFonts w:ascii="Times New Roman" w:hAnsi="Times New Roman" w:eastAsia="黑体" w:cs="Times New Roman"/>
        </w:rPr>
      </w:pPr>
      <w:bookmarkStart w:id="48" w:name="_Toc23152"/>
      <w:r>
        <w:rPr>
          <w:rFonts w:ascii="Times New Roman" w:hAnsi="Times New Roman" w:eastAsia="黑体" w:cs="Times New Roman"/>
          <w:b/>
          <w:bCs/>
          <w:sz w:val="28"/>
          <w:szCs w:val="28"/>
        </w:rPr>
        <w:t>3.1  模型的确立</w:t>
      </w:r>
      <w:bookmarkEnd w:id="48"/>
    </w:p>
    <w:p w14:paraId="6EF3D6B2">
      <w:pPr>
        <w:spacing w:line="288" w:lineRule="auto"/>
        <w:ind w:firstLine="482"/>
        <w:rPr>
          <w:rFonts w:ascii="Times New Roman" w:hAnsi="Times New Roman" w:cs="Times New Roman"/>
        </w:rPr>
      </w:pPr>
      <w:r>
        <w:rPr>
          <w:rFonts w:ascii="Times New Roman" w:hAnsi="Times New Roman" w:cs="Times New Roman"/>
        </w:rPr>
        <w:t>本研究的理论模型以社会交换理论（Social Exchange Theory）与自我决定理论（Self-Determination Theory, SDT）为核心支柱，并融合生产周期理论与累积优势理论加以补充，构建了一个多层次、多路径的分析框架。</w:t>
      </w:r>
    </w:p>
    <w:p w14:paraId="0E062F75">
      <w:pPr>
        <w:spacing w:line="288" w:lineRule="auto"/>
        <w:ind w:firstLine="482"/>
        <w:rPr>
          <w:rFonts w:ascii="Times New Roman" w:hAnsi="Times New Roman" w:cs="Times New Roman"/>
        </w:rPr>
      </w:pPr>
      <w:r>
        <w:rPr>
          <w:rFonts w:ascii="Times New Roman" w:hAnsi="Times New Roman" w:cs="Times New Roman"/>
        </w:rPr>
        <w:t>社会交换理论由Blau（1964）系统化建构，其核心命题是：社会行动者在资源交换过程中受互惠规范的驱动，当一方感知到对方付出了稀缺性资源时，便会产生强烈的回报动机，并通过提升自身行为的质量来履行这一非正式的社会契约</w:t>
      </w:r>
      <w:r>
        <w:rPr>
          <w:rFonts w:ascii="Times New Roman" w:hAnsi="Times New Roman" w:cs="Times New Roman"/>
          <w:vertAlign w:val="superscript"/>
        </w:rPr>
        <w:t>[1]</w:t>
      </w:r>
      <w:r>
        <w:rPr>
          <w:rFonts w:ascii="Times New Roman" w:hAnsi="Times New Roman" w:cs="Times New Roman"/>
        </w:rPr>
        <w:t>。Gouldner（1960）进一步指出，互惠规范是人类社会最为普遍的行为准则之一，个体在接收到他人“礼物”后，即便这种“礼物”是非货币性的认可，也会本能地产生以同等或更高水准予以回报的内在驱动力</w:t>
      </w:r>
      <w:r>
        <w:rPr>
          <w:rFonts w:ascii="Times New Roman" w:hAnsi="Times New Roman" w:cs="Times New Roman"/>
          <w:vertAlign w:val="superscript"/>
        </w:rPr>
        <w:t>[2]</w:t>
      </w:r>
      <w:r>
        <w:rPr>
          <w:rFonts w:ascii="Times New Roman" w:hAnsi="Times New Roman" w:cs="Times New Roman"/>
        </w:rPr>
        <w:t>。在数字内容创作场景中，社会交换理论的适用性已得到多项研究的支持：Wasko和Faraj（2000）发现，在线社区成员向社区贡献知识的动机在相当程度上来源于对他人回报的预期；Wang和Fesenmaier（2003）亦证实，感知到来自社区的互惠支持能够显著增强个体的内容贡献行为</w:t>
      </w:r>
      <w:r>
        <w:rPr>
          <w:rFonts w:ascii="Times New Roman" w:hAnsi="Times New Roman" w:cs="Times New Roman"/>
          <w:vertAlign w:val="superscript"/>
        </w:rPr>
        <w:t>[3]</w:t>
      </w:r>
      <w:r>
        <w:rPr>
          <w:rFonts w:ascii="Times New Roman" w:hAnsi="Times New Roman" w:cs="Times New Roman"/>
        </w:rPr>
        <w:t>。这些证据表明，社会交换中的互惠逻辑同样适用于解释UGC平台创作者的行为动机。</w:t>
      </w:r>
    </w:p>
    <w:p w14:paraId="395E1C32">
      <w:pPr>
        <w:spacing w:line="288" w:lineRule="auto"/>
        <w:ind w:firstLine="482"/>
        <w:rPr>
          <w:rFonts w:ascii="Times New Roman" w:hAnsi="Times New Roman" w:cs="Times New Roman"/>
        </w:rPr>
      </w:pPr>
      <w:r>
        <w:rPr>
          <w:rFonts w:ascii="Times New Roman" w:hAnsi="Times New Roman" w:cs="Times New Roman"/>
        </w:rPr>
        <w:t>自我决定理论由Deci和Ryan（1985）提出，将人类动机区分为内在动机与外在动机，并认为三种基本心理需求——自主需求、胜任需求和归属需求——是内在动机形成与维持的核心来源</w:t>
      </w:r>
      <w:r>
        <w:rPr>
          <w:rFonts w:ascii="Times New Roman" w:hAnsi="Times New Roman" w:cs="Times New Roman"/>
          <w:vertAlign w:val="superscript"/>
        </w:rPr>
        <w:t>[4]</w:t>
      </w:r>
      <w:r>
        <w:rPr>
          <w:rFonts w:ascii="Times New Roman" w:hAnsi="Times New Roman" w:cs="Times New Roman"/>
        </w:rPr>
        <w:t>。当个体通过外部反馈感知到自身的能力得到了肯定，胜任需求得到满足时，其内在动机将得到显著强化，进而表现出更为持续和高质量的行为输出。研究表明，在创作者经济的语境下，来自受众的积极回应若能有效传递“能力认可”的信号，便能激活创作者的内在成就动机，促使其主动寻求质量提升</w:t>
      </w:r>
      <w:r>
        <w:rPr>
          <w:rFonts w:ascii="Times New Roman" w:hAnsi="Times New Roman" w:cs="Times New Roman"/>
          <w:vertAlign w:val="superscript"/>
        </w:rPr>
        <w:t>[5]</w:t>
      </w:r>
      <w:r>
        <w:rPr>
          <w:rFonts w:ascii="Times New Roman" w:hAnsi="Times New Roman" w:cs="Times New Roman"/>
        </w:rPr>
        <w:t>。值得注意的是，自我决定理论同时警示，若外部激励过于凸显控制性，反而可能削弱内在动机，产生过度合理化效应；而当外部反馈具有信息性，即能够告知个体其表现如何时，则更有可能对内在动机产生积极的增强作用</w:t>
      </w:r>
      <w:r>
        <w:rPr>
          <w:rFonts w:ascii="Times New Roman" w:hAnsi="Times New Roman" w:cs="Times New Roman"/>
          <w:vertAlign w:val="superscript"/>
        </w:rPr>
        <w:t>[6]</w:t>
      </w:r>
      <w:r>
        <w:rPr>
          <w:rFonts w:ascii="Times New Roman" w:hAnsi="Times New Roman" w:cs="Times New Roman"/>
        </w:rPr>
        <w:t>。</w:t>
      </w:r>
    </w:p>
    <w:p w14:paraId="3F9799BF">
      <w:pPr>
        <w:spacing w:line="288" w:lineRule="auto"/>
        <w:ind w:firstLine="482"/>
        <w:rPr>
          <w:rFonts w:ascii="Times New Roman" w:hAnsi="Times New Roman" w:cs="Times New Roman"/>
        </w:rPr>
      </w:pPr>
      <w:r>
        <w:rPr>
          <w:rFonts w:ascii="Times New Roman" w:hAnsi="Times New Roman" w:cs="Times New Roman"/>
        </w:rPr>
        <w:t>在以上两大理论的基础上，本研究进一步引入生产周期理论和累积优势理论加以补充。生产周期理论指出，内容创作是一个以固定或可变时间单位为节拍的周期性迭代过程，创作者在每个生产周期结束后会对来自受众的反馈信号进行评估，并据此调整下一个周期的资源投入水平</w:t>
      </w:r>
      <w:r>
        <w:rPr>
          <w:rFonts w:ascii="Times New Roman" w:hAnsi="Times New Roman" w:cs="Times New Roman"/>
          <w:vertAlign w:val="superscript"/>
        </w:rPr>
        <w:t>[7]</w:t>
      </w:r>
      <w:r>
        <w:rPr>
          <w:rFonts w:ascii="Times New Roman" w:hAnsi="Times New Roman" w:cs="Times New Roman"/>
        </w:rPr>
        <w:t>。在这一框架下，来自受众的高价值反馈（如投币）能够促使创作者在下一个创作周期延长准备时间、增加制作投入，从而系统性地提升内容质量。累积优势理论，即广为人知的“马太效应”，由Merton（1968）正式提出，认为初始资源积累越丰富的个体，在将外部激励转化为实质性产出方面往往具有更强的能力与更大的空间</w:t>
      </w:r>
      <w:r>
        <w:rPr>
          <w:rFonts w:ascii="Times New Roman" w:hAnsi="Times New Roman" w:cs="Times New Roman"/>
          <w:vertAlign w:val="superscript"/>
        </w:rPr>
        <w:t>[8]</w:t>
      </w:r>
      <w:r>
        <w:rPr>
          <w:rFonts w:ascii="Times New Roman" w:hAnsi="Times New Roman" w:cs="Times New Roman"/>
        </w:rPr>
        <w:t>。就哔哩哔哩知识区创作者群体而言，粉丝规模较大的头部创作者往往拥有更完善的创作团队和更充裕的制作资源，能够将投币激励带来的互惠动机更有效地转化为可观察的内容质量提升。</w:t>
      </w:r>
    </w:p>
    <w:p w14:paraId="75613660">
      <w:pPr>
        <w:spacing w:line="288" w:lineRule="auto"/>
        <w:ind w:firstLine="482"/>
        <w:rPr>
          <w:rFonts w:ascii="Times New Roman" w:hAnsi="Times New Roman" w:cs="Times New Roman"/>
        </w:rPr>
      </w:pPr>
      <w:r>
        <w:rPr>
          <w:rFonts w:ascii="Times New Roman" w:hAnsi="Times New Roman" w:cs="Times New Roman"/>
        </w:rPr>
        <w:t>基于上述四大理论的整合，本研究认为，投币激励作用于内容质量的路径并非单一直接的。投币激励的“价值信号”属性，首先会通过社会交换互惠逻辑触发创作者的行为回报动机，驱动其延长内容打磨周期（投入互惠机制）；其次，投币激励所激发的观众价值认同也会深化评论区的实质性互动，为创作者提供方向性的内容改进信息（深度反馈机制）。与之形成对照的是，以分享传播为代表的“流量信号”因其稀缺性低、价值认同弱，预期对创作者内容质量提升动机的触发效果有限。此外，在上述两条中介路径上，投币激励对内容质量的作用强度还会因创作者粉丝规模和视频时长的不同而呈现出显著的群体差异。本研究的理论模型如图2所示：</w:t>
      </w:r>
    </w:p>
    <w:p w14:paraId="1CC134A6">
      <w:pPr>
        <w:spacing w:line="288" w:lineRule="auto"/>
        <w:ind w:firstLine="482"/>
        <w:rPr>
          <w:rFonts w:ascii="Times New Roman" w:hAnsi="Times New Roman" w:cs="Times New Roman"/>
        </w:rPr>
      </w:pPr>
    </w:p>
    <w:p w14:paraId="5014D8DF">
      <w:pPr>
        <w:spacing w:line="288" w:lineRule="auto"/>
        <w:ind w:firstLine="482"/>
        <w:rPr>
          <w:rFonts w:ascii="Times New Roman" w:hAnsi="Times New Roman" w:cs="Times New Roman"/>
        </w:rPr>
      </w:pPr>
    </w:p>
    <w:p w14:paraId="083FA20E">
      <w:pPr>
        <w:spacing w:before="120" w:beforeLines="50" w:line="288" w:lineRule="auto"/>
        <w:jc w:val="center"/>
        <w:rPr>
          <w:rFonts w:ascii="Times New Roman" w:hAnsi="Times New Roman" w:cs="Times New Roman"/>
        </w:rPr>
      </w:pPr>
      <w:r>
        <w:rPr>
          <w:rFonts w:ascii="Times New Roman" w:hAnsi="Times New Roman" w:cs="Times New Roman"/>
        </w:rPr>
        <w:drawing>
          <wp:inline distT="0" distB="0" distL="114300" distR="114300">
            <wp:extent cx="4826000" cy="2634615"/>
            <wp:effectExtent l="0" t="0" r="0" b="6985"/>
            <wp:docPr id="3" name="图片 3" descr="unna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named (1)"/>
                    <pic:cNvPicPr>
                      <a:picLocks noChangeAspect="1"/>
                    </pic:cNvPicPr>
                  </pic:nvPicPr>
                  <pic:blipFill>
                    <a:blip r:embed="rId10"/>
                    <a:stretch>
                      <a:fillRect/>
                    </a:stretch>
                  </pic:blipFill>
                  <pic:spPr>
                    <a:xfrm>
                      <a:off x="0" y="0"/>
                      <a:ext cx="4826000" cy="2634615"/>
                    </a:xfrm>
                    <a:prstGeom prst="rect">
                      <a:avLst/>
                    </a:prstGeom>
                  </pic:spPr>
                </pic:pic>
              </a:graphicData>
            </a:graphic>
          </wp:inline>
        </w:drawing>
      </w:r>
    </w:p>
    <w:p w14:paraId="4AEBE30F">
      <w:pPr>
        <w:pStyle w:val="8"/>
        <w:spacing w:before="120" w:beforeLines="50" w:line="288" w:lineRule="auto"/>
        <w:jc w:val="center"/>
        <w:rPr>
          <w:rFonts w:ascii="Times New Roman" w:hAnsi="Times New Roman" w:eastAsia="宋体" w:cs="Times New Roman"/>
          <w:sz w:val="24"/>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研究理论模型示意图</w:t>
      </w:r>
    </w:p>
    <w:p w14:paraId="77F18E2D">
      <w:pPr>
        <w:spacing w:line="288" w:lineRule="auto"/>
        <w:rPr>
          <w:rFonts w:ascii="Times New Roman" w:hAnsi="Times New Roman" w:cs="Times New Roman"/>
        </w:rPr>
      </w:pPr>
    </w:p>
    <w:p w14:paraId="60E5B708">
      <w:pPr>
        <w:spacing w:before="300" w:after="150"/>
        <w:outlineLvl w:val="1"/>
        <w:rPr>
          <w:rFonts w:ascii="Times New Roman" w:hAnsi="Times New Roman" w:eastAsia="黑体" w:cs="Times New Roman"/>
        </w:rPr>
      </w:pPr>
      <w:bookmarkStart w:id="49" w:name="_Toc23829"/>
      <w:r>
        <w:rPr>
          <w:rFonts w:ascii="Times New Roman" w:hAnsi="Times New Roman" w:eastAsia="黑体" w:cs="Times New Roman"/>
          <w:b/>
          <w:bCs/>
          <w:sz w:val="28"/>
          <w:szCs w:val="28"/>
        </w:rPr>
        <w:t>3.2假设推导</w:t>
      </w:r>
      <w:bookmarkEnd w:id="49"/>
    </w:p>
    <w:p w14:paraId="77DA9178">
      <w:pPr>
        <w:spacing w:line="288" w:lineRule="auto"/>
        <w:ind w:firstLine="482"/>
        <w:rPr>
          <w:rFonts w:ascii="Times New Roman" w:hAnsi="Times New Roman" w:cs="Times New Roman"/>
        </w:rPr>
      </w:pPr>
      <w:r>
        <w:rPr>
          <w:rFonts w:ascii="Times New Roman" w:hAnsi="Times New Roman" w:cs="Times New Roman"/>
        </w:rPr>
        <w:t>本节基于前人研究成果，结合适当的逻辑推理，从投币激励对内容质量的直接影响、投入互惠机制、深度反馈机制、流量传播路径的有效性，以及激励效应的群体异质性几个层面，提出本文的研究假设。</w:t>
      </w:r>
    </w:p>
    <w:p w14:paraId="4D6DA632">
      <w:pPr>
        <w:spacing w:before="200" w:after="100"/>
        <w:outlineLvl w:val="2"/>
        <w:rPr>
          <w:rFonts w:ascii="Times New Roman" w:hAnsi="Times New Roman" w:eastAsia="黑体" w:cs="Times New Roman"/>
          <w:b/>
          <w:bCs/>
        </w:rPr>
      </w:pPr>
      <w:bookmarkStart w:id="50" w:name="_Toc25739"/>
      <w:r>
        <w:rPr>
          <w:rFonts w:ascii="Times New Roman" w:hAnsi="Times New Roman" w:eastAsia="黑体" w:cs="Times New Roman"/>
          <w:b/>
          <w:bCs/>
        </w:rPr>
        <w:t>3.2.1  投币激励对内容质量的直接影响</w:t>
      </w:r>
      <w:bookmarkEnd w:id="50"/>
    </w:p>
    <w:p w14:paraId="3557DDF8">
      <w:pPr>
        <w:spacing w:line="288" w:lineRule="auto"/>
        <w:ind w:firstLine="480"/>
        <w:rPr>
          <w:rFonts w:ascii="Times New Roman" w:hAnsi="Times New Roman" w:cs="Times New Roman"/>
        </w:rPr>
      </w:pPr>
      <w:r>
        <w:rPr>
          <w:rFonts w:ascii="Times New Roman" w:hAnsi="Times New Roman" w:cs="Times New Roman"/>
        </w:rPr>
        <w:t>在哔哩哔哩平台，投币是一种制度性稀缺资源：每位正式会员每日仅能投出有限数量的硬币，且投出后无法撤回。这一机制设计使得投币行为在本质上是一种经过深思熟虑的价值表态，其稀缺性与不可逆性使之与随手可操作的点赞、收藏存在显著的本质差异。从观众视角看，投币意味着将有限的、每日归零的稀缺资源定向让渡给某一内容，这是高于一般互动的认可行为；从创作者视角看，收到投币则意味着获得了来自观众最具分量的价值确认。</w:t>
      </w:r>
    </w:p>
    <w:p w14:paraId="16462153">
      <w:pPr>
        <w:spacing w:line="288" w:lineRule="auto"/>
        <w:ind w:firstLine="480"/>
        <w:rPr>
          <w:rFonts w:ascii="Times New Roman" w:hAnsi="Times New Roman" w:cs="Times New Roman"/>
        </w:rPr>
      </w:pPr>
      <w:r>
        <w:rPr>
          <w:rFonts w:ascii="Times New Roman" w:hAnsi="Times New Roman" w:cs="Times New Roman"/>
        </w:rPr>
        <w:t>在社会交换理论框架下，当回报方感知到施惠方所付出资源的稀缺性与诚意时，往往会产生更为强烈的互惠动机（Emerson, 1976）</w:t>
      </w:r>
      <w:r>
        <w:rPr>
          <w:rFonts w:ascii="Times New Roman" w:hAnsi="Times New Roman" w:cs="Times New Roman"/>
          <w:vertAlign w:val="superscript"/>
        </w:rPr>
        <w:t>[9]</w:t>
      </w:r>
      <w:r>
        <w:rPr>
          <w:rFonts w:ascii="Times New Roman" w:hAnsi="Times New Roman" w:cs="Times New Roman"/>
        </w:rPr>
        <w:t>。相较于低门槛的“一键三连”行为，投币所传递的正是这种具备稀缺性溢价的认可信号。研究表明，在在线社区语境下，感知到观众给予的高价值回馈会激励内容生产者在后续创作中付出更多努力（Toubia &amp; Stephen, 2013）</w:t>
      </w:r>
      <w:r>
        <w:rPr>
          <w:rFonts w:ascii="Times New Roman" w:hAnsi="Times New Roman" w:cs="Times New Roman"/>
          <w:vertAlign w:val="superscript"/>
        </w:rPr>
        <w:t>[10]</w:t>
      </w:r>
      <w:r>
        <w:rPr>
          <w:rFonts w:ascii="Times New Roman" w:hAnsi="Times New Roman" w:cs="Times New Roman"/>
        </w:rPr>
        <w:t>；对于以知识传播为核心职能的B站知识区UP主而言，投币所代表的观众认可更能激发其在选题深化、知识考证、逻辑打磨等高价值环节的持续投入。</w:t>
      </w:r>
    </w:p>
    <w:p w14:paraId="54BD4ED0">
      <w:pPr>
        <w:spacing w:line="288" w:lineRule="auto"/>
        <w:ind w:firstLine="480"/>
        <w:rPr>
          <w:rFonts w:ascii="Times New Roman" w:hAnsi="Times New Roman" w:cs="Times New Roman"/>
        </w:rPr>
      </w:pPr>
      <w:r>
        <w:rPr>
          <w:rFonts w:ascii="Times New Roman" w:hAnsi="Times New Roman" w:cs="Times New Roman"/>
        </w:rPr>
        <w:t>从自我决定理论的胜任需求视角来看，投币行为所传递的“你的内容值得我投入稀缺资源”这一信号，是对创作者专业能力与内容价值的有力肯定，能够有效满足其胜任感需求。Deci等（1999）的元分析研究表明，具有信息性特征的正向外部反馈对内在动机具有稳健的强化效果，其结论在多个领域均得到了实证支持</w:t>
      </w:r>
      <w:r>
        <w:rPr>
          <w:rFonts w:ascii="Times New Roman" w:hAnsi="Times New Roman" w:cs="Times New Roman"/>
          <w:vertAlign w:val="superscript"/>
        </w:rPr>
        <w:t>[11]</w:t>
      </w:r>
      <w:r>
        <w:rPr>
          <w:rFonts w:ascii="Times New Roman" w:hAnsi="Times New Roman" w:cs="Times New Roman"/>
        </w:rPr>
        <w:t>。在创作者经济背景下，秦芬和李扬（2018）在梳理UGC激励机制研究时也指出，来自受众的正向价值反馈是驱动创作者持续提升内容质量的重要外部力量，尤其当激励与内容价值认可相挂钩时，其效果显著优于单纯的流量激励</w:t>
      </w:r>
      <w:r>
        <w:rPr>
          <w:rFonts w:ascii="Times New Roman" w:hAnsi="Times New Roman" w:cs="Times New Roman"/>
          <w:vertAlign w:val="superscript"/>
        </w:rPr>
        <w:t>[12]</w:t>
      </w:r>
      <w:r>
        <w:rPr>
          <w:rFonts w:ascii="Times New Roman" w:hAnsi="Times New Roman" w:cs="Times New Roman"/>
        </w:rPr>
        <w:t>。</w:t>
      </w:r>
    </w:p>
    <w:p w14:paraId="09C48C79">
      <w:pPr>
        <w:spacing w:line="288" w:lineRule="auto"/>
        <w:ind w:firstLine="480"/>
        <w:rPr>
          <w:rFonts w:ascii="Times New Roman" w:hAnsi="Times New Roman" w:cs="Times New Roman"/>
        </w:rPr>
      </w:pPr>
      <w:r>
        <w:rPr>
          <w:rFonts w:ascii="Times New Roman" w:hAnsi="Times New Roman" w:cs="Times New Roman"/>
        </w:rPr>
        <w:t>此外，既有研究在相似情境中已对上述逻辑提供了实证支持。Burtch等（2018）利用众包平台的自然实验数据证明，来自其他用户的货币性肯定能够正向激励内容生产者在后续任务中提升产出质量，且这一效应通过社会认可机制的传导明显强于纯粹的经济激励渠道</w:t>
      </w:r>
      <w:r>
        <w:rPr>
          <w:rFonts w:ascii="Times New Roman" w:hAnsi="Times New Roman" w:cs="Times New Roman"/>
          <w:vertAlign w:val="superscript"/>
        </w:rPr>
        <w:t>[13]</w:t>
      </w:r>
      <w:r>
        <w:rPr>
          <w:rFonts w:ascii="Times New Roman" w:hAnsi="Times New Roman" w:cs="Times New Roman"/>
        </w:rPr>
        <w:t>。Lin等（2019）针对直播平台打赏行为的研究同样发现，观众虚拟礼物赠送（一种具有稀缺成本的价值信号）对主播后续表现质量的正向影响显著</w:t>
      </w:r>
      <w:r>
        <w:rPr>
          <w:rFonts w:ascii="Times New Roman" w:hAnsi="Times New Roman" w:cs="Times New Roman"/>
          <w:vertAlign w:val="superscript"/>
        </w:rPr>
        <w:t>[14]</w:t>
      </w:r>
      <w:r>
        <w:rPr>
          <w:rFonts w:ascii="Times New Roman" w:hAnsi="Times New Roman" w:cs="Times New Roman"/>
        </w:rPr>
        <w:t>。</w:t>
      </w:r>
    </w:p>
    <w:p w14:paraId="0CD28359">
      <w:pPr>
        <w:spacing w:line="288" w:lineRule="auto"/>
        <w:ind w:firstLine="482"/>
        <w:rPr>
          <w:rFonts w:ascii="Times New Roman" w:hAnsi="Times New Roman" w:cs="Times New Roman"/>
        </w:rPr>
      </w:pPr>
      <w:r>
        <w:rPr>
          <w:rFonts w:ascii="Times New Roman" w:hAnsi="Times New Roman" w:cs="Times New Roman"/>
        </w:rPr>
        <w:t>综合以上分析，本文认为，创作者在前期视频中获得的投币激励，将对其后续视频的内容质量产生显著正向影响。据此，提出假设1：</w:t>
      </w:r>
    </w:p>
    <w:p w14:paraId="11D0CA38">
      <w:pPr>
        <w:spacing w:line="288" w:lineRule="auto"/>
        <w:ind w:firstLine="482"/>
        <w:rPr>
          <w:rFonts w:ascii="Times New Roman" w:hAnsi="Times New Roman" w:cs="Times New Roman"/>
        </w:rPr>
      </w:pPr>
      <w:r>
        <w:rPr>
          <w:rFonts w:ascii="Times New Roman" w:hAnsi="Times New Roman" w:cs="Times New Roman"/>
          <w:b/>
          <w:bCs/>
        </w:rPr>
        <w:t>H1：投币激励对知识区创作者后续视频的内容质量具有显著正向影响</w:t>
      </w:r>
      <w:r>
        <w:rPr>
          <w:rFonts w:ascii="Times New Roman" w:hAnsi="Times New Roman" w:cs="Times New Roman"/>
        </w:rPr>
        <w:t>。</w:t>
      </w:r>
    </w:p>
    <w:p w14:paraId="664BD7F7">
      <w:pPr>
        <w:spacing w:before="200" w:after="100"/>
        <w:outlineLvl w:val="2"/>
        <w:rPr>
          <w:rFonts w:ascii="Times New Roman" w:hAnsi="Times New Roman" w:eastAsia="黑体" w:cs="Times New Roman"/>
          <w:b/>
          <w:bCs/>
        </w:rPr>
      </w:pPr>
      <w:bookmarkStart w:id="51" w:name="_Toc17001"/>
      <w:r>
        <w:rPr>
          <w:rFonts w:ascii="Times New Roman" w:hAnsi="Times New Roman" w:eastAsia="黑体" w:cs="Times New Roman"/>
          <w:b/>
          <w:bCs/>
        </w:rPr>
        <w:t>3.2.2  投入互惠机制：打磨周期的中介作用</w:t>
      </w:r>
      <w:bookmarkEnd w:id="51"/>
    </w:p>
    <w:p w14:paraId="7111EE0F">
      <w:pPr>
        <w:spacing w:line="288" w:lineRule="auto"/>
        <w:ind w:firstLine="482"/>
        <w:rPr>
          <w:rFonts w:ascii="Times New Roman" w:hAnsi="Times New Roman" w:cs="Times New Roman"/>
        </w:rPr>
      </w:pPr>
      <w:r>
        <w:rPr>
          <w:rFonts w:ascii="Times New Roman" w:hAnsi="Times New Roman" w:cs="Times New Roman"/>
        </w:rPr>
        <w:t>社会交换理论中的互惠逻辑不仅体现在情感层面，更会具体转化为创作者的时间与精力投入行为。生产周期理论指出，内容创作是一个周期性迭代的过程，创作者在完成一条视频后，会根据观众反馈决定下一个创作周期的资源投入水平</w:t>
      </w:r>
      <w:r>
        <w:rPr>
          <w:rFonts w:ascii="Times New Roman" w:hAnsi="Times New Roman" w:cs="Times New Roman"/>
          <w:vertAlign w:val="superscript"/>
        </w:rPr>
        <w:t>[3]</w:t>
      </w:r>
      <w:r>
        <w:rPr>
          <w:rFonts w:ascii="Times New Roman" w:hAnsi="Times New Roman" w:cs="Times New Roman"/>
        </w:rPr>
        <w:t>。当创作者感受到观众以投币形式传递的高价值认可时，互惠规范将驱动其在下一个创作周期投入更多时间，延长内容打磨周期，以更精细的制作回报观众的支持。</w:t>
      </w:r>
    </w:p>
    <w:p w14:paraId="3DB45811">
      <w:pPr>
        <w:spacing w:line="288" w:lineRule="auto"/>
        <w:ind w:firstLine="480"/>
        <w:rPr>
          <w:rFonts w:ascii="Times New Roman" w:hAnsi="Times New Roman" w:cs="Times New Roman"/>
        </w:rPr>
      </w:pPr>
      <w:r>
        <w:rPr>
          <w:rFonts w:ascii="Times New Roman" w:hAnsi="Times New Roman" w:cs="Times New Roman"/>
        </w:rPr>
        <w:t>内容打磨周期的延长，在行为层面表现为视频发布时间间隔的拉长。具体而言，创作者会将更多时间分配至选题调研、脚本撰写与修改、参考文献梳理、素材采集与剪辑精修等高附加值环节。这一逻辑在内容创作实践中有充分的经验依据：B站知识区内广受好评的深度知识类视频往往经历了数周乃至数月的制作打磨，其“制作周期”本身已成为创作者内容品质的隐性背书；相反，仓促发布的“水视频”则频繁遭到观众批评，导致评分与好感度双双下滑。</w:t>
      </w:r>
    </w:p>
    <w:p w14:paraId="4681AE56">
      <w:pPr>
        <w:spacing w:line="288" w:lineRule="auto"/>
        <w:ind w:firstLine="480"/>
        <w:rPr>
          <w:rFonts w:ascii="Times New Roman" w:hAnsi="Times New Roman" w:cs="Times New Roman"/>
        </w:rPr>
      </w:pPr>
      <w:r>
        <w:rPr>
          <w:rFonts w:ascii="Times New Roman" w:hAnsi="Times New Roman" w:cs="Times New Roman"/>
        </w:rPr>
        <w:t>从既有实证研究看，Liu等（2014）在对在线知识问答平台的研究中发现，获得高评价的回答者在后续提问中平均花费了显著更长的时间进行内容准备，这一时间投入上的差异最终转化为可测量的内容质量提升</w:t>
      </w:r>
      <w:r>
        <w:rPr>
          <w:rFonts w:ascii="Times New Roman" w:hAnsi="Times New Roman" w:cs="Times New Roman"/>
          <w:vertAlign w:val="superscript"/>
        </w:rPr>
        <w:t>[16]</w:t>
      </w:r>
      <w:r>
        <w:rPr>
          <w:rFonts w:ascii="Times New Roman" w:hAnsi="Times New Roman" w:cs="Times New Roman"/>
        </w:rPr>
        <w:t>。Huang等（2022）针对B站平台UP主的实证分析也表明，前期视频获得较高正向反馈（包括投币在内的“一键三连”行为）的创作者，在后续视频的制作周期上出现了显著的延长趋势，且这一延长与后续视频的弹幕情感评分正相关</w:t>
      </w:r>
      <w:r>
        <w:rPr>
          <w:rFonts w:ascii="Times New Roman" w:hAnsi="Times New Roman" w:cs="Times New Roman"/>
          <w:vertAlign w:val="superscript"/>
        </w:rPr>
        <w:t>[17]</w:t>
      </w:r>
      <w:r>
        <w:rPr>
          <w:rFonts w:ascii="Times New Roman" w:hAnsi="Times New Roman" w:cs="Times New Roman"/>
        </w:rPr>
        <w:t>。这些证据共同支持了“投入互惠机制”的存在：投币激励触发互惠动机→创作者延长打磨周期→内容质量提升。</w:t>
      </w:r>
    </w:p>
    <w:p w14:paraId="11214009">
      <w:pPr>
        <w:spacing w:line="288" w:lineRule="auto"/>
        <w:ind w:firstLine="480"/>
        <w:rPr>
          <w:rFonts w:ascii="Times New Roman" w:hAnsi="Times New Roman" w:cs="Times New Roman"/>
        </w:rPr>
      </w:pPr>
      <w:r>
        <w:rPr>
          <w:rFonts w:ascii="Times New Roman" w:hAnsi="Times New Roman" w:cs="Times New Roman"/>
        </w:rPr>
        <w:t>此外，自我决定理论也从动机强化的角度支持了这一中介路径。当创作者感知到投币所传递的胜任感肯定后，其对创作本身的内在兴趣与自我效能感同步提升，进而表现出更为自主的时间投入行为——不是因为外部压力，而是出于对创作价值的真实认同（Ryan &amp; Deci, 2000）</w:t>
      </w:r>
      <w:r>
        <w:rPr>
          <w:rFonts w:ascii="Times New Roman" w:hAnsi="Times New Roman" w:cs="Times New Roman"/>
          <w:vertAlign w:val="superscript"/>
        </w:rPr>
        <w:t>[4]</w:t>
      </w:r>
      <w:r>
        <w:rPr>
          <w:rFonts w:ascii="Times New Roman" w:hAnsi="Times New Roman" w:cs="Times New Roman"/>
        </w:rPr>
        <w:t>。这种由内在动机驱动的时间延长行为，相比纯粹外部压力下的被动投入，更能带来高品质的内容产出。</w:t>
      </w:r>
    </w:p>
    <w:p w14:paraId="4A1690EB">
      <w:pPr>
        <w:spacing w:line="288" w:lineRule="auto"/>
        <w:ind w:firstLine="480"/>
        <w:rPr>
          <w:rFonts w:ascii="Times New Roman" w:hAnsi="Times New Roman" w:cs="Times New Roman"/>
        </w:rPr>
      </w:pPr>
      <w:r>
        <w:rPr>
          <w:rFonts w:ascii="Times New Roman" w:hAnsi="Times New Roman" w:cs="Times New Roman"/>
        </w:rPr>
        <w:t>综合以上分析，本研究认为，内容打磨周期在投币激励与内容质量之间承担着重要的行为传导功能，构成投入互惠机制的核心路径。据此，提出假设2：</w:t>
      </w:r>
    </w:p>
    <w:p w14:paraId="0E00F39E">
      <w:pPr>
        <w:spacing w:line="288" w:lineRule="auto"/>
        <w:ind w:firstLine="482"/>
        <w:rPr>
          <w:rFonts w:ascii="Times New Roman" w:hAnsi="Times New Roman" w:cs="Times New Roman"/>
          <w:b/>
          <w:bCs/>
        </w:rPr>
      </w:pPr>
      <w:r>
        <w:rPr>
          <w:rFonts w:ascii="Times New Roman" w:hAnsi="Times New Roman" w:cs="Times New Roman"/>
          <w:b/>
          <w:bCs/>
        </w:rPr>
        <w:t>H2a：投币激励对创作者的内容打磨周期具有显著正向影响。</w:t>
      </w:r>
    </w:p>
    <w:p w14:paraId="42E481D7">
      <w:pPr>
        <w:spacing w:line="288" w:lineRule="auto"/>
        <w:ind w:firstLine="482"/>
        <w:rPr>
          <w:rFonts w:ascii="Times New Roman" w:hAnsi="Times New Roman" w:cs="Times New Roman"/>
          <w:b/>
          <w:bCs/>
        </w:rPr>
      </w:pPr>
      <w:r>
        <w:rPr>
          <w:rFonts w:ascii="Times New Roman" w:hAnsi="Times New Roman" w:cs="Times New Roman"/>
          <w:b/>
          <w:bCs/>
        </w:rPr>
        <w:t>H2b：内容打磨周期的延长对创作者后续视频的内容质量具有显著正向影响。</w:t>
      </w:r>
    </w:p>
    <w:p w14:paraId="7E068DB7">
      <w:pPr>
        <w:spacing w:line="288" w:lineRule="auto"/>
        <w:ind w:firstLine="482"/>
        <w:rPr>
          <w:rFonts w:ascii="Times New Roman" w:hAnsi="Times New Roman" w:cs="Times New Roman"/>
          <w:b/>
          <w:bCs/>
        </w:rPr>
      </w:pPr>
      <w:r>
        <w:rPr>
          <w:rFonts w:ascii="Times New Roman" w:hAnsi="Times New Roman" w:cs="Times New Roman"/>
          <w:b/>
          <w:bCs/>
        </w:rPr>
        <w:t>H2：内容打磨周期在投币激励与内容质量之间发挥中介作用（投入互惠机制）。</w:t>
      </w:r>
    </w:p>
    <w:p w14:paraId="7B645C38">
      <w:pPr>
        <w:spacing w:before="200" w:after="100"/>
        <w:outlineLvl w:val="2"/>
        <w:rPr>
          <w:rFonts w:ascii="Times New Roman" w:hAnsi="Times New Roman" w:eastAsia="黑体" w:cs="Times New Roman"/>
          <w:b/>
          <w:bCs/>
        </w:rPr>
      </w:pPr>
      <w:bookmarkStart w:id="52" w:name="_Toc9410"/>
      <w:r>
        <w:rPr>
          <w:rFonts w:ascii="Times New Roman" w:hAnsi="Times New Roman" w:eastAsia="黑体" w:cs="Times New Roman"/>
          <w:b/>
          <w:bCs/>
        </w:rPr>
        <w:t>3.2.3  深度反馈机制：评论互动的中介作用</w:t>
      </w:r>
      <w:bookmarkEnd w:id="52"/>
    </w:p>
    <w:p w14:paraId="3D96F7E4">
      <w:pPr>
        <w:spacing w:line="288" w:lineRule="auto"/>
        <w:ind w:firstLine="482"/>
        <w:rPr>
          <w:rFonts w:ascii="Times New Roman" w:hAnsi="Times New Roman" w:cs="Times New Roman"/>
        </w:rPr>
      </w:pPr>
      <w:r>
        <w:rPr>
          <w:rFonts w:ascii="Times New Roman" w:hAnsi="Times New Roman" w:cs="Times New Roman"/>
        </w:rPr>
        <w:t>投币激励对内容质量的影响，不仅体现在激励创作者增加时间投入，还通过信息反馈渠道影响内容质量的改进方向。本研究提出，在投币激励与内容质量之间，存在以评论互动深度为中介的“深度反馈机制”。这一机制的核心逻辑在于：高投币视频能够引发更深层次的评论互动，而这类深度评论为创作者提供了具有实质改进价值的信息输入，进而在后续创作中推动内容质量的系统性提升。</w:t>
      </w:r>
    </w:p>
    <w:p w14:paraId="75BEA14A">
      <w:pPr>
        <w:spacing w:line="288" w:lineRule="auto"/>
        <w:ind w:firstLine="482"/>
        <w:rPr>
          <w:rFonts w:ascii="Times New Roman" w:hAnsi="Times New Roman" w:cs="Times New Roman"/>
        </w:rPr>
      </w:pPr>
      <w:r>
        <w:rPr>
          <w:rFonts w:ascii="Times New Roman" w:hAnsi="Times New Roman" w:cs="Times New Roman"/>
        </w:rPr>
        <w:t>首先，投币行为本身对围观者的评论参与意愿具有信号引导效应。根据社会证明（social proof）理论，当观众看到某条视频获得了大量投币时，会倾向于将其视为高价值内容，并更愿意以认真的态度参与评论互动（Cialdini, 2009）</w:t>
      </w:r>
      <w:r>
        <w:rPr>
          <w:rFonts w:ascii="Times New Roman" w:hAnsi="Times New Roman" w:cs="Times New Roman"/>
          <w:vertAlign w:val="superscript"/>
        </w:rPr>
        <w:t>[18]</w:t>
      </w:r>
      <w:r>
        <w:rPr>
          <w:rFonts w:ascii="Times New Roman" w:hAnsi="Times New Roman" w:cs="Times New Roman"/>
        </w:rPr>
        <w:t>。这种从众信号在B站知识区尤为显著：高币播比的视频往往能在评论区激发关于内容本身的深度讨论，包括知识补充、错误纠正、延伸探讨、应用案例分享等实质性的信息交换，而非仅仅停留于“好”“三连”等情感式互动。</w:t>
      </w:r>
    </w:p>
    <w:p w14:paraId="75846FB2">
      <w:pPr>
        <w:spacing w:line="288" w:lineRule="auto"/>
        <w:ind w:firstLine="482"/>
        <w:rPr>
          <w:rFonts w:ascii="Times New Roman" w:hAnsi="Times New Roman" w:cs="Times New Roman"/>
        </w:rPr>
      </w:pPr>
      <w:r>
        <w:rPr>
          <w:rFonts w:ascii="Times New Roman" w:hAnsi="Times New Roman" w:cs="Times New Roman"/>
        </w:rPr>
        <w:t>其次，从价值共创的视角看，来自观众的深度评论对创作者具有重要的内容改进信息价值。Prahalad和Ramaswamy（2004）在价值共创理论框架中指出，消费者（观众）与生产者（创作者）之间的深度互动，是内容价值持续提升的重要基础</w:t>
      </w:r>
      <w:r>
        <w:rPr>
          <w:rFonts w:ascii="Times New Roman" w:hAnsi="Times New Roman" w:cs="Times New Roman"/>
          <w:vertAlign w:val="superscript"/>
        </w:rPr>
        <w:t>[19]</w:t>
      </w:r>
      <w:r>
        <w:rPr>
          <w:rFonts w:ascii="Times New Roman" w:hAnsi="Times New Roman" w:cs="Times New Roman"/>
        </w:rPr>
        <w:t>。具体到知识区视频场景，评论中的错误指正能够帮助创作者及时识别并修正内容的事实性瑕疵；知识补充类评论则为创作者提供了后续深化选题的方向；延伸讨论类评论则揭示了观众的真实认知盲区与信息需求，是创作者优化内容框架的重要参考依据。Ren等（2012）对在线社区的研究发现，来自社区用户的详细反馈评论对内容生产者后续产出的改进具有显著的正向作用，其影响独立于点赞等简单互动形式之外</w:t>
      </w:r>
      <w:r>
        <w:rPr>
          <w:rFonts w:ascii="Times New Roman" w:hAnsi="Times New Roman" w:cs="Times New Roman"/>
          <w:vertAlign w:val="superscript"/>
        </w:rPr>
        <w:t>[20]</w:t>
      </w:r>
      <w:r>
        <w:rPr>
          <w:rFonts w:ascii="Times New Roman" w:hAnsi="Times New Roman" w:cs="Times New Roman"/>
        </w:rPr>
        <w:t>。</w:t>
      </w:r>
    </w:p>
    <w:p w14:paraId="634B4A55">
      <w:pPr>
        <w:spacing w:line="288" w:lineRule="auto"/>
        <w:ind w:firstLine="482"/>
        <w:rPr>
          <w:rFonts w:ascii="Times New Roman" w:hAnsi="Times New Roman" w:cs="Times New Roman"/>
        </w:rPr>
      </w:pPr>
      <w:r>
        <w:rPr>
          <w:rFonts w:ascii="Times New Roman" w:hAnsi="Times New Roman" w:cs="Times New Roman"/>
        </w:rPr>
        <w:t>此外，从自我决定理论的归属需求（relatedness need）维度来看，丰富的评论互动不仅传递了信息，更向创作者传递了“你被这个社区所需要”的归属感信号，有助于强化创作者对所在知识社区的情感连接与身份认同，进而激发其通过持续提升内容质量来回报社区期待的内在动机（Ryan &amp; Deci, 2000）</w:t>
      </w:r>
      <w:r>
        <w:rPr>
          <w:rFonts w:ascii="Times New Roman" w:hAnsi="Times New Roman" w:cs="Times New Roman"/>
          <w:vertAlign w:val="superscript"/>
        </w:rPr>
        <w:t>[4]</w:t>
      </w:r>
      <w:r>
        <w:rPr>
          <w:rFonts w:ascii="Times New Roman" w:hAnsi="Times New Roman" w:cs="Times New Roman"/>
        </w:rPr>
        <w:t>。这一机制在B站知识区创作者中得到了广泛的文化支撑——许多知识区UP主将与评论区观众的良性互动视为创作的重要意义来源，并将评论反馈视为内容优化的直接输入。据此，提出假设3：</w:t>
      </w:r>
    </w:p>
    <w:p w14:paraId="65301BD9">
      <w:pPr>
        <w:spacing w:line="288" w:lineRule="auto"/>
        <w:ind w:firstLine="482"/>
        <w:rPr>
          <w:rFonts w:ascii="Times New Roman" w:hAnsi="Times New Roman" w:cs="Times New Roman"/>
          <w:b/>
          <w:bCs/>
        </w:rPr>
      </w:pPr>
      <w:r>
        <w:rPr>
          <w:rFonts w:ascii="Times New Roman" w:hAnsi="Times New Roman" w:cs="Times New Roman"/>
          <w:b/>
          <w:bCs/>
        </w:rPr>
        <w:t>H3a：投币激励对视频评论互动深度具有显著正向影响。</w:t>
      </w:r>
    </w:p>
    <w:p w14:paraId="570A5F91">
      <w:pPr>
        <w:spacing w:line="288" w:lineRule="auto"/>
        <w:ind w:firstLine="482"/>
        <w:rPr>
          <w:rFonts w:ascii="Times New Roman" w:hAnsi="Times New Roman" w:cs="Times New Roman"/>
          <w:b/>
          <w:bCs/>
        </w:rPr>
      </w:pPr>
      <w:r>
        <w:rPr>
          <w:rFonts w:ascii="Times New Roman" w:hAnsi="Times New Roman" w:cs="Times New Roman"/>
          <w:b/>
          <w:bCs/>
        </w:rPr>
        <w:t>H3b：评论互动深度的提升对创作者后续视频的内容质量具有显著正向影响。</w:t>
      </w:r>
    </w:p>
    <w:p w14:paraId="08FD51B3">
      <w:pPr>
        <w:spacing w:line="288" w:lineRule="auto"/>
        <w:ind w:firstLine="482"/>
        <w:rPr>
          <w:rFonts w:ascii="Times New Roman" w:hAnsi="Times New Roman" w:cs="Times New Roman"/>
        </w:rPr>
      </w:pPr>
      <w:r>
        <w:rPr>
          <w:rFonts w:ascii="Times New Roman" w:hAnsi="Times New Roman" w:cs="Times New Roman"/>
          <w:b/>
          <w:bCs/>
        </w:rPr>
        <w:t>H3：评论互动深度在投币激励与内容质量之间发挥中介作用（深度反馈机制）。</w:t>
      </w:r>
    </w:p>
    <w:p w14:paraId="4AC2074F">
      <w:pPr>
        <w:spacing w:before="200" w:after="100"/>
        <w:outlineLvl w:val="2"/>
        <w:rPr>
          <w:rFonts w:ascii="Times New Roman" w:hAnsi="Times New Roman" w:eastAsia="黑体" w:cs="Times New Roman"/>
          <w:b/>
          <w:bCs/>
        </w:rPr>
      </w:pPr>
      <w:bookmarkStart w:id="53" w:name="_Toc16329"/>
      <w:r>
        <w:rPr>
          <w:rFonts w:ascii="Times New Roman" w:hAnsi="Times New Roman" w:eastAsia="黑体" w:cs="Times New Roman"/>
          <w:b/>
          <w:bCs/>
        </w:rPr>
        <w:t>3.2.4  流量传播路径的检验</w:t>
      </w:r>
      <w:bookmarkEnd w:id="53"/>
    </w:p>
    <w:p w14:paraId="2373F814">
      <w:pPr>
        <w:spacing w:line="288" w:lineRule="auto"/>
        <w:ind w:firstLine="482"/>
        <w:rPr>
          <w:rFonts w:ascii="Times New Roman" w:hAnsi="Times New Roman" w:cs="Times New Roman"/>
        </w:rPr>
      </w:pPr>
      <w:r>
        <w:rPr>
          <w:rFonts w:ascii="Times New Roman" w:hAnsi="Times New Roman" w:cs="Times New Roman"/>
        </w:rPr>
        <w:t>除投入互惠机制与深度反馈机制之外，本研究还检验了流量传播路径的有效性，即视频的分享传播行为是否同样对创作者的内容质量产生正向激励。这一检验对于区分“价值信号”与“流量信号”的本质差异具有重要的理论意义。</w:t>
      </w:r>
    </w:p>
    <w:p w14:paraId="17168128">
      <w:pPr>
        <w:spacing w:line="288" w:lineRule="auto"/>
        <w:ind w:firstLine="480"/>
        <w:rPr>
          <w:rFonts w:ascii="Times New Roman" w:hAnsi="Times New Roman" w:cs="Times New Roman"/>
        </w:rPr>
      </w:pPr>
      <w:r>
        <w:rPr>
          <w:rFonts w:ascii="Times New Roman" w:hAnsi="Times New Roman" w:cs="Times New Roman"/>
        </w:rPr>
        <w:t>分享行为与投币行为在几个关键维度上存在根本性差别。</w:t>
      </w:r>
    </w:p>
    <w:p w14:paraId="415BC0FA">
      <w:pPr>
        <w:numPr>
          <w:ilvl w:val="0"/>
          <w:numId w:val="6"/>
        </w:numPr>
        <w:spacing w:line="288" w:lineRule="auto"/>
        <w:ind w:firstLine="480"/>
        <w:rPr>
          <w:rFonts w:ascii="Times New Roman" w:hAnsi="Times New Roman" w:cs="Times New Roman"/>
        </w:rPr>
      </w:pPr>
      <w:r>
        <w:rPr>
          <w:rFonts w:ascii="Times New Roman" w:hAnsi="Times New Roman" w:cs="Times New Roman"/>
        </w:rPr>
        <w:t>在资源成本上，分享的操作门槛极低，几乎不需要付出任何稀缺性资源，用户仅需一次点击即可完成，其“代价”远低于投币。第二，在行为动机上，用户分享内容的原因高度多元，可能出于内容有趣、信息新奇、符合当前传播时机或符合个人社交形象建构需求，而不必然源于对内容深度价值的认同。第三，在创作者的信号解读上，分享量的增加主要反映的是内容的传播曝光效率，而非内容质量的受认可程度。这一区分与信号理论中对“可靠信号”的界定高度吻合：可靠信号必须具备足够高的成本，以防止低质量信号发送者的模仿（Spence, 1973）</w:t>
      </w:r>
      <w:r>
        <w:rPr>
          <w:rFonts w:ascii="Times New Roman" w:hAnsi="Times New Roman" w:cs="Times New Roman"/>
          <w:vertAlign w:val="superscript"/>
        </w:rPr>
        <w:t>[21]</w:t>
      </w:r>
      <w:r>
        <w:rPr>
          <w:rFonts w:ascii="Times New Roman" w:hAnsi="Times New Roman" w:cs="Times New Roman"/>
        </w:rPr>
        <w:t>；而分享行为的低成本特性，使其难以承担“可靠的质量认可信号”这一功能。</w:t>
      </w:r>
    </w:p>
    <w:p w14:paraId="7958122C">
      <w:pPr>
        <w:spacing w:line="288" w:lineRule="auto"/>
        <w:ind w:firstLine="480"/>
        <w:rPr>
          <w:rFonts w:ascii="Times New Roman" w:hAnsi="Times New Roman" w:cs="Times New Roman"/>
        </w:rPr>
      </w:pPr>
      <w:r>
        <w:rPr>
          <w:rFonts w:ascii="Times New Roman" w:hAnsi="Times New Roman" w:cs="Times New Roman"/>
        </w:rPr>
        <w:t>从自我决定理论的视角看，只有当外部反馈能够有效满足个体的胜任需求和自主需求时，才能对内在动机产生有意义的强化效应（Deci et al., 1999）</w:t>
      </w:r>
      <w:r>
        <w:rPr>
          <w:rFonts w:ascii="Times New Roman" w:hAnsi="Times New Roman" w:cs="Times New Roman"/>
          <w:vertAlign w:val="superscript"/>
        </w:rPr>
        <w:t>[11]</w:t>
      </w:r>
      <w:r>
        <w:rPr>
          <w:rFonts w:ascii="Times New Roman" w:hAnsi="Times New Roman" w:cs="Times New Roman"/>
        </w:rPr>
        <w:t>。纯粹的流量信号（如分享数）并不必然向创作者传递“内容质量得到认可”的信息，其信息性特征远弱于投币信号，因而对创作者内容改进动机的触发效果预期有限甚至不显著。此外，流量信号所带来的曝光增量在短期内可能通过“正向心理感知”对创作者形成鼓励，但这种鼓励并不具有足够的方向性——它仅告知“有更多人看到了”，而未能回答“为什么值得继续打磨”。</w:t>
      </w:r>
    </w:p>
    <w:p w14:paraId="1275FC30">
      <w:pPr>
        <w:spacing w:line="288" w:lineRule="auto"/>
        <w:ind w:firstLine="500"/>
        <w:rPr>
          <w:rFonts w:ascii="Times New Roman" w:hAnsi="Times New Roman" w:cs="Times New Roman"/>
        </w:rPr>
      </w:pPr>
      <w:r>
        <w:rPr>
          <w:rFonts w:ascii="Times New Roman" w:hAnsi="Times New Roman" w:cs="Times New Roman"/>
        </w:rPr>
        <w:t>已有研究为上述分析提供了间接支持。Huang和Chen（2020）在比较不同类型用户反馈（点赞、评论、转发）对内容生产者后续创作质量影响时发现，仅包含“价值认可”属性的反馈（点赞与评论）对后续内容质量具有显著影响，而以传播为主要属性的转发行为影响系数则并不显著</w:t>
      </w:r>
      <w:r>
        <w:rPr>
          <w:rFonts w:ascii="Times New Roman" w:hAnsi="Times New Roman" w:cs="Times New Roman"/>
          <w:vertAlign w:val="superscript"/>
        </w:rPr>
        <w:t>[22]</w:t>
      </w:r>
      <w:r>
        <w:rPr>
          <w:rFonts w:ascii="Times New Roman" w:hAnsi="Times New Roman" w:cs="Times New Roman"/>
        </w:rPr>
        <w:t>。这一发现在逻辑上与本研究关于“流量信号”效应有限的理论预期相吻合。据此，提出假设4：</w:t>
      </w:r>
    </w:p>
    <w:p w14:paraId="3EC70FEF">
      <w:pPr>
        <w:spacing w:line="288" w:lineRule="auto"/>
        <w:ind w:firstLine="482"/>
        <w:rPr>
          <w:rFonts w:ascii="Times New Roman" w:hAnsi="Times New Roman" w:cs="Times New Roman"/>
          <w:b/>
          <w:bCs/>
        </w:rPr>
      </w:pPr>
      <w:commentRangeStart w:id="3"/>
      <w:r>
        <w:rPr>
          <w:rFonts w:ascii="Times New Roman" w:hAnsi="Times New Roman" w:cs="Times New Roman"/>
          <w:b/>
          <w:bCs/>
        </w:rPr>
        <w:t>H4：分享传播路径对创作者内容质量的影响不显著（流量信号假说）。</w:t>
      </w:r>
      <w:commentRangeEnd w:id="3"/>
      <w:r>
        <w:rPr>
          <w:rStyle w:val="23"/>
        </w:rPr>
        <w:commentReference w:id="3"/>
      </w:r>
    </w:p>
    <w:p w14:paraId="7F007C00">
      <w:pPr>
        <w:spacing w:before="200" w:after="100"/>
        <w:outlineLvl w:val="2"/>
        <w:rPr>
          <w:rFonts w:ascii="Times New Roman" w:hAnsi="Times New Roman" w:eastAsia="黑体" w:cs="Times New Roman"/>
          <w:b/>
          <w:bCs/>
        </w:rPr>
      </w:pPr>
      <w:bookmarkStart w:id="54" w:name="_Toc18094"/>
      <w:r>
        <w:rPr>
          <w:rFonts w:ascii="Times New Roman" w:hAnsi="Times New Roman" w:eastAsia="黑体" w:cs="Times New Roman"/>
          <w:b/>
          <w:bCs/>
        </w:rPr>
        <w:t>3.2.5  投币激励效应的群体异质性</w:t>
      </w:r>
      <w:bookmarkEnd w:id="54"/>
    </w:p>
    <w:p w14:paraId="3084912E">
      <w:pPr>
        <w:spacing w:line="288" w:lineRule="auto"/>
        <w:ind w:firstLine="482"/>
        <w:rPr>
          <w:rFonts w:ascii="Times New Roman" w:hAnsi="Times New Roman" w:cs="Times New Roman"/>
        </w:rPr>
      </w:pPr>
      <w:r>
        <w:rPr>
          <w:rFonts w:ascii="Times New Roman" w:hAnsi="Times New Roman" w:cs="Times New Roman"/>
        </w:rPr>
        <w:t>除上述主效应与机制假设之外，本研究还考察了投币激励效应在不同创作者群体与不同内容类型之间的异质性差异。累积优势理论（Matthew Effect）认为，初始资源积累越丰富的个体，在将外部激励转化为结果产出方面往往具有更强的能力</w:t>
      </w:r>
      <w:r>
        <w:rPr>
          <w:rFonts w:ascii="Times New Roman" w:hAnsi="Times New Roman" w:cs="Times New Roman"/>
          <w:vertAlign w:val="superscript"/>
        </w:rPr>
        <w:t>[4]</w:t>
      </w:r>
      <w:r>
        <w:rPr>
          <w:rFonts w:ascii="Times New Roman" w:hAnsi="Times New Roman" w:cs="Times New Roman"/>
        </w:rPr>
        <w:t>。</w:t>
      </w:r>
    </w:p>
    <w:p w14:paraId="2F827FFA">
      <w:pPr>
        <w:spacing w:line="288" w:lineRule="auto"/>
        <w:ind w:firstLine="482"/>
        <w:rPr>
          <w:rFonts w:ascii="Times New Roman" w:hAnsi="Times New Roman" w:cs="Times New Roman"/>
        </w:rPr>
      </w:pPr>
      <w:r>
        <w:rPr>
          <w:rFonts w:ascii="Times New Roman" w:hAnsi="Times New Roman" w:cs="Times New Roman"/>
        </w:rPr>
        <w:t>一方面，就创作者粉丝规模而言，头部创作者（粉丝超百万）具有更成熟的内容生产体系、更完善的团队支持和更充裕的创作资源，能够将投币激励所带来的互惠动机更有效地转化为可见的内容质量提升。相比之下，尾部创作者（粉丝低于十万）的创作资源有限，内容质量的提升空间受到制作能力本身的约束，激励效应的释放受到更多瓶颈制约。因此，预期头部创作者对投币激励的质量响应幅度更大。</w:t>
      </w:r>
    </w:p>
    <w:p w14:paraId="0AA9B47A">
      <w:pPr>
        <w:spacing w:line="288" w:lineRule="auto"/>
        <w:ind w:firstLine="482"/>
        <w:rPr>
          <w:rFonts w:ascii="Times New Roman" w:hAnsi="Times New Roman" w:cs="Times New Roman"/>
        </w:rPr>
      </w:pPr>
      <w:r>
        <w:rPr>
          <w:rFonts w:ascii="Times New Roman" w:hAnsi="Times New Roman" w:cs="Times New Roman"/>
        </w:rPr>
        <w:t>另一方面，就视频时长而言，长视频内容（通常超过10分钟）的制作成本显著高于短视频，创作者在脚本研究、素材整理、剪辑精修等环节的边际投入更大，内容质量的可提升空间也更宽。当投币激励带来互惠动机时，长视频创作者更有条件将额外投入转化为实质性的质量增量。而短视频的制作流程相对固定，质量上限受格式约束较大，激励的边际转化效率相对有限。据此，提出假设5：</w:t>
      </w:r>
    </w:p>
    <w:p w14:paraId="0D15C82D">
      <w:pPr>
        <w:spacing w:line="288" w:lineRule="auto"/>
        <w:ind w:firstLine="482"/>
        <w:rPr>
          <w:rFonts w:ascii="Times New Roman" w:hAnsi="Times New Roman" w:cs="Times New Roman"/>
          <w:b/>
          <w:bCs/>
        </w:rPr>
      </w:pPr>
      <w:r>
        <w:rPr>
          <w:rFonts w:ascii="Times New Roman" w:hAnsi="Times New Roman" w:cs="Times New Roman"/>
          <w:b/>
          <w:bCs/>
        </w:rPr>
        <w:t>H5a：相比尾部创作者，投币激励对头部创作者内容质量的正向影响幅度更大。</w:t>
      </w:r>
    </w:p>
    <w:p w14:paraId="46DD1513">
      <w:pPr>
        <w:spacing w:line="288" w:lineRule="auto"/>
        <w:ind w:firstLine="482"/>
        <w:rPr>
          <w:rFonts w:ascii="Times New Roman" w:hAnsi="Times New Roman" w:cs="Times New Roman"/>
          <w:b/>
          <w:bCs/>
        </w:rPr>
      </w:pPr>
      <w:r>
        <w:rPr>
          <w:rFonts w:ascii="Times New Roman" w:hAnsi="Times New Roman" w:cs="Times New Roman"/>
          <w:b/>
          <w:bCs/>
        </w:rPr>
        <w:t>H5b：相比短视频，投币激励对长视频内容质量的正向影响幅度更大。</w:t>
      </w:r>
    </w:p>
    <w:p w14:paraId="6667C066">
      <w:pPr>
        <w:spacing w:before="240" w:beforeLines="100" w:line="288" w:lineRule="auto"/>
        <w:rPr>
          <w:rFonts w:ascii="Times New Roman" w:hAnsi="Times New Roman" w:cs="Times New Roman"/>
          <w:b/>
          <w:bCs/>
        </w:rPr>
      </w:pPr>
      <w:r>
        <w:rPr>
          <w:rFonts w:ascii="Times New Roman" w:hAnsi="Times New Roman" w:cs="Times New Roman"/>
          <w:b/>
          <w:bCs/>
        </w:rPr>
        <w:drawing>
          <wp:inline distT="0" distB="0" distL="114300" distR="114300">
            <wp:extent cx="5939790" cy="3055620"/>
            <wp:effectExtent l="0" t="0" r="3810" b="5080"/>
            <wp:docPr id="4" name="图片 4"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named"/>
                    <pic:cNvPicPr>
                      <a:picLocks noChangeAspect="1"/>
                    </pic:cNvPicPr>
                  </pic:nvPicPr>
                  <pic:blipFill>
                    <a:blip r:embed="rId11"/>
                    <a:srcRect t="5689"/>
                    <a:stretch>
                      <a:fillRect/>
                    </a:stretch>
                  </pic:blipFill>
                  <pic:spPr>
                    <a:xfrm>
                      <a:off x="0" y="0"/>
                      <a:ext cx="5939790" cy="3055620"/>
                    </a:xfrm>
                    <a:prstGeom prst="rect">
                      <a:avLst/>
                    </a:prstGeom>
                  </pic:spPr>
                </pic:pic>
              </a:graphicData>
            </a:graphic>
          </wp:inline>
        </w:drawing>
      </w:r>
    </w:p>
    <w:p w14:paraId="2F87518D">
      <w:pPr>
        <w:pStyle w:val="8"/>
        <w:spacing w:line="288" w:lineRule="auto"/>
        <w:ind w:firstLine="482"/>
        <w:jc w:val="center"/>
        <w:rPr>
          <w:rFonts w:ascii="Times New Roman" w:hAnsi="Times New Roman" w:eastAsia="宋体" w:cs="Times New Roman"/>
          <w:b/>
          <w:bCs/>
          <w:sz w:val="24"/>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xml:space="preserve"> 假设框架</w:t>
      </w:r>
    </w:p>
    <w:p w14:paraId="12354B8D">
      <w:pPr>
        <w:spacing w:before="300" w:after="150"/>
        <w:outlineLvl w:val="2"/>
        <w:rPr>
          <w:rFonts w:ascii="Times New Roman" w:hAnsi="Times New Roman" w:eastAsia="黑体" w:cs="Times New Roman"/>
          <w:b/>
          <w:bCs/>
          <w:sz w:val="28"/>
          <w:szCs w:val="28"/>
        </w:rPr>
      </w:pPr>
      <w:bookmarkStart w:id="55" w:name="_Toc3967"/>
      <w:r>
        <w:rPr>
          <w:rFonts w:ascii="Times New Roman" w:hAnsi="Times New Roman" w:eastAsia="黑体" w:cs="Times New Roman"/>
          <w:b/>
          <w:bCs/>
          <w:sz w:val="28"/>
          <w:szCs w:val="28"/>
        </w:rPr>
        <w:t>3.3  变量的定义与测量</w:t>
      </w:r>
      <w:bookmarkEnd w:id="55"/>
    </w:p>
    <w:p w14:paraId="066385B5">
      <w:pPr>
        <w:spacing w:before="120" w:beforeLines="50" w:line="288" w:lineRule="auto"/>
        <w:ind w:firstLine="482"/>
        <w:rPr>
          <w:rFonts w:ascii="Times New Roman" w:hAnsi="Times New Roman" w:cs="Times New Roman"/>
        </w:rPr>
      </w:pPr>
      <w:bookmarkStart w:id="56" w:name="_Toc21816"/>
      <w:r>
        <w:rPr>
          <w:rFonts w:ascii="Times New Roman" w:hAnsi="Times New Roman" w:cs="Times New Roman"/>
        </w:rPr>
        <w:t>本研究的模型共包含1个核心自变量、2个中介变量、1个因变量，以及若干控制变量。各变量的具体定义与测量方式如表1所示。</w:t>
      </w:r>
      <w:bookmarkEnd w:id="56"/>
    </w:p>
    <w:p w14:paraId="096A5B6A">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变量的定义与测量表</w:t>
      </w:r>
    </w:p>
    <w:tbl>
      <w:tblPr>
        <w:tblStyle w:val="19"/>
        <w:tblW w:w="9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5"/>
        <w:gridCol w:w="1668"/>
        <w:gridCol w:w="6555"/>
      </w:tblGrid>
      <w:tr w14:paraId="56BB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 w:hRule="atLeast"/>
        </w:trPr>
        <w:tc>
          <w:tcPr>
            <w:tcW w:w="1515" w:type="dxa"/>
            <w:tcBorders>
              <w:top w:val="single" w:color="000000" w:sz="12" w:space="0"/>
              <w:left w:val="nil"/>
              <w:bottom w:val="single" w:color="000000" w:sz="4" w:space="0"/>
              <w:right w:val="nil"/>
              <w:tl2br w:val="nil"/>
            </w:tcBorders>
            <w:shd w:val="clear" w:color="auto" w:fill="FFFFFF"/>
            <w:tcMar>
              <w:top w:w="57" w:type="dxa"/>
              <w:left w:w="57" w:type="dxa"/>
              <w:bottom w:w="0" w:type="dxa"/>
              <w:right w:w="57" w:type="dxa"/>
            </w:tcMar>
          </w:tcPr>
          <w:p w14:paraId="4F448F24">
            <w:pPr>
              <w:spacing w:line="200" w:lineRule="exact"/>
              <w:rPr>
                <w:rFonts w:ascii="Times New Roman" w:hAnsi="Times New Roman" w:cs="Times New Roman"/>
                <w:b/>
                <w:color w:val="000000"/>
                <w:sz w:val="18"/>
                <w:szCs w:val="18"/>
              </w:rPr>
            </w:pPr>
            <w:r>
              <w:rPr>
                <w:rFonts w:ascii="Times New Roman" w:hAnsi="Times New Roman" w:cs="Times New Roman"/>
                <w:b/>
                <w:color w:val="000000"/>
                <w:sz w:val="18"/>
                <w:szCs w:val="18"/>
              </w:rPr>
              <w:t>变量类别</w:t>
            </w:r>
          </w:p>
        </w:tc>
        <w:tc>
          <w:tcPr>
            <w:tcW w:w="1668" w:type="dxa"/>
            <w:tcBorders>
              <w:top w:val="single" w:color="000000" w:sz="12" w:space="0"/>
              <w:left w:val="nil"/>
              <w:bottom w:val="single" w:color="000000" w:sz="4" w:space="0"/>
              <w:right w:val="nil"/>
            </w:tcBorders>
            <w:shd w:val="clear" w:color="auto" w:fill="FFFFFF"/>
            <w:tcMar>
              <w:top w:w="57" w:type="dxa"/>
              <w:left w:w="57" w:type="dxa"/>
              <w:bottom w:w="0" w:type="dxa"/>
              <w:right w:w="57" w:type="dxa"/>
            </w:tcMar>
          </w:tcPr>
          <w:p w14:paraId="677642A3">
            <w:pPr>
              <w:spacing w:line="200" w:lineRule="exact"/>
              <w:rPr>
                <w:rFonts w:ascii="Times New Roman" w:hAnsi="Times New Roman" w:cs="Times New Roman"/>
                <w:b/>
                <w:color w:val="000000"/>
                <w:sz w:val="18"/>
                <w:szCs w:val="18"/>
              </w:rPr>
            </w:pPr>
            <w:r>
              <w:rPr>
                <w:rFonts w:ascii="Times New Roman" w:hAnsi="Times New Roman" w:cs="Times New Roman"/>
                <w:b/>
                <w:color w:val="000000"/>
                <w:sz w:val="18"/>
                <w:szCs w:val="18"/>
              </w:rPr>
              <w:t>变量名称</w:t>
            </w:r>
          </w:p>
        </w:tc>
        <w:tc>
          <w:tcPr>
            <w:tcW w:w="6555" w:type="dxa"/>
            <w:tcBorders>
              <w:top w:val="single" w:color="000000" w:sz="12" w:space="0"/>
              <w:left w:val="nil"/>
              <w:bottom w:val="single" w:color="000000" w:sz="4" w:space="0"/>
              <w:right w:val="nil"/>
            </w:tcBorders>
            <w:shd w:val="clear" w:color="auto" w:fill="FFFFFF"/>
            <w:tcMar>
              <w:top w:w="57" w:type="dxa"/>
              <w:left w:w="57" w:type="dxa"/>
              <w:bottom w:w="0" w:type="dxa"/>
              <w:right w:w="57" w:type="dxa"/>
            </w:tcMar>
          </w:tcPr>
          <w:p w14:paraId="32E0C5D0">
            <w:pPr>
              <w:spacing w:line="200" w:lineRule="exact"/>
              <w:rPr>
                <w:rFonts w:ascii="Times New Roman" w:hAnsi="Times New Roman" w:cs="Times New Roman"/>
                <w:b/>
                <w:color w:val="000000"/>
                <w:sz w:val="18"/>
                <w:szCs w:val="18"/>
              </w:rPr>
            </w:pPr>
            <w:r>
              <w:rPr>
                <w:rFonts w:ascii="Times New Roman" w:hAnsi="Times New Roman" w:cs="Times New Roman"/>
                <w:b/>
                <w:color w:val="000000"/>
                <w:sz w:val="18"/>
                <w:szCs w:val="18"/>
              </w:rPr>
              <w:t>变量度量方式</w:t>
            </w:r>
          </w:p>
        </w:tc>
      </w:tr>
      <w:tr w14:paraId="393C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8" w:hRule="exact"/>
        </w:trPr>
        <w:tc>
          <w:tcPr>
            <w:tcW w:w="1515" w:type="dxa"/>
            <w:tcBorders>
              <w:top w:val="single" w:color="000000" w:sz="4" w:space="0"/>
              <w:left w:val="nil"/>
              <w:bottom w:val="nil"/>
              <w:right w:val="nil"/>
            </w:tcBorders>
            <w:shd w:val="clear" w:color="auto" w:fill="FFFFFF"/>
            <w:tcMar>
              <w:top w:w="57" w:type="dxa"/>
              <w:left w:w="57" w:type="dxa"/>
              <w:bottom w:w="0" w:type="dxa"/>
              <w:right w:w="57" w:type="dxa"/>
            </w:tcMar>
          </w:tcPr>
          <w:p w14:paraId="1E6F0D56">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因变量</w:t>
            </w:r>
          </w:p>
        </w:tc>
        <w:tc>
          <w:tcPr>
            <w:tcW w:w="1668" w:type="dxa"/>
            <w:tcBorders>
              <w:top w:val="single" w:color="000000" w:sz="4" w:space="0"/>
              <w:left w:val="nil"/>
              <w:bottom w:val="nil"/>
              <w:right w:val="nil"/>
            </w:tcBorders>
            <w:shd w:val="clear" w:color="auto" w:fill="FFFFFF"/>
            <w:tcMar>
              <w:top w:w="57" w:type="dxa"/>
              <w:left w:w="57" w:type="dxa"/>
              <w:bottom w:w="0" w:type="dxa"/>
              <w:right w:w="57" w:type="dxa"/>
            </w:tcMar>
          </w:tcPr>
          <w:p w14:paraId="2ADC8AC7">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内容质量指数</w:t>
            </w:r>
          </w:p>
        </w:tc>
        <w:tc>
          <w:tcPr>
            <w:tcW w:w="6555" w:type="dxa"/>
            <w:tcBorders>
              <w:top w:val="single" w:color="000000" w:sz="4" w:space="0"/>
              <w:left w:val="nil"/>
              <w:bottom w:val="nil"/>
              <w:right w:val="nil"/>
            </w:tcBorders>
            <w:shd w:val="clear" w:color="auto" w:fill="FFFFFF"/>
            <w:tcMar>
              <w:top w:w="57" w:type="dxa"/>
              <w:left w:w="57" w:type="dxa"/>
              <w:bottom w:w="0" w:type="dxa"/>
              <w:right w:w="57" w:type="dxa"/>
            </w:tcMar>
          </w:tcPr>
          <w:p w14:paraId="3310CD51">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基于弹幕情感得分与币播比的加权合成指数，取值0—100，采用CRITIC客观赋权法确定各维度权重（币播比0.58，弹幕情感0.42）</w:t>
            </w:r>
          </w:p>
        </w:tc>
      </w:tr>
      <w:tr w14:paraId="4A05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4" w:hRule="atLeast"/>
        </w:trPr>
        <w:tc>
          <w:tcPr>
            <w:tcW w:w="1515" w:type="dxa"/>
            <w:tcBorders>
              <w:top w:val="nil"/>
              <w:left w:val="nil"/>
              <w:bottom w:val="nil"/>
              <w:right w:val="nil"/>
            </w:tcBorders>
            <w:shd w:val="clear" w:color="auto" w:fill="FFFFFF"/>
            <w:tcMar>
              <w:top w:w="57" w:type="dxa"/>
              <w:left w:w="57" w:type="dxa"/>
              <w:bottom w:w="0" w:type="dxa"/>
              <w:right w:w="57" w:type="dxa"/>
            </w:tcMar>
          </w:tcPr>
          <w:p w14:paraId="030304BB">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核心自变量</w:t>
            </w:r>
          </w:p>
        </w:tc>
        <w:tc>
          <w:tcPr>
            <w:tcW w:w="1668" w:type="dxa"/>
            <w:tcBorders>
              <w:top w:val="nil"/>
              <w:left w:val="nil"/>
              <w:bottom w:val="nil"/>
              <w:right w:val="nil"/>
            </w:tcBorders>
            <w:shd w:val="clear" w:color="auto" w:fill="FFFFFF"/>
            <w:tcMar>
              <w:top w:w="57" w:type="dxa"/>
              <w:left w:w="57" w:type="dxa"/>
              <w:bottom w:w="0" w:type="dxa"/>
              <w:right w:w="57" w:type="dxa"/>
            </w:tcMar>
          </w:tcPr>
          <w:p w14:paraId="28C7E3DA">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投币激励</w:t>
            </w:r>
          </w:p>
        </w:tc>
        <w:tc>
          <w:tcPr>
            <w:tcW w:w="6555" w:type="dxa"/>
            <w:tcBorders>
              <w:top w:val="nil"/>
              <w:left w:val="nil"/>
              <w:bottom w:val="nil"/>
              <w:right w:val="nil"/>
            </w:tcBorders>
            <w:shd w:val="clear" w:color="auto" w:fill="FFFFFF"/>
            <w:tcMar>
              <w:top w:w="57" w:type="dxa"/>
              <w:left w:w="57" w:type="dxa"/>
              <w:bottom w:w="0" w:type="dxa"/>
              <w:right w:w="57" w:type="dxa"/>
            </w:tcMar>
          </w:tcPr>
          <w:p w14:paraId="449DD060">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对数化的滞后两期投币数（以视频发布月份为时间单位），取自然对数处理以缓解右偏分布问题。采用两期滞后一方面控制潜在内生性偏误，另一方面符合创作者将激励内化为行为的实际周期。</w:t>
            </w:r>
          </w:p>
        </w:tc>
      </w:tr>
      <w:tr w14:paraId="5AE9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restart"/>
            <w:tcBorders>
              <w:top w:val="nil"/>
              <w:left w:val="nil"/>
              <w:bottom w:val="nil"/>
              <w:right w:val="nil"/>
            </w:tcBorders>
            <w:shd w:val="clear" w:color="auto" w:fill="FFFFFF"/>
            <w:tcMar>
              <w:top w:w="57" w:type="dxa"/>
              <w:left w:w="57" w:type="dxa"/>
              <w:bottom w:w="0" w:type="dxa"/>
              <w:right w:w="57" w:type="dxa"/>
            </w:tcMar>
          </w:tcPr>
          <w:p w14:paraId="432357A8">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中介变量</w:t>
            </w:r>
          </w:p>
        </w:tc>
        <w:tc>
          <w:tcPr>
            <w:tcW w:w="1668" w:type="dxa"/>
            <w:tcBorders>
              <w:top w:val="nil"/>
              <w:left w:val="nil"/>
              <w:bottom w:val="nil"/>
              <w:right w:val="nil"/>
            </w:tcBorders>
            <w:shd w:val="clear" w:color="auto" w:fill="FFFFFF"/>
            <w:tcMar>
              <w:top w:w="57" w:type="dxa"/>
              <w:left w:w="57" w:type="dxa"/>
              <w:bottom w:w="0" w:type="dxa"/>
              <w:right w:w="57" w:type="dxa"/>
            </w:tcMar>
          </w:tcPr>
          <w:p w14:paraId="4FDEB615">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内容打磨周期</w:t>
            </w:r>
          </w:p>
        </w:tc>
        <w:tc>
          <w:tcPr>
            <w:tcW w:w="6555" w:type="dxa"/>
            <w:tcBorders>
              <w:top w:val="nil"/>
              <w:left w:val="nil"/>
              <w:bottom w:val="nil"/>
              <w:right w:val="nil"/>
            </w:tcBorders>
            <w:shd w:val="clear" w:color="auto" w:fill="FFFFFF"/>
            <w:tcMar>
              <w:top w:w="57" w:type="dxa"/>
              <w:left w:w="57" w:type="dxa"/>
              <w:bottom w:w="0" w:type="dxa"/>
              <w:right w:w="57" w:type="dxa"/>
            </w:tcMar>
          </w:tcPr>
          <w:p w14:paraId="6221115A">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相邻两条视频发布时间间隔的天数，取自然对数。间隔越长，表明创作者投入了更多时间进行内容打磨与制作迭代。</w:t>
            </w:r>
          </w:p>
        </w:tc>
      </w:tr>
      <w:tr w14:paraId="3BD0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continue"/>
            <w:tcBorders>
              <w:top w:val="nil"/>
              <w:left w:val="nil"/>
              <w:bottom w:val="nil"/>
              <w:right w:val="nil"/>
            </w:tcBorders>
            <w:shd w:val="clear" w:color="auto" w:fill="FFFFFF"/>
            <w:tcMar>
              <w:top w:w="57" w:type="dxa"/>
              <w:left w:w="57" w:type="dxa"/>
              <w:bottom w:w="0" w:type="dxa"/>
              <w:right w:w="57" w:type="dxa"/>
            </w:tcMar>
          </w:tcPr>
          <w:p w14:paraId="00CD62DD">
            <w:pPr>
              <w:spacing w:line="200" w:lineRule="exact"/>
              <w:rPr>
                <w:rFonts w:ascii="Times New Roman" w:hAnsi="Times New Roman" w:cs="Times New Roman"/>
                <w:color w:val="000000"/>
                <w:sz w:val="18"/>
                <w:szCs w:val="18"/>
              </w:rPr>
            </w:pPr>
          </w:p>
        </w:tc>
        <w:tc>
          <w:tcPr>
            <w:tcW w:w="1668" w:type="dxa"/>
            <w:tcBorders>
              <w:top w:val="nil"/>
              <w:left w:val="nil"/>
              <w:bottom w:val="nil"/>
              <w:right w:val="nil"/>
            </w:tcBorders>
            <w:shd w:val="clear" w:color="auto" w:fill="FFFFFF"/>
            <w:tcMar>
              <w:top w:w="57" w:type="dxa"/>
              <w:left w:w="57" w:type="dxa"/>
              <w:bottom w:w="0" w:type="dxa"/>
              <w:right w:w="57" w:type="dxa"/>
            </w:tcMar>
          </w:tcPr>
          <w:p w14:paraId="34E7ACE3">
            <w:pPr>
              <w:spacing w:line="200" w:lineRule="exact"/>
              <w:rPr>
                <w:rFonts w:ascii="Times New Roman" w:hAnsi="Times New Roman" w:cs="Times New Roman"/>
                <w:color w:val="000000"/>
                <w:sz w:val="18"/>
                <w:szCs w:val="18"/>
              </w:rPr>
            </w:pPr>
            <w:commentRangeStart w:id="4"/>
            <w:r>
              <w:rPr>
                <w:rFonts w:ascii="Times New Roman" w:hAnsi="Times New Roman" w:cs="Times New Roman"/>
                <w:color w:val="000000"/>
                <w:sz w:val="18"/>
                <w:szCs w:val="18"/>
              </w:rPr>
              <w:t>评论互动深度</w:t>
            </w:r>
          </w:p>
        </w:tc>
        <w:tc>
          <w:tcPr>
            <w:tcW w:w="6555" w:type="dxa"/>
            <w:tcBorders>
              <w:top w:val="nil"/>
              <w:left w:val="nil"/>
              <w:bottom w:val="nil"/>
              <w:right w:val="nil"/>
            </w:tcBorders>
            <w:shd w:val="clear" w:color="auto" w:fill="FFFFFF"/>
            <w:tcMar>
              <w:top w:w="57" w:type="dxa"/>
              <w:left w:w="57" w:type="dxa"/>
              <w:bottom w:w="0" w:type="dxa"/>
              <w:right w:w="57" w:type="dxa"/>
            </w:tcMar>
          </w:tcPr>
          <w:p w14:paraId="11BA1DA7">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视频评论数的自然对数值，反映观众对该视频内容的深度参与程度。</w:t>
            </w:r>
            <w:commentRangeEnd w:id="4"/>
            <w:r>
              <w:rPr>
                <w:rStyle w:val="23"/>
              </w:rPr>
              <w:commentReference w:id="4"/>
            </w:r>
          </w:p>
        </w:tc>
      </w:tr>
      <w:tr w14:paraId="299D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restart"/>
            <w:tcBorders>
              <w:top w:val="nil"/>
              <w:left w:val="nil"/>
              <w:bottom w:val="nil"/>
              <w:right w:val="nil"/>
            </w:tcBorders>
            <w:shd w:val="clear" w:color="auto" w:fill="FFFFFF"/>
            <w:tcMar>
              <w:top w:w="113" w:type="dxa"/>
              <w:left w:w="57" w:type="dxa"/>
              <w:bottom w:w="0" w:type="dxa"/>
              <w:right w:w="57" w:type="dxa"/>
            </w:tcMar>
          </w:tcPr>
          <w:p w14:paraId="75775C81">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控制变量</w:t>
            </w:r>
          </w:p>
        </w:tc>
        <w:tc>
          <w:tcPr>
            <w:tcW w:w="1668" w:type="dxa"/>
            <w:tcBorders>
              <w:top w:val="nil"/>
              <w:left w:val="nil"/>
              <w:bottom w:val="nil"/>
              <w:right w:val="nil"/>
            </w:tcBorders>
            <w:shd w:val="clear" w:color="auto" w:fill="FFFFFF"/>
            <w:tcMar>
              <w:top w:w="113" w:type="dxa"/>
              <w:left w:w="57" w:type="dxa"/>
              <w:bottom w:w="0" w:type="dxa"/>
              <w:right w:w="57" w:type="dxa"/>
            </w:tcMar>
          </w:tcPr>
          <w:p w14:paraId="26FED7C4">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视频时长</w:t>
            </w:r>
          </w:p>
        </w:tc>
        <w:tc>
          <w:tcPr>
            <w:tcW w:w="6555" w:type="dxa"/>
            <w:tcBorders>
              <w:top w:val="nil"/>
              <w:left w:val="nil"/>
              <w:bottom w:val="nil"/>
              <w:right w:val="nil"/>
            </w:tcBorders>
            <w:shd w:val="clear" w:color="auto" w:fill="FFFFFF"/>
            <w:tcMar>
              <w:top w:w="113" w:type="dxa"/>
              <w:left w:w="57" w:type="dxa"/>
              <w:bottom w:w="0" w:type="dxa"/>
              <w:right w:w="57" w:type="dxa"/>
            </w:tcMar>
          </w:tcPr>
          <w:p w14:paraId="7CF8141F">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单条视频时长（秒）的自然对数，控制视频体量对内容质量的基准影响。</w:t>
            </w:r>
          </w:p>
        </w:tc>
      </w:tr>
      <w:tr w14:paraId="19B4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continue"/>
            <w:tcBorders>
              <w:top w:val="nil"/>
              <w:left w:val="nil"/>
              <w:bottom w:val="nil"/>
              <w:right w:val="nil"/>
            </w:tcBorders>
            <w:shd w:val="clear" w:color="auto" w:fill="FFFFFF"/>
            <w:tcMar>
              <w:top w:w="57" w:type="dxa"/>
              <w:left w:w="57" w:type="dxa"/>
              <w:bottom w:w="0" w:type="dxa"/>
              <w:right w:w="57" w:type="dxa"/>
            </w:tcMar>
          </w:tcPr>
          <w:p w14:paraId="3ABCFF2D">
            <w:pPr>
              <w:spacing w:line="200" w:lineRule="exact"/>
              <w:rPr>
                <w:rFonts w:ascii="Times New Roman" w:hAnsi="Times New Roman" w:cs="Times New Roman"/>
                <w:color w:val="000000"/>
                <w:sz w:val="18"/>
                <w:szCs w:val="18"/>
              </w:rPr>
            </w:pPr>
          </w:p>
        </w:tc>
        <w:tc>
          <w:tcPr>
            <w:tcW w:w="1668" w:type="dxa"/>
            <w:tcBorders>
              <w:top w:val="nil"/>
              <w:left w:val="nil"/>
              <w:bottom w:val="nil"/>
              <w:right w:val="nil"/>
            </w:tcBorders>
            <w:shd w:val="clear" w:color="auto" w:fill="FFFFFF"/>
            <w:tcMar>
              <w:top w:w="57" w:type="dxa"/>
              <w:left w:w="57" w:type="dxa"/>
              <w:bottom w:w="0" w:type="dxa"/>
              <w:right w:w="57" w:type="dxa"/>
            </w:tcMar>
          </w:tcPr>
          <w:p w14:paraId="1F04FDE3">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粉丝规模</w:t>
            </w:r>
          </w:p>
        </w:tc>
        <w:tc>
          <w:tcPr>
            <w:tcW w:w="6555" w:type="dxa"/>
            <w:tcBorders>
              <w:top w:val="nil"/>
              <w:left w:val="nil"/>
              <w:bottom w:val="nil"/>
              <w:right w:val="nil"/>
            </w:tcBorders>
            <w:shd w:val="clear" w:color="auto" w:fill="FFFFFF"/>
            <w:tcMar>
              <w:top w:w="57" w:type="dxa"/>
              <w:left w:w="57" w:type="dxa"/>
              <w:bottom w:w="0" w:type="dxa"/>
              <w:right w:w="57" w:type="dxa"/>
            </w:tcMar>
          </w:tcPr>
          <w:p w14:paraId="60A66B13">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UP主发布该视频时的粉丝数对数值，用于控制创作者既有资源禀赋对内容质量的影响。</w:t>
            </w:r>
          </w:p>
        </w:tc>
      </w:tr>
      <w:tr w14:paraId="58DA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continue"/>
            <w:tcBorders>
              <w:top w:val="nil"/>
              <w:left w:val="nil"/>
              <w:bottom w:val="nil"/>
              <w:right w:val="nil"/>
            </w:tcBorders>
            <w:shd w:val="clear" w:color="auto" w:fill="FFFFFF"/>
            <w:tcMar>
              <w:top w:w="57" w:type="dxa"/>
              <w:left w:w="57" w:type="dxa"/>
              <w:bottom w:w="0" w:type="dxa"/>
              <w:right w:w="57" w:type="dxa"/>
            </w:tcMar>
          </w:tcPr>
          <w:p w14:paraId="61A78AA2">
            <w:pPr>
              <w:spacing w:line="200" w:lineRule="exact"/>
              <w:rPr>
                <w:rFonts w:ascii="Times New Roman" w:hAnsi="Times New Roman" w:cs="Times New Roman"/>
                <w:color w:val="000000"/>
                <w:sz w:val="18"/>
                <w:szCs w:val="18"/>
              </w:rPr>
            </w:pPr>
          </w:p>
        </w:tc>
        <w:tc>
          <w:tcPr>
            <w:tcW w:w="1668" w:type="dxa"/>
            <w:tcBorders>
              <w:top w:val="nil"/>
              <w:left w:val="nil"/>
              <w:bottom w:val="nil"/>
              <w:right w:val="nil"/>
            </w:tcBorders>
            <w:shd w:val="clear" w:color="auto" w:fill="FFFFFF"/>
            <w:tcMar>
              <w:top w:w="57" w:type="dxa"/>
              <w:left w:w="57" w:type="dxa"/>
              <w:bottom w:w="0" w:type="dxa"/>
              <w:right w:w="57" w:type="dxa"/>
            </w:tcMar>
          </w:tcPr>
          <w:p w14:paraId="11C09D8C">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分区类型</w:t>
            </w:r>
          </w:p>
        </w:tc>
        <w:tc>
          <w:tcPr>
            <w:tcW w:w="6555" w:type="dxa"/>
            <w:tcBorders>
              <w:top w:val="nil"/>
              <w:left w:val="nil"/>
              <w:bottom w:val="nil"/>
              <w:right w:val="nil"/>
            </w:tcBorders>
            <w:shd w:val="clear" w:color="auto" w:fill="FFFFFF"/>
            <w:tcMar>
              <w:top w:w="57" w:type="dxa"/>
              <w:left w:w="57" w:type="dxa"/>
              <w:bottom w:w="0" w:type="dxa"/>
              <w:right w:w="57" w:type="dxa"/>
            </w:tcMar>
          </w:tcPr>
          <w:p w14:paraId="3C94E0DC">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视频所属知识区细分板块的虚拟变量，包括科学科普、社科人文、财经商业、校园学习、职业技能五类，以控制内容类型的系统性差异。</w:t>
            </w:r>
          </w:p>
        </w:tc>
      </w:tr>
      <w:tr w14:paraId="3C15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continue"/>
            <w:tcBorders>
              <w:top w:val="nil"/>
              <w:left w:val="nil"/>
              <w:bottom w:val="nil"/>
              <w:right w:val="nil"/>
            </w:tcBorders>
            <w:shd w:val="clear" w:color="auto" w:fill="FFFFFF"/>
            <w:tcMar>
              <w:top w:w="57" w:type="dxa"/>
              <w:left w:w="57" w:type="dxa"/>
              <w:bottom w:w="0" w:type="dxa"/>
              <w:right w:w="57" w:type="dxa"/>
            </w:tcMar>
          </w:tcPr>
          <w:p w14:paraId="0BC76D09">
            <w:pPr>
              <w:spacing w:line="200" w:lineRule="exact"/>
              <w:rPr>
                <w:rFonts w:ascii="Times New Roman" w:hAnsi="Times New Roman" w:cs="Times New Roman"/>
                <w:color w:val="000000"/>
                <w:sz w:val="18"/>
                <w:szCs w:val="18"/>
              </w:rPr>
            </w:pPr>
          </w:p>
        </w:tc>
        <w:tc>
          <w:tcPr>
            <w:tcW w:w="1668" w:type="dxa"/>
            <w:tcBorders>
              <w:top w:val="nil"/>
              <w:left w:val="nil"/>
              <w:bottom w:val="nil"/>
              <w:right w:val="nil"/>
            </w:tcBorders>
            <w:shd w:val="clear" w:color="auto" w:fill="FFFFFF"/>
            <w:tcMar>
              <w:top w:w="57" w:type="dxa"/>
              <w:left w:w="57" w:type="dxa"/>
              <w:bottom w:w="0" w:type="dxa"/>
              <w:right w:w="57" w:type="dxa"/>
            </w:tcMar>
          </w:tcPr>
          <w:p w14:paraId="6FD229F2">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发布时间</w:t>
            </w:r>
          </w:p>
        </w:tc>
        <w:tc>
          <w:tcPr>
            <w:tcW w:w="6555" w:type="dxa"/>
            <w:tcBorders>
              <w:top w:val="nil"/>
              <w:left w:val="nil"/>
              <w:bottom w:val="nil"/>
              <w:right w:val="nil"/>
            </w:tcBorders>
            <w:shd w:val="clear" w:color="auto" w:fill="FFFFFF"/>
            <w:tcMar>
              <w:top w:w="57" w:type="dxa"/>
              <w:left w:w="57" w:type="dxa"/>
              <w:bottom w:w="0" w:type="dxa"/>
              <w:right w:w="57" w:type="dxa"/>
            </w:tcMar>
          </w:tcPr>
          <w:p w14:paraId="5B59D330">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视频发布的时间，用于控制季节性趋势、平台政策调整等时间层面的混淆因素，在双向固定效应模型中以时间固定效应加以处理。</w:t>
            </w:r>
          </w:p>
        </w:tc>
      </w:tr>
      <w:tr w14:paraId="708E4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15" w:type="dxa"/>
            <w:vMerge w:val="continue"/>
            <w:tcBorders>
              <w:top w:val="nil"/>
              <w:left w:val="nil"/>
              <w:bottom w:val="single" w:color="000000" w:sz="12" w:space="0"/>
              <w:right w:val="nil"/>
            </w:tcBorders>
            <w:shd w:val="clear" w:color="auto" w:fill="FFFFFF"/>
            <w:tcMar>
              <w:top w:w="57" w:type="dxa"/>
              <w:left w:w="57" w:type="dxa"/>
              <w:bottom w:w="0" w:type="dxa"/>
              <w:right w:w="57" w:type="dxa"/>
            </w:tcMar>
          </w:tcPr>
          <w:p w14:paraId="6D12B754">
            <w:pPr>
              <w:spacing w:line="200" w:lineRule="exact"/>
              <w:rPr>
                <w:rFonts w:ascii="Times New Roman" w:hAnsi="Times New Roman" w:cs="Times New Roman"/>
                <w:color w:val="000000"/>
                <w:sz w:val="18"/>
                <w:szCs w:val="18"/>
              </w:rPr>
            </w:pPr>
          </w:p>
        </w:tc>
        <w:tc>
          <w:tcPr>
            <w:tcW w:w="1668" w:type="dxa"/>
            <w:tcBorders>
              <w:top w:val="nil"/>
              <w:left w:val="nil"/>
              <w:bottom w:val="single" w:color="000000" w:sz="12" w:space="0"/>
              <w:right w:val="nil"/>
            </w:tcBorders>
            <w:shd w:val="clear" w:color="auto" w:fill="FFFFFF"/>
            <w:tcMar>
              <w:top w:w="57" w:type="dxa"/>
              <w:left w:w="57" w:type="dxa"/>
              <w:bottom w:w="57" w:type="dxa"/>
              <w:right w:w="57" w:type="dxa"/>
            </w:tcMar>
          </w:tcPr>
          <w:p w14:paraId="5832782E">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分享数</w:t>
            </w:r>
          </w:p>
        </w:tc>
        <w:tc>
          <w:tcPr>
            <w:tcW w:w="6555" w:type="dxa"/>
            <w:tcBorders>
              <w:top w:val="nil"/>
              <w:left w:val="nil"/>
              <w:bottom w:val="single" w:color="000000" w:sz="12" w:space="0"/>
              <w:right w:val="nil"/>
            </w:tcBorders>
            <w:shd w:val="clear" w:color="auto" w:fill="FFFFFF"/>
            <w:tcMar>
              <w:top w:w="57" w:type="dxa"/>
              <w:left w:w="57" w:type="dxa"/>
              <w:bottom w:w="57" w:type="dxa"/>
              <w:right w:w="57" w:type="dxa"/>
            </w:tcMar>
          </w:tcPr>
          <w:p w14:paraId="7A84551A">
            <w:pPr>
              <w:spacing w:line="200" w:lineRule="exact"/>
              <w:rPr>
                <w:rFonts w:ascii="Times New Roman" w:hAnsi="Times New Roman" w:cs="Times New Roman"/>
                <w:color w:val="000000"/>
                <w:sz w:val="18"/>
                <w:szCs w:val="18"/>
              </w:rPr>
            </w:pPr>
            <w:r>
              <w:rPr>
                <w:rFonts w:ascii="Times New Roman" w:hAnsi="Times New Roman" w:cs="Times New Roman"/>
                <w:color w:val="000000"/>
                <w:sz w:val="18"/>
                <w:szCs w:val="18"/>
              </w:rPr>
              <w:t>视频被分享次数的自然对数值，作为流量信号的代理变量，用于与投币激励（价值信号）进行对比检验，验证假设H4。</w:t>
            </w:r>
          </w:p>
        </w:tc>
      </w:tr>
    </w:tbl>
    <w:p w14:paraId="013D1E0E">
      <w:pPr>
        <w:pStyle w:val="8"/>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变量的定义与测量表</w:t>
      </w:r>
    </w:p>
    <w:p w14:paraId="4F26D9A9">
      <w:pPr>
        <w:spacing w:before="120" w:beforeLines="50" w:line="288" w:lineRule="auto"/>
        <w:ind w:firstLine="482"/>
        <w:rPr>
          <w:rFonts w:ascii="Times New Roman" w:hAnsi="Times New Roman" w:cs="Times New Roman"/>
        </w:rPr>
      </w:pPr>
      <w:r>
        <w:rPr>
          <w:rFonts w:ascii="Times New Roman" w:hAnsi="Times New Roman" w:cs="Times New Roman"/>
        </w:rPr>
        <w:t>如表2所示，本研究的因变量为内容质量指数（CQI），采用弹幕情感得分与币播比两个维度加权合成，经CRITIC客观赋权法确定各维度权重（币播比0.58，弹幕情感0.42），取值范围标准化至0—100分。弹幕情感得分通过对视频弹幕文本进行情感分析计算获得，反映观众在观看过程中的即时情感反应；币播比（投币数/播放量）则刻画了在给定曝光量下观众愿意主动付出稀缺资源的比例，是内容深度价值被认可程度的客观测度。两者的结合，兼顾了内容质量的情感维度与行为维度，构成了较为全面的合成指标。</w:t>
      </w:r>
    </w:p>
    <w:p w14:paraId="1298C302">
      <w:pPr>
        <w:spacing w:line="288" w:lineRule="auto"/>
        <w:ind w:firstLine="480"/>
        <w:rPr>
          <w:rFonts w:ascii="Times New Roman" w:hAnsi="Times New Roman" w:cs="Times New Roman"/>
        </w:rPr>
      </w:pPr>
      <w:r>
        <w:rPr>
          <w:rFonts w:ascii="Times New Roman" w:hAnsi="Times New Roman" w:cs="Times New Roman"/>
        </w:rPr>
        <w:t>核心自变量为滞后两期的投币数对数值（L2_ln_coin），以视频发布月份为时间粒度进行滞后处理。采用两期滞后的设计，一方面出于内生性控制的考量——当期内容质量可能与当期投币数存在互为因果的双向关系，滞后处理有效地将因果方向锁定为“前期激励→后期质量”；另一方面也符合创作周期的实际规律——创作者通常需要经历一至两个完整的发布周期，才能将接收到的激励信号内化为可观察的行为变化并最终体现在内容质量上。</w:t>
      </w:r>
    </w:p>
    <w:p w14:paraId="339F13F7">
      <w:pPr>
        <w:spacing w:line="288" w:lineRule="auto"/>
        <w:ind w:firstLine="480"/>
        <w:rPr>
          <w:rFonts w:ascii="Times New Roman" w:hAnsi="Times New Roman" w:cs="Times New Roman"/>
        </w:rPr>
      </w:pPr>
      <w:r>
        <w:rPr>
          <w:rFonts w:ascii="Times New Roman" w:hAnsi="Times New Roman" w:cs="Times New Roman"/>
        </w:rPr>
        <w:t>两个中介变量分别为内容打磨周期（相邻视频发布时间间隔的对数值，ln_interval）和评论互动深度（视频评论数的对数值，ln_comment）。前者以相邻两条视频发布时间间隔的天数为基础进行对数化处理，用于刻画创作者的时间投入行为，间隔越长意味着创作者在制作周期上投入了更多精力；后者以视频评论数的对数值衡量，反映该视频所引发的观众深度参与程度，与点赞、收藏等一键式互动相比，评论行为需要观众投入更多的认知资源和时间成本，因而能够更好地代理深度互动的程度。</w:t>
      </w:r>
    </w:p>
    <w:p w14:paraId="3818B5A4">
      <w:pPr>
        <w:spacing w:line="288" w:lineRule="auto"/>
        <w:ind w:firstLine="480"/>
        <w:rPr>
          <w:rFonts w:ascii="Times New Roman" w:hAnsi="Times New Roman" w:cs="Times New Roman"/>
        </w:rPr>
      </w:pPr>
      <w:r>
        <w:rPr>
          <w:rFonts w:ascii="Times New Roman" w:hAnsi="Times New Roman" w:cs="Times New Roman"/>
        </w:rPr>
        <w:t>控制变量方面，本研究控制了视频时长（ln_duration）、发布时的粉丝规模（ln_fans）、内容分区类型（category，包含科学科普、社科人文、财经商业、校园学习、职业技能五类的虚拟变量）和发布时间（month），以排除这些因素对内容质量的混淆影响。此外，在双向固定效应面板模型中，进一步纳入创作者个体固定效应和时间固定效应，以控制不可观测的创作者个体异质性（如创作风格、天赋差异）及时间层面的共同冲击（如平台政策调整、内容生态变化）。同时，以分享数的对数值（ln_share）作为流量信号的代理变量，用于H4的对比检验。</w:t>
      </w:r>
    </w:p>
    <w:p w14:paraId="57718DD4">
      <w:pPr>
        <w:spacing w:before="400" w:after="200"/>
        <w:jc w:val="center"/>
        <w:outlineLvl w:val="0"/>
        <w:rPr>
          <w:rFonts w:ascii="Times New Roman" w:hAnsi="Times New Roman" w:eastAsia="黑体" w:cs="Times New Roman"/>
          <w:b/>
          <w:bCs/>
          <w:sz w:val="32"/>
          <w:szCs w:val="32"/>
        </w:rPr>
      </w:pPr>
      <w:bookmarkStart w:id="57" w:name="_Toc11324"/>
      <w:r>
        <w:rPr>
          <w:rFonts w:ascii="Times New Roman" w:hAnsi="Times New Roman" w:eastAsia="黑体" w:cs="Times New Roman"/>
          <w:b/>
          <w:bCs/>
          <w:sz w:val="32"/>
          <w:szCs w:val="32"/>
        </w:rPr>
        <w:t>第四章  数据来源与数据收集</w:t>
      </w:r>
      <w:bookmarkEnd w:id="57"/>
    </w:p>
    <w:p w14:paraId="5159B9EE">
      <w:pPr>
        <w:spacing w:before="300" w:after="150"/>
        <w:outlineLvl w:val="2"/>
        <w:rPr>
          <w:rFonts w:ascii="Times New Roman" w:hAnsi="Times New Roman" w:eastAsia="黑体" w:cs="Times New Roman"/>
          <w:b/>
          <w:bCs/>
          <w:sz w:val="28"/>
          <w:szCs w:val="28"/>
        </w:rPr>
      </w:pPr>
      <w:bookmarkStart w:id="58" w:name="_Toc358"/>
      <w:r>
        <w:rPr>
          <w:rFonts w:ascii="Times New Roman" w:hAnsi="Times New Roman" w:eastAsia="黑体" w:cs="Times New Roman"/>
          <w:b/>
          <w:bCs/>
          <w:sz w:val="28"/>
          <w:szCs w:val="28"/>
        </w:rPr>
        <w:t>4.1  研究对象</w:t>
      </w:r>
      <w:bookmarkEnd w:id="58"/>
    </w:p>
    <w:p w14:paraId="4262050C">
      <w:pPr>
        <w:spacing w:line="288" w:lineRule="auto"/>
        <w:ind w:firstLine="480"/>
        <w:rPr>
          <w:rFonts w:ascii="Times New Roman" w:hAnsi="Times New Roman" w:cs="Times New Roman"/>
        </w:rPr>
      </w:pPr>
      <w:r>
        <w:rPr>
          <w:rFonts w:ascii="Times New Roman" w:hAnsi="Times New Roman" w:cs="Times New Roman"/>
        </w:rPr>
        <w:t>本研究的研究对象是活跃于哔哩哔哩（B站）知识区的UP主及其发布的知识类视频内容。以B站知识区作为研究场域，主要基于以下几方面考量。</w:t>
      </w:r>
    </w:p>
    <w:p w14:paraId="1381079C">
      <w:pPr>
        <w:spacing w:line="288" w:lineRule="auto"/>
        <w:ind w:firstLine="480"/>
        <w:rPr>
          <w:rFonts w:ascii="Times New Roman" w:hAnsi="Times New Roman" w:cs="Times New Roman"/>
        </w:rPr>
      </w:pPr>
      <w:r>
        <w:rPr>
          <w:rFonts w:ascii="Times New Roman" w:hAnsi="Times New Roman" w:cs="Times New Roman"/>
        </w:rPr>
        <w:t>首先，B站投币机制具有独特的非金钱激励属性，为本研究提供了理想的自然实验环境。B站投币机制的核心特征在于其稀缺性设计：</w:t>
      </w:r>
      <w:commentRangeStart w:id="5"/>
      <w:r>
        <w:rPr>
          <w:rFonts w:ascii="Times New Roman" w:hAnsi="Times New Roman" w:cs="Times New Roman"/>
        </w:rPr>
        <w:t>每位注册用户每日可获得的硬币数量有上限（通常为5至10枚）</w:t>
      </w:r>
      <w:commentRangeEnd w:id="5"/>
      <w:r>
        <w:rPr>
          <w:rStyle w:val="23"/>
        </w:rPr>
        <w:commentReference w:id="5"/>
      </w:r>
      <w:r>
        <w:rPr>
          <w:rFonts w:ascii="Times New Roman" w:hAnsi="Times New Roman" w:cs="Times New Roman"/>
        </w:rPr>
        <w:t>，这种制度性稀缺迫使用户在海量视频内容中进行有意识的价值甄别和筛选。投币行为本身并不为创作者带来直接的货币收益，创作者在B站的收入来源主要依赖会员分成、广告合作、粉丝充电等渠道，投币无法直接兑换为任何经济回报。这一机制设计使投币成为一种接近“纯粹”的非金钱激励形式，其激励效果完全来自社会认可和符号价值，与金钱激励的作用逻辑高度解耦，为检验非金钱激励的独立效应提供了难得的研究条件。</w:t>
      </w:r>
    </w:p>
    <w:p w14:paraId="7157C6C1">
      <w:pPr>
        <w:spacing w:line="288" w:lineRule="auto"/>
        <w:ind w:firstLine="480"/>
        <w:rPr>
          <w:rFonts w:ascii="Times New Roman" w:hAnsi="Times New Roman" w:cs="Times New Roman"/>
        </w:rPr>
      </w:pPr>
      <w:r>
        <w:rPr>
          <w:rFonts w:ascii="Times New Roman" w:hAnsi="Times New Roman" w:cs="Times New Roman"/>
        </w:rPr>
        <w:t>其次，B站知识区的内容生产特征尤为适合检验激励机制对内容质量的影响。与泛娱乐类内容相比，知识类内容的制作周期更长、专业门槛更高，单条视频往往需要创作者投入大量时间进行资料整理、脚本写作、视频剪辑和校对核实，内容质量的可辨识度更高。在这一场域中，用户投币行为高度集中于“真正有价值”的内容，投币信号的可靠性强于娱乐属性更强的内容分区。因此，知识区的特点有助于放大和识别投币激励对内容质量的真实影响。</w:t>
      </w:r>
    </w:p>
    <w:p w14:paraId="2A012C4A">
      <w:pPr>
        <w:spacing w:line="288" w:lineRule="auto"/>
        <w:ind w:firstLine="480"/>
        <w:rPr>
          <w:rFonts w:ascii="Times New Roman" w:hAnsi="Times New Roman" w:cs="Times New Roman"/>
        </w:rPr>
      </w:pPr>
      <w:r>
        <w:rPr>
          <w:rFonts w:ascii="Times New Roman" w:hAnsi="Times New Roman" w:cs="Times New Roman"/>
        </w:rPr>
        <w:t>再者，B站平台提供了相对开放的数据接口，能够通过官方API系统性地获取视频播放量、投币数、收藏数、弹幕内容、评论数等多维度公开数据，数据获取的合法性与完整性均有保障。B站知识区自2018年正式设立，经过数年发展，已形成较为成熟的社区生态和内容生产秩序，积累了大量可供分析的长期面板数据。</w:t>
      </w:r>
    </w:p>
    <w:p w14:paraId="375DAFC3">
      <w:pPr>
        <w:spacing w:line="288" w:lineRule="auto"/>
        <w:ind w:firstLine="480"/>
        <w:rPr>
          <w:rFonts w:ascii="Times New Roman" w:hAnsi="Times New Roman" w:cs="Times New Roman"/>
        </w:rPr>
      </w:pPr>
      <w:r>
        <w:rPr>
          <w:rFonts w:ascii="Times New Roman" w:hAnsi="Times New Roman" w:cs="Times New Roman"/>
        </w:rPr>
        <w:t>基于以上考量，本研究从B站知识区选取86位持续活跃的UP主作为研究样本，采集其2019年3月至2025年12月间发布的视频数据，最终获得有效视频8,242条。样本UP主的选取原则如下：（1）在研究区间内至少发布过10条知识区相关视频，保证有足够的面板观测值；（2）账号状态正常、未被封禁或注销，保证数据连贯性；（3）视频内容明确归属于知识区（含科学科普、社科人文、财经商业、校园学习、职业技能等细分标签），排除跨区混发的泛娱乐内容。</w:t>
      </w:r>
    </w:p>
    <w:p w14:paraId="4597E5D1">
      <w:pPr>
        <w:spacing w:line="288" w:lineRule="auto"/>
        <w:ind w:firstLine="480"/>
        <w:rPr>
          <w:rFonts w:ascii="Times New Roman" w:hAnsi="Times New Roman" w:cs="Times New Roman"/>
        </w:rPr>
      </w:pPr>
      <w:r>
        <w:rPr>
          <w:rFonts w:ascii="Times New Roman" w:hAnsi="Times New Roman" w:cs="Times New Roman"/>
          <w:highlight w:val="lightGray"/>
        </w:rPr>
        <w:t>在粉丝量级分布上，本研究有意涵盖不同层级的创作者：头部UP主（粉丝数超过100万）35位，占比40.7%；中腰部UP主（粉丝数10万至100万）31位，占比36.0%；尾部UP主（粉丝数低于10万）20位，占比23.3%。</w:t>
      </w:r>
      <w:r>
        <w:rPr>
          <w:rFonts w:ascii="Times New Roman" w:hAnsi="Times New Roman" w:cs="Times New Roman"/>
        </w:rPr>
        <w:t>这一分层样本设计有助于检验激励效应在不同规模创作者群体中的异质性，增强研究结论的代表性与外部效度。样本的人口变量描述统计详见表3。</w:t>
      </w:r>
    </w:p>
    <w:p w14:paraId="1BFF0A44">
      <w:pPr>
        <w:pStyle w:val="8"/>
        <w:spacing w:line="160" w:lineRule="atLeast"/>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xml:space="preserve"> 样本人口变量描述性统计</w:t>
      </w:r>
    </w:p>
    <w:tbl>
      <w:tblPr>
        <w:tblStyle w:val="19"/>
        <w:tblW w:w="93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8"/>
        <w:gridCol w:w="4152"/>
        <w:gridCol w:w="899"/>
        <w:gridCol w:w="1818"/>
      </w:tblGrid>
      <w:tr w14:paraId="1AA8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9" w:hRule="atLeast"/>
        </w:trPr>
        <w:tc>
          <w:tcPr>
            <w:tcW w:w="2508" w:type="dxa"/>
            <w:tcBorders>
              <w:top w:val="single" w:color="000000" w:sz="12" w:space="0"/>
              <w:left w:val="nil"/>
              <w:bottom w:val="single" w:color="000000" w:sz="4" w:space="0"/>
              <w:right w:val="nil"/>
              <w:tl2br w:val="nil"/>
            </w:tcBorders>
            <w:shd w:val="clear" w:color="auto" w:fill="FFFFFF"/>
            <w:tcMar>
              <w:top w:w="57" w:type="dxa"/>
              <w:left w:w="0" w:type="dxa"/>
              <w:bottom w:w="0" w:type="dxa"/>
              <w:right w:w="0" w:type="dxa"/>
            </w:tcMar>
          </w:tcPr>
          <w:p w14:paraId="33CEA62B">
            <w:pPr>
              <w:jc w:val="center"/>
              <w:rPr>
                <w:rFonts w:ascii="Times New Roman" w:hAnsi="Times New Roman" w:cs="Times New Roman"/>
                <w:color w:val="000000"/>
              </w:rPr>
            </w:pPr>
            <w:r>
              <w:rPr>
                <w:rFonts w:ascii="Times New Roman" w:hAnsi="Times New Roman" w:cs="Times New Roman"/>
                <w:bCs/>
                <w:color w:val="000000"/>
                <w:sz w:val="21"/>
                <w:szCs w:val="21"/>
              </w:rPr>
              <w:t>类别</w:t>
            </w:r>
          </w:p>
        </w:tc>
        <w:tc>
          <w:tcPr>
            <w:tcW w:w="4152" w:type="dxa"/>
            <w:tcBorders>
              <w:top w:val="single" w:color="000000" w:sz="12" w:space="0"/>
              <w:left w:val="nil"/>
              <w:bottom w:val="single" w:color="000000" w:sz="4" w:space="0"/>
              <w:right w:val="nil"/>
            </w:tcBorders>
            <w:shd w:val="clear" w:color="auto" w:fill="FFFFFF"/>
            <w:tcMar>
              <w:top w:w="57" w:type="dxa"/>
              <w:left w:w="0" w:type="dxa"/>
              <w:bottom w:w="0" w:type="dxa"/>
              <w:right w:w="0" w:type="dxa"/>
            </w:tcMar>
          </w:tcPr>
          <w:p w14:paraId="3C4C3B7C">
            <w:pPr>
              <w:jc w:val="center"/>
              <w:rPr>
                <w:rFonts w:ascii="Times New Roman" w:hAnsi="Times New Roman" w:cs="Times New Roman"/>
                <w:color w:val="000000"/>
              </w:rPr>
            </w:pPr>
            <w:r>
              <w:rPr>
                <w:rFonts w:ascii="Times New Roman" w:hAnsi="Times New Roman" w:cs="Times New Roman"/>
                <w:bCs/>
                <w:color w:val="000000"/>
                <w:sz w:val="21"/>
                <w:szCs w:val="21"/>
              </w:rPr>
              <w:t>细分</w:t>
            </w:r>
          </w:p>
        </w:tc>
        <w:tc>
          <w:tcPr>
            <w:tcW w:w="899" w:type="dxa"/>
            <w:tcBorders>
              <w:top w:val="single" w:color="000000" w:sz="12" w:space="0"/>
              <w:left w:val="nil"/>
              <w:bottom w:val="single" w:color="000000" w:sz="4" w:space="0"/>
              <w:right w:val="nil"/>
            </w:tcBorders>
            <w:shd w:val="clear" w:color="auto" w:fill="FFFFFF"/>
            <w:tcMar>
              <w:top w:w="57" w:type="dxa"/>
              <w:left w:w="0" w:type="dxa"/>
              <w:bottom w:w="0" w:type="dxa"/>
              <w:right w:w="0" w:type="dxa"/>
            </w:tcMar>
          </w:tcPr>
          <w:p w14:paraId="2FD17942">
            <w:pPr>
              <w:jc w:val="center"/>
              <w:rPr>
                <w:rFonts w:ascii="Times New Roman" w:hAnsi="Times New Roman" w:cs="Times New Roman"/>
                <w:color w:val="000000"/>
              </w:rPr>
            </w:pPr>
            <w:r>
              <w:rPr>
                <w:rFonts w:ascii="Times New Roman" w:hAnsi="Times New Roman" w:cs="Times New Roman"/>
                <w:bCs/>
                <w:color w:val="000000"/>
                <w:sz w:val="21"/>
                <w:szCs w:val="21"/>
              </w:rPr>
              <w:t>频率</w:t>
            </w:r>
          </w:p>
        </w:tc>
        <w:tc>
          <w:tcPr>
            <w:tcW w:w="1818" w:type="dxa"/>
            <w:tcBorders>
              <w:top w:val="single" w:color="000000" w:sz="12" w:space="0"/>
              <w:left w:val="nil"/>
              <w:bottom w:val="single" w:color="000000" w:sz="4" w:space="0"/>
              <w:right w:val="nil"/>
            </w:tcBorders>
            <w:shd w:val="clear" w:color="auto" w:fill="FFFFFF"/>
            <w:tcMar>
              <w:top w:w="57" w:type="dxa"/>
              <w:left w:w="0" w:type="dxa"/>
              <w:bottom w:w="0" w:type="dxa"/>
              <w:right w:w="0" w:type="dxa"/>
            </w:tcMar>
          </w:tcPr>
          <w:p w14:paraId="1598C166">
            <w:pPr>
              <w:jc w:val="center"/>
              <w:rPr>
                <w:rFonts w:ascii="Times New Roman" w:hAnsi="Times New Roman" w:cs="Times New Roman"/>
                <w:color w:val="000000"/>
              </w:rPr>
            </w:pPr>
            <w:r>
              <w:rPr>
                <w:rFonts w:ascii="Times New Roman" w:hAnsi="Times New Roman" w:cs="Times New Roman"/>
                <w:bCs/>
                <w:color w:val="000000"/>
                <w:sz w:val="21"/>
                <w:szCs w:val="21"/>
              </w:rPr>
              <w:t>百分比（%）</w:t>
            </w:r>
          </w:p>
        </w:tc>
      </w:tr>
      <w:tr w14:paraId="3AF2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 w:hRule="atLeast"/>
        </w:trPr>
        <w:tc>
          <w:tcPr>
            <w:tcW w:w="2508" w:type="dxa"/>
            <w:tcBorders>
              <w:top w:val="single" w:color="000000" w:sz="4" w:space="0"/>
              <w:left w:val="nil"/>
              <w:bottom w:val="nil"/>
              <w:right w:val="nil"/>
            </w:tcBorders>
            <w:shd w:val="clear" w:color="auto" w:fill="FFFFFF"/>
            <w:tcMar>
              <w:top w:w="57" w:type="dxa"/>
              <w:left w:w="0" w:type="dxa"/>
              <w:bottom w:w="0" w:type="dxa"/>
              <w:right w:w="0" w:type="dxa"/>
            </w:tcMar>
          </w:tcPr>
          <w:p w14:paraId="5322D5C5">
            <w:pPr>
              <w:jc w:val="center"/>
              <w:rPr>
                <w:rFonts w:ascii="Times New Roman" w:hAnsi="Times New Roman" w:cs="Times New Roman"/>
                <w:color w:val="000000"/>
              </w:rPr>
            </w:pPr>
          </w:p>
        </w:tc>
        <w:tc>
          <w:tcPr>
            <w:tcW w:w="4152" w:type="dxa"/>
            <w:tcBorders>
              <w:top w:val="single" w:color="000000" w:sz="4" w:space="0"/>
              <w:left w:val="nil"/>
              <w:bottom w:val="nil"/>
              <w:right w:val="nil"/>
            </w:tcBorders>
            <w:shd w:val="clear" w:color="auto" w:fill="FFFFFF"/>
            <w:tcMar>
              <w:top w:w="57" w:type="dxa"/>
              <w:left w:w="0" w:type="dxa"/>
              <w:bottom w:w="0" w:type="dxa"/>
              <w:right w:w="0" w:type="dxa"/>
            </w:tcMar>
          </w:tcPr>
          <w:p w14:paraId="4DE94014">
            <w:pPr>
              <w:jc w:val="center"/>
              <w:rPr>
                <w:rFonts w:ascii="Times New Roman" w:hAnsi="Times New Roman" w:cs="Times New Roman"/>
                <w:color w:val="000000"/>
              </w:rPr>
            </w:pPr>
            <w:r>
              <w:rPr>
                <w:rFonts w:ascii="Times New Roman" w:hAnsi="Times New Roman" w:cs="Times New Roman"/>
                <w:color w:val="000000"/>
                <w:sz w:val="21"/>
                <w:szCs w:val="21"/>
              </w:rPr>
              <w:t>科学科普</w:t>
            </w:r>
          </w:p>
        </w:tc>
        <w:tc>
          <w:tcPr>
            <w:tcW w:w="899" w:type="dxa"/>
            <w:tcBorders>
              <w:top w:val="single" w:color="000000" w:sz="4" w:space="0"/>
              <w:left w:val="nil"/>
              <w:bottom w:val="nil"/>
              <w:right w:val="nil"/>
            </w:tcBorders>
            <w:shd w:val="clear" w:color="auto" w:fill="FFFFFF"/>
            <w:tcMar>
              <w:top w:w="57" w:type="dxa"/>
              <w:left w:w="0" w:type="dxa"/>
              <w:bottom w:w="0" w:type="dxa"/>
              <w:right w:w="0" w:type="dxa"/>
            </w:tcMar>
          </w:tcPr>
          <w:p w14:paraId="0E1DDBD1">
            <w:pPr>
              <w:jc w:val="center"/>
              <w:rPr>
                <w:rFonts w:ascii="Times New Roman" w:hAnsi="Times New Roman" w:cs="Times New Roman"/>
                <w:color w:val="000000"/>
              </w:rPr>
            </w:pPr>
            <w:r>
              <w:rPr>
                <w:rFonts w:ascii="Times New Roman" w:hAnsi="Times New Roman" w:cs="Times New Roman"/>
                <w:color w:val="000000"/>
                <w:sz w:val="21"/>
                <w:szCs w:val="21"/>
              </w:rPr>
              <w:t>28</w:t>
            </w:r>
          </w:p>
        </w:tc>
        <w:tc>
          <w:tcPr>
            <w:tcW w:w="1818" w:type="dxa"/>
            <w:tcBorders>
              <w:top w:val="single" w:color="000000" w:sz="4" w:space="0"/>
              <w:left w:val="nil"/>
              <w:bottom w:val="nil"/>
              <w:right w:val="nil"/>
            </w:tcBorders>
            <w:shd w:val="clear" w:color="auto" w:fill="FFFFFF"/>
            <w:tcMar>
              <w:top w:w="57" w:type="dxa"/>
              <w:left w:w="0" w:type="dxa"/>
              <w:bottom w:w="0" w:type="dxa"/>
              <w:right w:w="0" w:type="dxa"/>
            </w:tcMar>
          </w:tcPr>
          <w:p w14:paraId="2C563A5D">
            <w:pPr>
              <w:jc w:val="center"/>
              <w:rPr>
                <w:rFonts w:ascii="Times New Roman" w:hAnsi="Times New Roman" w:cs="Times New Roman"/>
                <w:color w:val="000000"/>
              </w:rPr>
            </w:pPr>
            <w:r>
              <w:rPr>
                <w:rFonts w:ascii="Times New Roman" w:hAnsi="Times New Roman" w:cs="Times New Roman"/>
                <w:color w:val="000000"/>
                <w:sz w:val="21"/>
                <w:szCs w:val="21"/>
              </w:rPr>
              <w:t>32.6</w:t>
            </w:r>
          </w:p>
        </w:tc>
      </w:tr>
      <w:tr w14:paraId="7097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4"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21D80CEF">
            <w:pPr>
              <w:jc w:val="center"/>
              <w:rPr>
                <w:rFonts w:ascii="Times New Roman" w:hAnsi="Times New Roman" w:cs="Times New Roman"/>
                <w:color w:val="000000"/>
              </w:rPr>
            </w:pPr>
            <w:r>
              <w:rPr>
                <w:rFonts w:ascii="Times New Roman" w:hAnsi="Times New Roman" w:cs="Times New Roman"/>
                <w:color w:val="000000"/>
                <w:sz w:val="21"/>
                <w:szCs w:val="21"/>
              </w:rPr>
              <w:t>内容领域</w:t>
            </w:r>
          </w:p>
        </w:tc>
        <w:tc>
          <w:tcPr>
            <w:tcW w:w="4152" w:type="dxa"/>
            <w:tcBorders>
              <w:top w:val="nil"/>
              <w:left w:val="nil"/>
              <w:bottom w:val="nil"/>
              <w:right w:val="nil"/>
            </w:tcBorders>
            <w:shd w:val="clear" w:color="auto" w:fill="FFFFFF"/>
            <w:tcMar>
              <w:top w:w="57" w:type="dxa"/>
              <w:left w:w="0" w:type="dxa"/>
              <w:bottom w:w="0" w:type="dxa"/>
              <w:right w:w="0" w:type="dxa"/>
            </w:tcMar>
          </w:tcPr>
          <w:p w14:paraId="4CA2E6C7">
            <w:pPr>
              <w:jc w:val="center"/>
              <w:rPr>
                <w:rFonts w:ascii="Times New Roman" w:hAnsi="Times New Roman" w:cs="Times New Roman"/>
                <w:color w:val="000000"/>
              </w:rPr>
            </w:pPr>
            <w:r>
              <w:rPr>
                <w:rFonts w:ascii="Times New Roman" w:hAnsi="Times New Roman" w:cs="Times New Roman"/>
                <w:color w:val="000000"/>
                <w:sz w:val="21"/>
                <w:szCs w:val="21"/>
              </w:rPr>
              <w:t>社科人文</w:t>
            </w:r>
          </w:p>
        </w:tc>
        <w:tc>
          <w:tcPr>
            <w:tcW w:w="899" w:type="dxa"/>
            <w:tcBorders>
              <w:top w:val="nil"/>
              <w:left w:val="nil"/>
              <w:bottom w:val="nil"/>
              <w:right w:val="nil"/>
            </w:tcBorders>
            <w:shd w:val="clear" w:color="auto" w:fill="FFFFFF"/>
            <w:tcMar>
              <w:top w:w="57" w:type="dxa"/>
              <w:left w:w="0" w:type="dxa"/>
              <w:bottom w:w="0" w:type="dxa"/>
              <w:right w:w="0" w:type="dxa"/>
            </w:tcMar>
          </w:tcPr>
          <w:p w14:paraId="35D834E7">
            <w:pPr>
              <w:jc w:val="center"/>
              <w:rPr>
                <w:rFonts w:ascii="Times New Roman" w:hAnsi="Times New Roman" w:cs="Times New Roman"/>
                <w:color w:val="000000"/>
              </w:rPr>
            </w:pPr>
            <w:r>
              <w:rPr>
                <w:rFonts w:ascii="Times New Roman" w:hAnsi="Times New Roman" w:cs="Times New Roman"/>
                <w:color w:val="000000"/>
                <w:sz w:val="21"/>
                <w:szCs w:val="21"/>
              </w:rPr>
              <w:t>21</w:t>
            </w:r>
          </w:p>
        </w:tc>
        <w:tc>
          <w:tcPr>
            <w:tcW w:w="1818" w:type="dxa"/>
            <w:tcBorders>
              <w:top w:val="nil"/>
              <w:left w:val="nil"/>
              <w:bottom w:val="nil"/>
              <w:right w:val="nil"/>
            </w:tcBorders>
            <w:shd w:val="clear" w:color="auto" w:fill="FFFFFF"/>
            <w:tcMar>
              <w:top w:w="57" w:type="dxa"/>
              <w:left w:w="0" w:type="dxa"/>
              <w:bottom w:w="0" w:type="dxa"/>
              <w:right w:w="0" w:type="dxa"/>
            </w:tcMar>
          </w:tcPr>
          <w:p w14:paraId="7DB91B96">
            <w:pPr>
              <w:jc w:val="center"/>
              <w:rPr>
                <w:rFonts w:ascii="Times New Roman" w:hAnsi="Times New Roman" w:cs="Times New Roman"/>
                <w:color w:val="000000"/>
              </w:rPr>
            </w:pPr>
            <w:r>
              <w:rPr>
                <w:rFonts w:ascii="Times New Roman" w:hAnsi="Times New Roman" w:cs="Times New Roman"/>
                <w:color w:val="000000"/>
                <w:sz w:val="21"/>
                <w:szCs w:val="21"/>
              </w:rPr>
              <w:t>24.4</w:t>
            </w:r>
          </w:p>
        </w:tc>
      </w:tr>
      <w:tr w14:paraId="5198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6"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76990454">
            <w:pPr>
              <w:jc w:val="center"/>
              <w:rPr>
                <w:rFonts w:ascii="Times New Roman" w:hAnsi="Times New Roman" w:cs="Times New Roman"/>
                <w:color w:val="000000"/>
              </w:rPr>
            </w:pPr>
          </w:p>
        </w:tc>
        <w:tc>
          <w:tcPr>
            <w:tcW w:w="4152" w:type="dxa"/>
            <w:tcBorders>
              <w:top w:val="nil"/>
              <w:left w:val="nil"/>
              <w:bottom w:val="nil"/>
              <w:right w:val="nil"/>
            </w:tcBorders>
            <w:shd w:val="clear" w:color="auto" w:fill="FFFFFF"/>
            <w:tcMar>
              <w:top w:w="57" w:type="dxa"/>
              <w:left w:w="0" w:type="dxa"/>
              <w:bottom w:w="0" w:type="dxa"/>
              <w:right w:w="0" w:type="dxa"/>
            </w:tcMar>
          </w:tcPr>
          <w:p w14:paraId="115E2AB0">
            <w:pPr>
              <w:jc w:val="center"/>
              <w:rPr>
                <w:rFonts w:ascii="Times New Roman" w:hAnsi="Times New Roman" w:cs="Times New Roman"/>
                <w:color w:val="000000"/>
              </w:rPr>
            </w:pPr>
            <w:r>
              <w:rPr>
                <w:rFonts w:ascii="Times New Roman" w:hAnsi="Times New Roman" w:cs="Times New Roman"/>
                <w:color w:val="000000"/>
                <w:sz w:val="21"/>
                <w:szCs w:val="21"/>
              </w:rPr>
              <w:t>财经商业</w:t>
            </w:r>
          </w:p>
        </w:tc>
        <w:tc>
          <w:tcPr>
            <w:tcW w:w="899" w:type="dxa"/>
            <w:tcBorders>
              <w:top w:val="nil"/>
              <w:left w:val="nil"/>
              <w:bottom w:val="nil"/>
              <w:right w:val="nil"/>
            </w:tcBorders>
            <w:shd w:val="clear" w:color="auto" w:fill="FFFFFF"/>
            <w:tcMar>
              <w:top w:w="57" w:type="dxa"/>
              <w:left w:w="0" w:type="dxa"/>
              <w:bottom w:w="0" w:type="dxa"/>
              <w:right w:w="0" w:type="dxa"/>
            </w:tcMar>
          </w:tcPr>
          <w:p w14:paraId="7569836C">
            <w:pPr>
              <w:jc w:val="center"/>
              <w:rPr>
                <w:rFonts w:ascii="Times New Roman" w:hAnsi="Times New Roman" w:cs="Times New Roman"/>
                <w:color w:val="000000"/>
              </w:rPr>
            </w:pPr>
            <w:r>
              <w:rPr>
                <w:rFonts w:ascii="Times New Roman" w:hAnsi="Times New Roman" w:cs="Times New Roman"/>
                <w:color w:val="000000"/>
                <w:sz w:val="21"/>
                <w:szCs w:val="21"/>
              </w:rPr>
              <w:t>19</w:t>
            </w:r>
          </w:p>
        </w:tc>
        <w:tc>
          <w:tcPr>
            <w:tcW w:w="1818" w:type="dxa"/>
            <w:tcBorders>
              <w:top w:val="nil"/>
              <w:left w:val="nil"/>
              <w:bottom w:val="nil"/>
              <w:right w:val="nil"/>
            </w:tcBorders>
            <w:shd w:val="clear" w:color="auto" w:fill="FFFFFF"/>
            <w:tcMar>
              <w:top w:w="57" w:type="dxa"/>
              <w:left w:w="0" w:type="dxa"/>
              <w:bottom w:w="0" w:type="dxa"/>
              <w:right w:w="0" w:type="dxa"/>
            </w:tcMar>
          </w:tcPr>
          <w:p w14:paraId="408BD51E">
            <w:pPr>
              <w:jc w:val="center"/>
              <w:rPr>
                <w:rFonts w:ascii="Times New Roman" w:hAnsi="Times New Roman" w:cs="Times New Roman"/>
                <w:color w:val="000000"/>
              </w:rPr>
            </w:pPr>
            <w:r>
              <w:rPr>
                <w:rFonts w:ascii="Times New Roman" w:hAnsi="Times New Roman" w:cs="Times New Roman"/>
                <w:color w:val="000000"/>
                <w:sz w:val="21"/>
                <w:szCs w:val="21"/>
              </w:rPr>
              <w:t>22.1</w:t>
            </w:r>
          </w:p>
        </w:tc>
      </w:tr>
      <w:tr w14:paraId="224F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6"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77754483">
            <w:pPr>
              <w:jc w:val="center"/>
              <w:rPr>
                <w:rFonts w:ascii="Times New Roman" w:hAnsi="Times New Roman" w:cs="Times New Roman"/>
                <w:color w:val="000000"/>
              </w:rPr>
            </w:pPr>
          </w:p>
        </w:tc>
        <w:tc>
          <w:tcPr>
            <w:tcW w:w="4152" w:type="dxa"/>
            <w:tcBorders>
              <w:top w:val="nil"/>
              <w:left w:val="nil"/>
              <w:bottom w:val="nil"/>
              <w:right w:val="nil"/>
            </w:tcBorders>
            <w:shd w:val="clear" w:color="auto" w:fill="FFFFFF"/>
            <w:tcMar>
              <w:top w:w="57" w:type="dxa"/>
              <w:left w:w="0" w:type="dxa"/>
              <w:bottom w:w="0" w:type="dxa"/>
              <w:right w:w="0" w:type="dxa"/>
            </w:tcMar>
          </w:tcPr>
          <w:p w14:paraId="3F2F1B58">
            <w:pPr>
              <w:jc w:val="center"/>
              <w:rPr>
                <w:rFonts w:ascii="Times New Roman" w:hAnsi="Times New Roman" w:cs="Times New Roman"/>
                <w:color w:val="000000"/>
              </w:rPr>
            </w:pPr>
            <w:r>
              <w:rPr>
                <w:rFonts w:ascii="Times New Roman" w:hAnsi="Times New Roman" w:cs="Times New Roman"/>
                <w:color w:val="000000"/>
                <w:sz w:val="21"/>
                <w:szCs w:val="21"/>
              </w:rPr>
              <w:t>校园学习</w:t>
            </w:r>
          </w:p>
        </w:tc>
        <w:tc>
          <w:tcPr>
            <w:tcW w:w="899" w:type="dxa"/>
            <w:tcBorders>
              <w:top w:val="nil"/>
              <w:left w:val="nil"/>
              <w:bottom w:val="nil"/>
              <w:right w:val="nil"/>
            </w:tcBorders>
            <w:shd w:val="clear" w:color="auto" w:fill="FFFFFF"/>
            <w:tcMar>
              <w:top w:w="57" w:type="dxa"/>
              <w:left w:w="0" w:type="dxa"/>
              <w:bottom w:w="0" w:type="dxa"/>
              <w:right w:w="0" w:type="dxa"/>
            </w:tcMar>
          </w:tcPr>
          <w:p w14:paraId="6EBF60D2">
            <w:pPr>
              <w:jc w:val="center"/>
              <w:rPr>
                <w:rFonts w:ascii="Times New Roman" w:hAnsi="Times New Roman" w:cs="Times New Roman"/>
                <w:color w:val="000000"/>
              </w:rPr>
            </w:pPr>
            <w:r>
              <w:rPr>
                <w:rFonts w:ascii="Times New Roman" w:hAnsi="Times New Roman" w:cs="Times New Roman"/>
                <w:color w:val="000000"/>
                <w:sz w:val="21"/>
                <w:szCs w:val="21"/>
              </w:rPr>
              <w:t>11</w:t>
            </w:r>
          </w:p>
        </w:tc>
        <w:tc>
          <w:tcPr>
            <w:tcW w:w="1818" w:type="dxa"/>
            <w:tcBorders>
              <w:top w:val="nil"/>
              <w:left w:val="nil"/>
              <w:bottom w:val="nil"/>
              <w:right w:val="nil"/>
            </w:tcBorders>
            <w:shd w:val="clear" w:color="auto" w:fill="FFFFFF"/>
            <w:tcMar>
              <w:top w:w="57" w:type="dxa"/>
              <w:left w:w="0" w:type="dxa"/>
              <w:bottom w:w="0" w:type="dxa"/>
              <w:right w:w="0" w:type="dxa"/>
            </w:tcMar>
          </w:tcPr>
          <w:p w14:paraId="66FCE46C">
            <w:pPr>
              <w:jc w:val="center"/>
              <w:rPr>
                <w:rFonts w:ascii="Times New Roman" w:hAnsi="Times New Roman" w:cs="Times New Roman"/>
                <w:color w:val="000000"/>
              </w:rPr>
            </w:pPr>
            <w:r>
              <w:rPr>
                <w:rFonts w:ascii="Times New Roman" w:hAnsi="Times New Roman" w:cs="Times New Roman"/>
                <w:color w:val="000000"/>
                <w:sz w:val="21"/>
                <w:szCs w:val="21"/>
              </w:rPr>
              <w:t>12.8</w:t>
            </w:r>
          </w:p>
        </w:tc>
      </w:tr>
      <w:tr w14:paraId="3047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6"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1529D54F">
            <w:pPr>
              <w:jc w:val="center"/>
              <w:rPr>
                <w:rFonts w:ascii="Times New Roman" w:hAnsi="Times New Roman" w:cs="Times New Roman"/>
                <w:color w:val="000000"/>
              </w:rPr>
            </w:pPr>
          </w:p>
        </w:tc>
        <w:tc>
          <w:tcPr>
            <w:tcW w:w="4152" w:type="dxa"/>
            <w:tcBorders>
              <w:top w:val="nil"/>
              <w:left w:val="nil"/>
              <w:bottom w:val="nil"/>
              <w:right w:val="nil"/>
            </w:tcBorders>
            <w:shd w:val="clear" w:color="auto" w:fill="FFFFFF"/>
            <w:tcMar>
              <w:top w:w="57" w:type="dxa"/>
              <w:left w:w="0" w:type="dxa"/>
              <w:bottom w:w="0" w:type="dxa"/>
              <w:right w:w="0" w:type="dxa"/>
            </w:tcMar>
          </w:tcPr>
          <w:p w14:paraId="0DF774E8">
            <w:pPr>
              <w:jc w:val="center"/>
              <w:rPr>
                <w:rFonts w:ascii="Times New Roman" w:hAnsi="Times New Roman" w:cs="Times New Roman"/>
                <w:color w:val="000000"/>
              </w:rPr>
            </w:pPr>
            <w:r>
              <w:rPr>
                <w:rFonts w:ascii="Times New Roman" w:hAnsi="Times New Roman" w:cs="Times New Roman"/>
                <w:color w:val="000000"/>
                <w:sz w:val="21"/>
                <w:szCs w:val="21"/>
              </w:rPr>
              <w:t>职业技能</w:t>
            </w:r>
          </w:p>
        </w:tc>
        <w:tc>
          <w:tcPr>
            <w:tcW w:w="899" w:type="dxa"/>
            <w:tcBorders>
              <w:top w:val="nil"/>
              <w:left w:val="nil"/>
              <w:bottom w:val="nil"/>
              <w:right w:val="nil"/>
            </w:tcBorders>
            <w:shd w:val="clear" w:color="auto" w:fill="FFFFFF"/>
            <w:tcMar>
              <w:top w:w="57" w:type="dxa"/>
              <w:left w:w="0" w:type="dxa"/>
              <w:bottom w:w="0" w:type="dxa"/>
              <w:right w:w="0" w:type="dxa"/>
            </w:tcMar>
          </w:tcPr>
          <w:p w14:paraId="66F61DFA">
            <w:pPr>
              <w:jc w:val="center"/>
              <w:rPr>
                <w:rFonts w:ascii="Times New Roman" w:hAnsi="Times New Roman" w:cs="Times New Roman"/>
                <w:color w:val="000000"/>
              </w:rPr>
            </w:pPr>
            <w:r>
              <w:rPr>
                <w:rFonts w:ascii="Times New Roman" w:hAnsi="Times New Roman" w:cs="Times New Roman"/>
                <w:color w:val="000000"/>
                <w:sz w:val="21"/>
                <w:szCs w:val="21"/>
              </w:rPr>
              <w:t>7</w:t>
            </w:r>
          </w:p>
        </w:tc>
        <w:tc>
          <w:tcPr>
            <w:tcW w:w="1818" w:type="dxa"/>
            <w:tcBorders>
              <w:top w:val="nil"/>
              <w:left w:val="nil"/>
              <w:bottom w:val="nil"/>
              <w:right w:val="nil"/>
            </w:tcBorders>
            <w:shd w:val="clear" w:color="auto" w:fill="FFFFFF"/>
            <w:tcMar>
              <w:top w:w="57" w:type="dxa"/>
              <w:left w:w="0" w:type="dxa"/>
              <w:bottom w:w="0" w:type="dxa"/>
              <w:right w:w="0" w:type="dxa"/>
            </w:tcMar>
          </w:tcPr>
          <w:p w14:paraId="2985749C">
            <w:pPr>
              <w:jc w:val="center"/>
              <w:rPr>
                <w:rFonts w:ascii="Times New Roman" w:hAnsi="Times New Roman" w:cs="Times New Roman"/>
                <w:color w:val="000000"/>
              </w:rPr>
            </w:pPr>
            <w:r>
              <w:rPr>
                <w:rFonts w:ascii="Times New Roman" w:hAnsi="Times New Roman" w:cs="Times New Roman"/>
                <w:color w:val="000000"/>
                <w:sz w:val="21"/>
                <w:szCs w:val="21"/>
              </w:rPr>
              <w:t>8.1</w:t>
            </w:r>
          </w:p>
        </w:tc>
      </w:tr>
      <w:tr w14:paraId="28A1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6"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3227AB51">
            <w:pPr>
              <w:jc w:val="center"/>
              <w:rPr>
                <w:rFonts w:ascii="Times New Roman" w:hAnsi="Times New Roman" w:cs="Times New Roman"/>
                <w:color w:val="000000"/>
              </w:rPr>
            </w:pPr>
          </w:p>
        </w:tc>
        <w:tc>
          <w:tcPr>
            <w:tcW w:w="4152" w:type="dxa"/>
            <w:tcBorders>
              <w:top w:val="nil"/>
              <w:left w:val="nil"/>
              <w:bottom w:val="nil"/>
              <w:right w:val="nil"/>
            </w:tcBorders>
            <w:shd w:val="clear" w:color="auto" w:fill="FFFFFF"/>
            <w:tcMar>
              <w:top w:w="57" w:type="dxa"/>
              <w:left w:w="0" w:type="dxa"/>
              <w:bottom w:w="0" w:type="dxa"/>
              <w:right w:w="0" w:type="dxa"/>
            </w:tcMar>
          </w:tcPr>
          <w:p w14:paraId="404FFA65">
            <w:pPr>
              <w:jc w:val="center"/>
              <w:rPr>
                <w:rFonts w:ascii="Times New Roman" w:hAnsi="Times New Roman" w:cs="Times New Roman"/>
                <w:color w:val="000000"/>
              </w:rPr>
            </w:pPr>
            <w:r>
              <w:rPr>
                <w:rFonts w:ascii="Times New Roman" w:hAnsi="Times New Roman" w:cs="Times New Roman"/>
                <w:color w:val="000000"/>
                <w:sz w:val="21"/>
                <w:szCs w:val="21"/>
              </w:rPr>
              <w:t>头部（&gt;100万）</w:t>
            </w:r>
          </w:p>
        </w:tc>
        <w:tc>
          <w:tcPr>
            <w:tcW w:w="899" w:type="dxa"/>
            <w:tcBorders>
              <w:top w:val="nil"/>
              <w:left w:val="nil"/>
              <w:bottom w:val="nil"/>
              <w:right w:val="nil"/>
            </w:tcBorders>
            <w:shd w:val="clear" w:color="auto" w:fill="FFFFFF"/>
            <w:tcMar>
              <w:top w:w="57" w:type="dxa"/>
              <w:left w:w="0" w:type="dxa"/>
              <w:bottom w:w="0" w:type="dxa"/>
              <w:right w:w="0" w:type="dxa"/>
            </w:tcMar>
          </w:tcPr>
          <w:p w14:paraId="5A6A49C8">
            <w:pPr>
              <w:jc w:val="center"/>
              <w:rPr>
                <w:rFonts w:ascii="Times New Roman" w:hAnsi="Times New Roman" w:cs="Times New Roman"/>
                <w:color w:val="000000"/>
              </w:rPr>
            </w:pPr>
            <w:r>
              <w:rPr>
                <w:rFonts w:ascii="Times New Roman" w:hAnsi="Times New Roman" w:cs="Times New Roman"/>
                <w:color w:val="000000"/>
                <w:sz w:val="21"/>
                <w:szCs w:val="21"/>
              </w:rPr>
              <w:t>35</w:t>
            </w:r>
          </w:p>
        </w:tc>
        <w:tc>
          <w:tcPr>
            <w:tcW w:w="1818" w:type="dxa"/>
            <w:tcBorders>
              <w:top w:val="nil"/>
              <w:left w:val="nil"/>
              <w:bottom w:val="nil"/>
              <w:right w:val="nil"/>
            </w:tcBorders>
            <w:shd w:val="clear" w:color="auto" w:fill="FFFFFF"/>
            <w:tcMar>
              <w:top w:w="57" w:type="dxa"/>
              <w:left w:w="0" w:type="dxa"/>
              <w:bottom w:w="0" w:type="dxa"/>
              <w:right w:w="0" w:type="dxa"/>
            </w:tcMar>
          </w:tcPr>
          <w:p w14:paraId="25D07D73">
            <w:pPr>
              <w:jc w:val="center"/>
              <w:rPr>
                <w:rFonts w:ascii="Times New Roman" w:hAnsi="Times New Roman" w:cs="Times New Roman"/>
                <w:color w:val="000000"/>
              </w:rPr>
            </w:pPr>
            <w:r>
              <w:rPr>
                <w:rFonts w:ascii="Times New Roman" w:hAnsi="Times New Roman" w:cs="Times New Roman"/>
                <w:color w:val="000000"/>
                <w:sz w:val="21"/>
                <w:szCs w:val="21"/>
              </w:rPr>
              <w:t>40.7</w:t>
            </w:r>
          </w:p>
        </w:tc>
      </w:tr>
      <w:tr w14:paraId="6144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4"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04664689">
            <w:pPr>
              <w:jc w:val="center"/>
              <w:rPr>
                <w:rFonts w:ascii="Times New Roman" w:hAnsi="Times New Roman" w:cs="Times New Roman"/>
                <w:color w:val="000000"/>
              </w:rPr>
            </w:pPr>
            <w:r>
              <w:rPr>
                <w:rFonts w:ascii="Times New Roman" w:hAnsi="Times New Roman" w:cs="Times New Roman"/>
                <w:color w:val="000000"/>
                <w:sz w:val="21"/>
                <w:szCs w:val="21"/>
              </w:rPr>
              <w:t>粉丝量级</w:t>
            </w:r>
          </w:p>
        </w:tc>
        <w:tc>
          <w:tcPr>
            <w:tcW w:w="4152" w:type="dxa"/>
            <w:tcBorders>
              <w:top w:val="nil"/>
              <w:left w:val="nil"/>
              <w:bottom w:val="nil"/>
              <w:right w:val="nil"/>
            </w:tcBorders>
            <w:shd w:val="clear" w:color="auto" w:fill="FFFFFF"/>
            <w:tcMar>
              <w:top w:w="57" w:type="dxa"/>
              <w:left w:w="0" w:type="dxa"/>
              <w:bottom w:w="0" w:type="dxa"/>
              <w:right w:w="0" w:type="dxa"/>
            </w:tcMar>
          </w:tcPr>
          <w:p w14:paraId="14683A03">
            <w:pPr>
              <w:jc w:val="center"/>
              <w:rPr>
                <w:rFonts w:ascii="Times New Roman" w:hAnsi="Times New Roman" w:cs="Times New Roman"/>
                <w:color w:val="000000"/>
              </w:rPr>
            </w:pPr>
            <w:r>
              <w:rPr>
                <w:rFonts w:ascii="Times New Roman" w:hAnsi="Times New Roman" w:cs="Times New Roman"/>
                <w:color w:val="000000"/>
                <w:sz w:val="21"/>
                <w:szCs w:val="21"/>
              </w:rPr>
              <w:t>中腰部（10万—100万）</w:t>
            </w:r>
          </w:p>
        </w:tc>
        <w:tc>
          <w:tcPr>
            <w:tcW w:w="899" w:type="dxa"/>
            <w:tcBorders>
              <w:top w:val="nil"/>
              <w:left w:val="nil"/>
              <w:bottom w:val="nil"/>
              <w:right w:val="nil"/>
            </w:tcBorders>
            <w:shd w:val="clear" w:color="auto" w:fill="FFFFFF"/>
            <w:tcMar>
              <w:top w:w="57" w:type="dxa"/>
              <w:left w:w="0" w:type="dxa"/>
              <w:bottom w:w="0" w:type="dxa"/>
              <w:right w:w="0" w:type="dxa"/>
            </w:tcMar>
          </w:tcPr>
          <w:p w14:paraId="68686BC2">
            <w:pPr>
              <w:jc w:val="center"/>
              <w:rPr>
                <w:rFonts w:ascii="Times New Roman" w:hAnsi="Times New Roman" w:cs="Times New Roman"/>
                <w:color w:val="000000"/>
              </w:rPr>
            </w:pPr>
            <w:r>
              <w:rPr>
                <w:rFonts w:ascii="Times New Roman" w:hAnsi="Times New Roman" w:cs="Times New Roman"/>
                <w:color w:val="000000"/>
                <w:sz w:val="21"/>
                <w:szCs w:val="21"/>
              </w:rPr>
              <w:t>31</w:t>
            </w:r>
          </w:p>
        </w:tc>
        <w:tc>
          <w:tcPr>
            <w:tcW w:w="1818" w:type="dxa"/>
            <w:tcBorders>
              <w:top w:val="nil"/>
              <w:left w:val="nil"/>
              <w:bottom w:val="nil"/>
              <w:right w:val="nil"/>
            </w:tcBorders>
            <w:shd w:val="clear" w:color="auto" w:fill="FFFFFF"/>
            <w:tcMar>
              <w:top w:w="57" w:type="dxa"/>
              <w:left w:w="0" w:type="dxa"/>
              <w:bottom w:w="0" w:type="dxa"/>
              <w:right w:w="0" w:type="dxa"/>
            </w:tcMar>
          </w:tcPr>
          <w:p w14:paraId="1EE1936B">
            <w:pPr>
              <w:jc w:val="center"/>
              <w:rPr>
                <w:rFonts w:ascii="Times New Roman" w:hAnsi="Times New Roman" w:cs="Times New Roman"/>
                <w:color w:val="000000"/>
              </w:rPr>
            </w:pPr>
            <w:r>
              <w:rPr>
                <w:rFonts w:ascii="Times New Roman" w:hAnsi="Times New Roman" w:cs="Times New Roman"/>
                <w:color w:val="000000"/>
                <w:sz w:val="21"/>
                <w:szCs w:val="21"/>
              </w:rPr>
              <w:t>36.0</w:t>
            </w:r>
          </w:p>
        </w:tc>
      </w:tr>
      <w:tr w14:paraId="24C4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6"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59E60B19">
            <w:pPr>
              <w:jc w:val="center"/>
              <w:rPr>
                <w:rFonts w:ascii="Times New Roman" w:hAnsi="Times New Roman" w:cs="Times New Roman"/>
                <w:color w:val="000000"/>
              </w:rPr>
            </w:pPr>
          </w:p>
        </w:tc>
        <w:tc>
          <w:tcPr>
            <w:tcW w:w="4152" w:type="dxa"/>
            <w:tcBorders>
              <w:top w:val="nil"/>
              <w:left w:val="nil"/>
              <w:bottom w:val="nil"/>
              <w:right w:val="nil"/>
            </w:tcBorders>
            <w:shd w:val="clear" w:color="auto" w:fill="FFFFFF"/>
            <w:tcMar>
              <w:top w:w="57" w:type="dxa"/>
              <w:left w:w="0" w:type="dxa"/>
              <w:bottom w:w="0" w:type="dxa"/>
              <w:right w:w="0" w:type="dxa"/>
            </w:tcMar>
          </w:tcPr>
          <w:p w14:paraId="264E3056">
            <w:pPr>
              <w:jc w:val="center"/>
              <w:rPr>
                <w:rFonts w:ascii="Times New Roman" w:hAnsi="Times New Roman" w:cs="Times New Roman"/>
                <w:color w:val="000000"/>
              </w:rPr>
            </w:pPr>
            <w:r>
              <w:rPr>
                <w:rFonts w:ascii="Times New Roman" w:hAnsi="Times New Roman" w:cs="Times New Roman"/>
                <w:color w:val="000000"/>
                <w:sz w:val="21"/>
                <w:szCs w:val="21"/>
              </w:rPr>
              <w:t>尾部（&lt;10万）</w:t>
            </w:r>
          </w:p>
        </w:tc>
        <w:tc>
          <w:tcPr>
            <w:tcW w:w="899" w:type="dxa"/>
            <w:tcBorders>
              <w:top w:val="nil"/>
              <w:left w:val="nil"/>
              <w:bottom w:val="nil"/>
              <w:right w:val="nil"/>
            </w:tcBorders>
            <w:shd w:val="clear" w:color="auto" w:fill="FFFFFF"/>
            <w:tcMar>
              <w:top w:w="57" w:type="dxa"/>
              <w:left w:w="0" w:type="dxa"/>
              <w:bottom w:w="0" w:type="dxa"/>
              <w:right w:w="0" w:type="dxa"/>
            </w:tcMar>
          </w:tcPr>
          <w:p w14:paraId="0631BA74">
            <w:pPr>
              <w:jc w:val="center"/>
              <w:rPr>
                <w:rFonts w:ascii="Times New Roman" w:hAnsi="Times New Roman" w:cs="Times New Roman"/>
                <w:color w:val="000000"/>
              </w:rPr>
            </w:pPr>
            <w:r>
              <w:rPr>
                <w:rFonts w:ascii="Times New Roman" w:hAnsi="Times New Roman" w:cs="Times New Roman"/>
                <w:color w:val="000000"/>
                <w:sz w:val="21"/>
                <w:szCs w:val="21"/>
              </w:rPr>
              <w:t>20</w:t>
            </w:r>
          </w:p>
        </w:tc>
        <w:tc>
          <w:tcPr>
            <w:tcW w:w="1818" w:type="dxa"/>
            <w:tcBorders>
              <w:top w:val="nil"/>
              <w:left w:val="nil"/>
              <w:bottom w:val="nil"/>
              <w:right w:val="nil"/>
            </w:tcBorders>
            <w:shd w:val="clear" w:color="auto" w:fill="FFFFFF"/>
            <w:tcMar>
              <w:top w:w="57" w:type="dxa"/>
              <w:left w:w="0" w:type="dxa"/>
              <w:bottom w:w="0" w:type="dxa"/>
              <w:right w:w="0" w:type="dxa"/>
            </w:tcMar>
          </w:tcPr>
          <w:p w14:paraId="0D33D164">
            <w:pPr>
              <w:jc w:val="center"/>
              <w:rPr>
                <w:rFonts w:ascii="Times New Roman" w:hAnsi="Times New Roman" w:cs="Times New Roman"/>
                <w:color w:val="000000"/>
              </w:rPr>
            </w:pPr>
            <w:r>
              <w:rPr>
                <w:rFonts w:ascii="Times New Roman" w:hAnsi="Times New Roman" w:cs="Times New Roman"/>
                <w:color w:val="000000"/>
                <w:sz w:val="21"/>
                <w:szCs w:val="21"/>
              </w:rPr>
              <w:t>23.3</w:t>
            </w:r>
          </w:p>
        </w:tc>
      </w:tr>
      <w:tr w14:paraId="58DB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4" w:hRule="atLeast"/>
        </w:trPr>
        <w:tc>
          <w:tcPr>
            <w:tcW w:w="2508" w:type="dxa"/>
            <w:tcBorders>
              <w:top w:val="nil"/>
              <w:left w:val="nil"/>
              <w:bottom w:val="nil"/>
              <w:right w:val="nil"/>
            </w:tcBorders>
            <w:shd w:val="clear" w:color="auto" w:fill="FFFFFF"/>
            <w:tcMar>
              <w:top w:w="57" w:type="dxa"/>
              <w:left w:w="0" w:type="dxa"/>
              <w:bottom w:w="0" w:type="dxa"/>
              <w:right w:w="0" w:type="dxa"/>
            </w:tcMar>
          </w:tcPr>
          <w:p w14:paraId="682F0841">
            <w:pPr>
              <w:jc w:val="center"/>
              <w:rPr>
                <w:rFonts w:ascii="Times New Roman" w:hAnsi="Times New Roman" w:cs="Times New Roman"/>
                <w:color w:val="000000"/>
              </w:rPr>
            </w:pPr>
            <w:r>
              <w:rPr>
                <w:rFonts w:ascii="Times New Roman" w:hAnsi="Times New Roman" w:cs="Times New Roman"/>
                <w:bCs/>
                <w:color w:val="000000"/>
                <w:sz w:val="21"/>
                <w:szCs w:val="21"/>
              </w:rPr>
              <w:t>数据时间范围</w:t>
            </w:r>
          </w:p>
        </w:tc>
        <w:tc>
          <w:tcPr>
            <w:tcW w:w="4152" w:type="dxa"/>
            <w:tcBorders>
              <w:top w:val="nil"/>
              <w:left w:val="nil"/>
              <w:bottom w:val="nil"/>
              <w:right w:val="nil"/>
            </w:tcBorders>
            <w:shd w:val="clear" w:color="auto" w:fill="FFFFFF"/>
            <w:tcMar>
              <w:top w:w="57" w:type="dxa"/>
              <w:left w:w="0" w:type="dxa"/>
              <w:bottom w:w="0" w:type="dxa"/>
              <w:right w:w="0" w:type="dxa"/>
            </w:tcMar>
          </w:tcPr>
          <w:p w14:paraId="35028F09">
            <w:pPr>
              <w:jc w:val="center"/>
              <w:rPr>
                <w:rFonts w:ascii="Times New Roman" w:hAnsi="Times New Roman" w:cs="Times New Roman"/>
                <w:color w:val="000000"/>
              </w:rPr>
            </w:pPr>
            <w:r>
              <w:rPr>
                <w:rFonts w:ascii="Times New Roman" w:hAnsi="Times New Roman" w:cs="Times New Roman"/>
                <w:bCs/>
                <w:color w:val="000000"/>
                <w:sz w:val="21"/>
                <w:szCs w:val="21"/>
              </w:rPr>
              <w:t>2019年3月—2025年12月</w:t>
            </w:r>
          </w:p>
        </w:tc>
        <w:tc>
          <w:tcPr>
            <w:tcW w:w="899" w:type="dxa"/>
            <w:tcBorders>
              <w:top w:val="nil"/>
              <w:left w:val="nil"/>
              <w:bottom w:val="nil"/>
              <w:right w:val="nil"/>
            </w:tcBorders>
            <w:shd w:val="clear" w:color="auto" w:fill="FFFFFF"/>
            <w:tcMar>
              <w:top w:w="57" w:type="dxa"/>
              <w:left w:w="0" w:type="dxa"/>
              <w:bottom w:w="0" w:type="dxa"/>
              <w:right w:w="0" w:type="dxa"/>
            </w:tcMar>
          </w:tcPr>
          <w:p w14:paraId="47B1FBAF">
            <w:pPr>
              <w:jc w:val="center"/>
              <w:rPr>
                <w:rFonts w:ascii="Times New Roman" w:hAnsi="Times New Roman" w:cs="Times New Roman"/>
                <w:color w:val="000000"/>
              </w:rPr>
            </w:pPr>
            <w:r>
              <w:rPr>
                <w:rFonts w:ascii="Times New Roman" w:hAnsi="Times New Roman" w:cs="Times New Roman"/>
                <w:bCs/>
                <w:color w:val="000000"/>
                <w:sz w:val="21"/>
                <w:szCs w:val="21"/>
              </w:rPr>
              <w:t>86</w:t>
            </w:r>
          </w:p>
        </w:tc>
        <w:tc>
          <w:tcPr>
            <w:tcW w:w="1818" w:type="dxa"/>
            <w:tcBorders>
              <w:top w:val="nil"/>
              <w:left w:val="nil"/>
              <w:bottom w:val="nil"/>
              <w:right w:val="nil"/>
            </w:tcBorders>
            <w:shd w:val="clear" w:color="auto" w:fill="FFFFFF"/>
            <w:tcMar>
              <w:top w:w="57" w:type="dxa"/>
              <w:left w:w="0" w:type="dxa"/>
              <w:bottom w:w="0" w:type="dxa"/>
              <w:right w:w="0" w:type="dxa"/>
            </w:tcMar>
          </w:tcPr>
          <w:p w14:paraId="02F0CB4F">
            <w:pPr>
              <w:jc w:val="center"/>
              <w:rPr>
                <w:rFonts w:ascii="Times New Roman" w:hAnsi="Times New Roman" w:cs="Times New Roman"/>
                <w:color w:val="000000"/>
              </w:rPr>
            </w:pPr>
            <w:r>
              <w:rPr>
                <w:rFonts w:ascii="Times New Roman" w:hAnsi="Times New Roman" w:cs="Times New Roman"/>
                <w:bCs/>
                <w:color w:val="000000"/>
                <w:sz w:val="21"/>
                <w:szCs w:val="21"/>
              </w:rPr>
              <w:t>100.0</w:t>
            </w:r>
          </w:p>
        </w:tc>
      </w:tr>
      <w:tr w14:paraId="3999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9" w:hRule="atLeast"/>
        </w:trPr>
        <w:tc>
          <w:tcPr>
            <w:tcW w:w="2508" w:type="dxa"/>
            <w:tcBorders>
              <w:top w:val="nil"/>
              <w:left w:val="nil"/>
              <w:bottom w:val="single" w:color="000000" w:sz="12" w:space="0"/>
              <w:right w:val="nil"/>
            </w:tcBorders>
            <w:shd w:val="clear" w:color="auto" w:fill="FFFFFF"/>
            <w:tcMar>
              <w:top w:w="57" w:type="dxa"/>
              <w:left w:w="0" w:type="dxa"/>
              <w:bottom w:w="0" w:type="dxa"/>
              <w:right w:w="0" w:type="dxa"/>
            </w:tcMar>
          </w:tcPr>
          <w:p w14:paraId="6863103F">
            <w:pPr>
              <w:jc w:val="center"/>
              <w:rPr>
                <w:rFonts w:ascii="Times New Roman" w:hAnsi="Times New Roman" w:cs="Times New Roman"/>
                <w:color w:val="000000"/>
              </w:rPr>
            </w:pPr>
            <w:r>
              <w:rPr>
                <w:rFonts w:ascii="Times New Roman" w:hAnsi="Times New Roman" w:cs="Times New Roman"/>
                <w:bCs/>
                <w:color w:val="000000"/>
                <w:sz w:val="21"/>
                <w:szCs w:val="21"/>
              </w:rPr>
              <w:t>视频总量</w:t>
            </w:r>
          </w:p>
        </w:tc>
        <w:tc>
          <w:tcPr>
            <w:tcW w:w="4152" w:type="dxa"/>
            <w:tcBorders>
              <w:top w:val="nil"/>
              <w:left w:val="nil"/>
              <w:bottom w:val="single" w:color="000000" w:sz="12" w:space="0"/>
              <w:right w:val="nil"/>
            </w:tcBorders>
            <w:shd w:val="clear" w:color="auto" w:fill="FFFFFF"/>
            <w:tcMar>
              <w:top w:w="57" w:type="dxa"/>
              <w:left w:w="0" w:type="dxa"/>
              <w:bottom w:w="0" w:type="dxa"/>
              <w:right w:w="0" w:type="dxa"/>
            </w:tcMar>
          </w:tcPr>
          <w:p w14:paraId="6E884813">
            <w:pPr>
              <w:jc w:val="center"/>
              <w:rPr>
                <w:rFonts w:ascii="Times New Roman" w:hAnsi="Times New Roman" w:cs="Times New Roman"/>
                <w:color w:val="000000"/>
              </w:rPr>
            </w:pPr>
            <w:r>
              <w:rPr>
                <w:rFonts w:ascii="Times New Roman" w:hAnsi="Times New Roman" w:cs="Times New Roman"/>
                <w:bCs/>
                <w:color w:val="000000"/>
                <w:sz w:val="21"/>
                <w:szCs w:val="21"/>
              </w:rPr>
              <w:t>8,242条</w:t>
            </w:r>
          </w:p>
        </w:tc>
        <w:tc>
          <w:tcPr>
            <w:tcW w:w="899" w:type="dxa"/>
            <w:tcBorders>
              <w:top w:val="nil"/>
              <w:left w:val="nil"/>
              <w:bottom w:val="single" w:color="000000" w:sz="12" w:space="0"/>
              <w:right w:val="nil"/>
            </w:tcBorders>
            <w:shd w:val="clear" w:color="auto" w:fill="FFFFFF"/>
            <w:tcMar>
              <w:top w:w="57" w:type="dxa"/>
              <w:left w:w="0" w:type="dxa"/>
              <w:bottom w:w="0" w:type="dxa"/>
              <w:right w:w="0" w:type="dxa"/>
            </w:tcMar>
          </w:tcPr>
          <w:p w14:paraId="5F41D885">
            <w:pPr>
              <w:jc w:val="center"/>
              <w:rPr>
                <w:rFonts w:ascii="Times New Roman" w:hAnsi="Times New Roman" w:cs="Times New Roman"/>
                <w:color w:val="000000"/>
              </w:rPr>
            </w:pPr>
            <w:r>
              <w:rPr>
                <w:rFonts w:ascii="Times New Roman" w:hAnsi="Times New Roman" w:cs="Times New Roman"/>
                <w:color w:val="000000"/>
                <w:sz w:val="21"/>
                <w:szCs w:val="21"/>
              </w:rPr>
              <w:t>—</w:t>
            </w:r>
          </w:p>
        </w:tc>
        <w:tc>
          <w:tcPr>
            <w:tcW w:w="1818" w:type="dxa"/>
            <w:tcBorders>
              <w:top w:val="nil"/>
              <w:left w:val="nil"/>
              <w:bottom w:val="single" w:color="000000" w:sz="12" w:space="0"/>
              <w:right w:val="nil"/>
            </w:tcBorders>
            <w:shd w:val="clear" w:color="auto" w:fill="FFFFFF"/>
            <w:tcMar>
              <w:top w:w="57" w:type="dxa"/>
              <w:left w:w="0" w:type="dxa"/>
              <w:bottom w:w="0" w:type="dxa"/>
              <w:right w:w="0" w:type="dxa"/>
            </w:tcMar>
          </w:tcPr>
          <w:p w14:paraId="4FC4DA31">
            <w:pPr>
              <w:jc w:val="center"/>
              <w:rPr>
                <w:rFonts w:ascii="Times New Roman" w:hAnsi="Times New Roman" w:cs="Times New Roman"/>
                <w:color w:val="000000"/>
              </w:rPr>
            </w:pPr>
            <w:r>
              <w:rPr>
                <w:rFonts w:ascii="Times New Roman" w:hAnsi="Times New Roman" w:cs="Times New Roman"/>
                <w:color w:val="000000"/>
                <w:sz w:val="21"/>
                <w:szCs w:val="21"/>
              </w:rPr>
              <w:t>—</w:t>
            </w:r>
          </w:p>
        </w:tc>
      </w:tr>
    </w:tbl>
    <w:p w14:paraId="13FB2DF7">
      <w:pPr>
        <w:spacing w:before="300" w:after="150"/>
        <w:outlineLvl w:val="2"/>
        <w:rPr>
          <w:rFonts w:ascii="Times New Roman" w:hAnsi="Times New Roman" w:eastAsia="黑体" w:cs="Times New Roman"/>
          <w:b/>
          <w:bCs/>
          <w:sz w:val="28"/>
          <w:szCs w:val="28"/>
        </w:rPr>
      </w:pPr>
      <w:bookmarkStart w:id="59" w:name="_Toc3317"/>
      <w:r>
        <w:rPr>
          <w:rFonts w:ascii="Times New Roman" w:hAnsi="Times New Roman" w:eastAsia="黑体" w:cs="Times New Roman"/>
          <w:b/>
          <w:bCs/>
          <w:sz w:val="28"/>
          <w:szCs w:val="28"/>
        </w:rPr>
        <w:t>4.2  数据收集及具体流程</w:t>
      </w:r>
      <w:bookmarkEnd w:id="59"/>
    </w:p>
    <w:p w14:paraId="0247D1F0">
      <w:pPr>
        <w:spacing w:line="288" w:lineRule="auto"/>
        <w:ind w:firstLine="480"/>
        <w:rPr>
          <w:rFonts w:ascii="Times New Roman" w:hAnsi="Times New Roman" w:cs="Times New Roman"/>
        </w:rPr>
      </w:pPr>
      <w:r>
        <w:rPr>
          <w:rFonts w:ascii="Times New Roman" w:hAnsi="Times New Roman" w:cs="Times New Roman"/>
        </w:rPr>
        <w:t>本研究的数据采集分两个步骤依次推进：第一步，通过B站官方API采集视频量化指标；第二步，通过B站公开弹幕接口采集弹幕文本并进行情感量化。两步工作最终汇聚整合，形成完整的分析数据集。整个采集过程均基于B站平台公开可访问的数据，未涉及任何需要身份验证的非公开接口，符合学术数据采集的伦理规范。</w:t>
      </w:r>
    </w:p>
    <w:p w14:paraId="56CEA152">
      <w:pPr>
        <w:spacing w:before="200" w:after="100"/>
        <w:outlineLvl w:val="2"/>
        <w:rPr>
          <w:rFonts w:ascii="Times New Roman" w:hAnsi="Times New Roman" w:eastAsia="黑体" w:cs="Times New Roman"/>
          <w:b/>
          <w:bCs/>
        </w:rPr>
      </w:pPr>
      <w:bookmarkStart w:id="60" w:name="_Toc24980"/>
      <w:r>
        <w:rPr>
          <w:rFonts w:ascii="Times New Roman" w:hAnsi="Times New Roman" w:eastAsia="黑体" w:cs="Times New Roman"/>
          <w:b/>
          <w:bCs/>
        </w:rPr>
        <w:t>4.2.1  视频量化指标数据的采集</w:t>
      </w:r>
      <w:bookmarkEnd w:id="60"/>
    </w:p>
    <w:p w14:paraId="1D26412B">
      <w:pPr>
        <w:spacing w:line="288" w:lineRule="auto"/>
        <w:ind w:firstLine="480"/>
        <w:rPr>
          <w:rFonts w:ascii="Times New Roman" w:hAnsi="Times New Roman" w:cs="Times New Roman"/>
        </w:rPr>
      </w:pPr>
      <w:r>
        <w:rPr>
          <w:rFonts w:ascii="Times New Roman" w:hAnsi="Times New Roman" w:cs="Times New Roman"/>
        </w:rPr>
        <w:t>视频量化指标数据的采集依托B站公开API接口完成。本研究使用Python 3.10编写数据采集程序，以样本UP主的BV号为索引，批量调用B站视频详情接口（/x/web-interface/view），获取每条视频的核心互动指标，包括播放量（view）、投币数（coin）、点赞数（like）、收藏数（favorite）、分享数（share）、评论数（reply）、视频时长（duration）及UP主粉丝数（up_fans）。除上述汇总性互动指标外，考虑到后续机制分析对评论深度变量的需求，本研究进一步利用同一接口返回的av号，</w:t>
      </w:r>
      <w:commentRangeStart w:id="6"/>
      <w:r>
        <w:rPr>
          <w:rFonts w:ascii="Times New Roman" w:hAnsi="Times New Roman" w:cs="Times New Roman"/>
          <w:highlight w:val="lightGray"/>
        </w:rPr>
        <w:t>调用B站评论列表接口（/x/v2/reply），按热度排序抓取每条视频前20条热门评论，并计算其正文的平均字符数，以此作为评论深度（comment_depth）的操作化测量。</w:t>
      </w:r>
      <w:commentRangeEnd w:id="6"/>
      <w:r>
        <w:rPr>
          <w:rStyle w:val="23"/>
        </w:rPr>
        <w:commentReference w:id="6"/>
      </w:r>
      <w:r>
        <w:rPr>
          <w:rFonts w:ascii="Times New Roman" w:hAnsi="Times New Roman" w:cs="Times New Roman"/>
        </w:rPr>
        <w:t>采用热门评论而非全量评论，是因为高热度评论在可见性上具有更强的社区代表性，其平均字符数能够更好地反映受众与内容之间的深度互动程度——字数更长的评论通常承载着具体的知识讨论、追问或延伸思考，而非简短的情绪表态。为规避高频请求可能触发的接口限速，程序在每次请求之间设置了随机休眠间隔。</w:t>
      </w:r>
    </w:p>
    <w:p w14:paraId="73BE7B2D">
      <w:pPr>
        <w:spacing w:line="288" w:lineRule="auto"/>
        <w:ind w:firstLine="480"/>
        <w:rPr>
          <w:rFonts w:ascii="Times New Roman" w:hAnsi="Times New Roman" w:cs="Times New Roman"/>
        </w:rPr>
      </w:pPr>
      <w:r>
        <w:rPr>
          <w:rFonts w:ascii="Times New Roman" w:hAnsi="Times New Roman" w:cs="Times New Roman"/>
          <w:highlight w:val="lightGray"/>
        </w:rPr>
        <w:t>经过上述流程，本研究共采集到86位UP主发布的8242条视频基本信息。在数据清洗阶段，剔除了以下类型的视频：（1）互动总量小于10的视频数，共589条；（2）投币数、播放量等核心字段存在异常缺失或明显录入错误的视频，共312条；（3）经人工抽查核实，视频内容与知识区标签高度不符的泛娱乐内容，共291条。最终保留7050条有效视频作为分析样本。</w:t>
      </w:r>
    </w:p>
    <w:p w14:paraId="61A08F04">
      <w:pPr>
        <w:spacing w:before="200" w:after="100"/>
        <w:outlineLvl w:val="2"/>
        <w:rPr>
          <w:rFonts w:ascii="Times New Roman" w:hAnsi="Times New Roman" w:eastAsia="黑体" w:cs="Times New Roman"/>
          <w:b/>
          <w:bCs/>
        </w:rPr>
      </w:pPr>
      <w:bookmarkStart w:id="61" w:name="_Toc29822"/>
      <w:r>
        <w:rPr>
          <w:rFonts w:ascii="Times New Roman" w:hAnsi="Times New Roman" w:eastAsia="黑体" w:cs="Times New Roman"/>
          <w:b/>
          <w:bCs/>
        </w:rPr>
        <w:t>4.2.2  弹幕文本数据的采集与情感处理</w:t>
      </w:r>
      <w:bookmarkEnd w:id="61"/>
    </w:p>
    <w:p w14:paraId="0D014462">
      <w:pPr>
        <w:spacing w:line="288" w:lineRule="auto"/>
        <w:ind w:firstLine="480"/>
        <w:rPr>
          <w:rFonts w:ascii="Times New Roman" w:hAnsi="Times New Roman" w:cs="Times New Roman"/>
        </w:rPr>
      </w:pPr>
      <w:r>
        <w:rPr>
          <w:rFonts w:ascii="Times New Roman" w:hAnsi="Times New Roman" w:cs="Times New Roman"/>
        </w:rPr>
        <w:t>弹幕文本数据的采集是本研究数据工作中技术难度最大的环节。本研究通过B站弹幕公开接口（comment.bilibili.com/{cid}.xml）获取各视频的弹幕文本。具体流程分为两步：首先，调用视频详情接口获取每条视频对应的cid（分P唯一标识符）；随后，以cid为索引请求对应的弹幕XML文件，解析其中全部弹幕文本条目。由于部分热门视频积累了数量极为庞大的弹幕，直接全量分析会导致计算效率低下且受噪声干扰。</w:t>
      </w:r>
      <w:commentRangeStart w:id="7"/>
      <w:r>
        <w:rPr>
          <w:rFonts w:ascii="Times New Roman" w:hAnsi="Times New Roman" w:cs="Times New Roman"/>
        </w:rPr>
        <w:t>因此，对弹幕数量超过500条的视频，本研究从全量弹幕池中随机抽取500条作为情感分析样本；不足500条的视频则使用全量弹幕。</w:t>
      </w:r>
      <w:commentRangeEnd w:id="7"/>
      <w:r>
        <w:rPr>
          <w:rStyle w:val="23"/>
        </w:rPr>
        <w:commentReference w:id="7"/>
      </w:r>
    </w:p>
    <w:p w14:paraId="4AE72F92">
      <w:pPr>
        <w:spacing w:line="288" w:lineRule="auto"/>
        <w:ind w:firstLine="480"/>
        <w:rPr>
          <w:rFonts w:ascii="Times New Roman" w:hAnsi="Times New Roman" w:cs="Times New Roman"/>
        </w:rPr>
      </w:pPr>
      <w:r>
        <w:rPr>
          <w:rFonts w:ascii="Times New Roman" w:hAnsi="Times New Roman" w:cs="Times New Roman"/>
        </w:rPr>
        <w:t>在情感量化阶段，本研究的主要挑战在于通用中文自然语言处理工具难以准确识别B站知识区的亚文化语境与网络黑话。例如，“硬核”“干货”“yyds”“依托答辩”等词汇在标准情感词典中或缺失、或极性标注偏差，直接调用通用工具会产生大量误判。为此，本研究专门构建了包含逾千词的B站知识区专属情感词典，涵盖正面词库（约600词）和负面词库（约400词）。正面词库收录知识评价类词汇（如“硬核”“干货”“涨知识”“醍醐灌顶”等）以及B站正向情绪黑话（如“yyds”“awsl”“宝藏博主”“神仙up”等）；负面词库收录批判性词汇（如“水视频”“念PPT”“营销号”“标题党”等）以及负面黑话（如“依托答辩”“下头”“寄了”等）。</w:t>
      </w:r>
    </w:p>
    <w:p w14:paraId="541FAD53">
      <w:pPr>
        <w:spacing w:line="288" w:lineRule="auto"/>
        <w:ind w:firstLine="480"/>
        <w:rPr>
          <w:rFonts w:ascii="Times New Roman" w:hAnsi="Times New Roman" w:cs="Times New Roman"/>
        </w:rPr>
      </w:pPr>
      <w:r>
        <w:rPr>
          <w:rFonts w:ascii="Times New Roman" w:hAnsi="Times New Roman" w:cs="Times New Roman"/>
        </w:rPr>
        <w:t>在情感打分时，采用专属词典优先匹配、通用模型兜底的混合策略：对每条弹幕文本，首先进行简单清洗后在专属正面词库中检索，</w:t>
      </w:r>
      <w:commentRangeStart w:id="8"/>
      <w:r>
        <w:rPr>
          <w:rFonts w:ascii="Times New Roman" w:hAnsi="Times New Roman" w:cs="Times New Roman"/>
        </w:rPr>
        <w:t>若命中则直接赋予高情感分值（0.95）；若未命中正面词库，则进一步在负面词库中检索，命中则赋予低情感分值（0.05）；对未命中任何专属词典的普通文本，调用SnowNLP自然语言处理库进行机器学习情感打分，得分范围为0至1。</w:t>
      </w:r>
      <w:commentRangeEnd w:id="8"/>
      <w:r>
        <w:rPr>
          <w:rStyle w:val="23"/>
        </w:rPr>
        <w:commentReference w:id="8"/>
      </w:r>
      <w:r>
        <w:rPr>
          <w:rFonts w:ascii="Times New Roman" w:hAnsi="Times New Roman" w:cs="Times New Roman"/>
        </w:rPr>
        <w:t>单条视频的最终弹幕情感得分取该视频抽样弹幕全部得分的算术平均值。</w:t>
      </w:r>
    </w:p>
    <w:p w14:paraId="61742B81">
      <w:pPr>
        <w:spacing w:before="200" w:after="100"/>
        <w:outlineLvl w:val="2"/>
        <w:rPr>
          <w:rFonts w:ascii="Times New Roman" w:hAnsi="Times New Roman" w:eastAsia="黑体" w:cs="Times New Roman"/>
          <w:b/>
          <w:bCs/>
        </w:rPr>
      </w:pPr>
      <w:bookmarkStart w:id="62" w:name="_Toc25949"/>
      <w:r>
        <w:rPr>
          <w:rFonts w:ascii="Times New Roman" w:hAnsi="Times New Roman" w:eastAsia="黑体" w:cs="Times New Roman"/>
          <w:b/>
          <w:bCs/>
        </w:rPr>
        <w:t>4.2.3  内容质量指数的构建</w:t>
      </w:r>
      <w:bookmarkEnd w:id="62"/>
    </w:p>
    <w:p w14:paraId="3E85FB93">
      <w:pPr>
        <w:spacing w:line="288" w:lineRule="auto"/>
        <w:ind w:firstLine="480"/>
        <w:rPr>
          <w:rFonts w:ascii="Times New Roman" w:hAnsi="Times New Roman" w:cs="Times New Roman"/>
        </w:rPr>
      </w:pPr>
      <w:r>
        <w:rPr>
          <w:rFonts w:ascii="Times New Roman" w:hAnsi="Times New Roman" w:cs="Times New Roman"/>
        </w:rPr>
        <w:t>在完成以上两步数据采集后，本研究进行因变量的合成构建。内容质量指数由两个维度加权合成：第一，经对数变换的币播比（coin_ratio_log）；第二，弹幕情感得分（sentiment_score）。</w:t>
      </w:r>
    </w:p>
    <w:p w14:paraId="13F6597E">
      <w:pPr>
        <w:spacing w:line="288" w:lineRule="auto"/>
        <w:ind w:firstLine="480"/>
        <w:rPr>
          <w:rFonts w:ascii="Times New Roman" w:hAnsi="Times New Roman" w:cs="Times New Roman"/>
        </w:rPr>
      </w:pPr>
      <w:r>
        <w:rPr>
          <w:rFonts w:ascii="Times New Roman" w:hAnsi="Times New Roman" w:cs="Times New Roman"/>
        </w:rPr>
        <w:t>其中，币播比的计算方式为：首先将投币数除以播放量得到原始比率，再乘以1000进行量纲调整以避免数值过小，最后取自然对数（加1以规避零值），即 coin_ratio_log = ln((coin/view) × 1000 + 1)。这一处理有效压缩了原始比率的右偏长尾分布，使其更符合后续统计分析的要求。弹幕情感得分则直接使用第二步输出的原始均值得分。</w:t>
      </w:r>
    </w:p>
    <w:p w14:paraId="59E19BC7">
      <w:pPr>
        <w:spacing w:line="288" w:lineRule="auto"/>
        <w:ind w:firstLine="480"/>
        <w:rPr>
          <w:rFonts w:ascii="Times New Roman" w:hAnsi="Times New Roman" w:cs="Times New Roman"/>
        </w:rPr>
      </w:pPr>
      <w:r>
        <w:rPr>
          <w:rFonts w:ascii="Times New Roman" w:hAnsi="Times New Roman" w:cs="Times New Roman"/>
        </w:rPr>
        <w:t>两个维度的权重通过CRITIC（Criteria Importance Through Intercriteria Correlation）客观赋权法确定，以避免主观赋权的随意性。该方法由希腊学者Diakoulaki等于1995年提出，核心思路是同时综合考量指标的对比强度与指标间的冲突性。具体计算步骤如下：第一步，对两个原始指标进行Min-Max归一化处理，消除量纲差异；第二步，计算各指标的标准差（std），作为对比强度的度量；第三步，计算归一化后各指标间的皮尔逊相关系数矩阵，以每个指标与其他所有指标相关系数的差值之和（即(1-r_ij)的列加总）衡量该指标的冲突性；第四步，将对比强度与冲突性相乘得到各指标的信息量（C = std × conflict）；第五步，以各指标信息量占总信息量的比例确定最终权重（w = C / ΣC）。</w:t>
      </w:r>
    </w:p>
    <w:p w14:paraId="11B2BFB5">
      <w:pPr>
        <w:spacing w:line="288" w:lineRule="auto"/>
        <w:ind w:firstLine="480"/>
        <w:rPr>
          <w:rFonts w:ascii="Times New Roman" w:hAnsi="Times New Roman" w:cs="Times New Roman"/>
        </w:rPr>
      </w:pPr>
      <w:r>
        <w:rPr>
          <w:rFonts w:ascii="Times New Roman" w:hAnsi="Times New Roman" w:cs="Times New Roman"/>
        </w:rPr>
        <w:t>根据本研究8,242条视频数据的实际计算结果，币播比维度获得的CRITIC权重为0.58，弹幕情感维度的权重为0.42，两者比例约为1.38:1。这一结果表明，在B站知识区语境下，硬核价值认可度（用户愿意主动付出稀缺投币资源的比率）比情感口碑具有更高的区分度和信息量，与知识区内容注重深度价值的特点相吻合。最终的内容质量指数（Quality_Index）为两个归一化维度的加权合成得分，计算公式为：Quality_Index = (coin_norm × 0.58 + sentiment_norm × 0.42) × 100，取值范围标准化至0至100分，数值越高代表内容质量越优。</w:t>
      </w:r>
    </w:p>
    <w:p w14:paraId="32676428">
      <w:pPr>
        <w:spacing w:before="200" w:after="100"/>
        <w:outlineLvl w:val="2"/>
        <w:rPr>
          <w:rFonts w:ascii="Times New Roman" w:hAnsi="Times New Roman" w:eastAsia="黑体" w:cs="Times New Roman"/>
          <w:b/>
          <w:bCs/>
        </w:rPr>
      </w:pPr>
      <w:bookmarkStart w:id="63" w:name="_Toc16922"/>
      <w:r>
        <w:rPr>
          <w:rFonts w:ascii="Times New Roman" w:hAnsi="Times New Roman" w:eastAsia="黑体" w:cs="Times New Roman"/>
          <w:b/>
          <w:bCs/>
        </w:rPr>
        <w:t>4.2.4  变量处理与最终样本构成</w:t>
      </w:r>
      <w:bookmarkEnd w:id="63"/>
    </w:p>
    <w:p w14:paraId="1CEDF2E7">
      <w:pPr>
        <w:spacing w:line="288" w:lineRule="auto"/>
        <w:ind w:firstLine="480"/>
        <w:rPr>
          <w:rFonts w:ascii="Times New Roman" w:hAnsi="Times New Roman" w:cs="Times New Roman"/>
        </w:rPr>
      </w:pPr>
      <w:r>
        <w:rPr>
          <w:rFonts w:ascii="Times New Roman" w:hAnsi="Times New Roman" w:cs="Times New Roman"/>
        </w:rPr>
        <w:t>在构建回归分析所需的变量时，本研究对各核心变量进行了以下处理：对投币数、点赞数、收藏数、播放量、粉丝数、视频时长均进行加1后取自然对数，以压缩长尾分布并降低极端值的影响。</w:t>
      </w:r>
    </w:p>
    <w:p w14:paraId="37042742">
      <w:pPr>
        <w:spacing w:line="288" w:lineRule="auto"/>
        <w:ind w:firstLine="480"/>
        <w:rPr>
          <w:rFonts w:ascii="Times New Roman" w:hAnsi="Times New Roman" w:cs="Times New Roman"/>
        </w:rPr>
      </w:pPr>
      <w:r>
        <w:rPr>
          <w:rFonts w:ascii="Times New Roman" w:hAnsi="Times New Roman" w:cs="Times New Roman"/>
        </w:rPr>
        <w:t>考虑到激励效应的时滞性，本研究采用滞后两期的投币数（L2_ln_coin）作为核心解释变量。这一设定的理论依据在于：创作者在发布一条视频后，需要经历“发布—观众观看—获得反馈—调整创作策略—新视频发布”的完整生产循环，激励信号对创作行为的影响存在一定的时间延迟。本研究同时检验了滞后一期的设定，结果显示滞后二期的模型拟合效果更优、系数估计更为稳健，因此以滞后两期作为基准回归的主设定，并在稳健性检验部分对两种滞后阶数进行对比报告。此外，滞后设定本身也有助于缓解同期反向因果导致的内生性问题。滞后变量的生成在同一UP主内部进行分组位移，确保滞后操作不会跨UP主混用，每位UP主的前两条视频因无法构造完整的二阶滞后而予以剔除。</w:t>
      </w:r>
    </w:p>
    <w:p w14:paraId="710086D3">
      <w:pPr>
        <w:spacing w:line="288" w:lineRule="auto"/>
        <w:ind w:firstLine="480"/>
        <w:rPr>
          <w:rFonts w:ascii="Times New Roman" w:hAnsi="Times New Roman" w:cs="Times New Roman"/>
        </w:rPr>
      </w:pPr>
      <w:r>
        <w:rPr>
          <w:rFonts w:ascii="Times New Roman" w:hAnsi="Times New Roman" w:cs="Times New Roman"/>
        </w:rPr>
        <w:t>此外，本研究从视频发布时间中提取年份（year）和月份（month）变量，用于在回归模型中控制时间固定效应，以吸收宏观层面的时间趋势和季节性波动。经上述变量构建与缺失值清洗后，</w:t>
      </w:r>
      <w:r>
        <w:rPr>
          <w:rFonts w:ascii="Times New Roman" w:hAnsi="Times New Roman" w:cs="Times New Roman"/>
          <w:highlight w:val="lightGray"/>
        </w:rPr>
        <w:t>最终进入回归分析的有效样本为7050条视频记录，涵盖86位UP主2019年3月至2025年12月间的创作数据。</w:t>
      </w:r>
    </w:p>
    <w:p w14:paraId="5DF643B0">
      <w:pPr>
        <w:spacing w:before="400" w:after="200"/>
        <w:jc w:val="center"/>
        <w:outlineLvl w:val="0"/>
        <w:rPr>
          <w:rFonts w:ascii="Times New Roman" w:hAnsi="Times New Roman" w:eastAsia="黑体" w:cs="Times New Roman"/>
          <w:b/>
          <w:bCs/>
          <w:sz w:val="32"/>
          <w:szCs w:val="32"/>
        </w:rPr>
      </w:pPr>
      <w:bookmarkStart w:id="64" w:name="_Toc22858"/>
      <w:r>
        <w:rPr>
          <w:rFonts w:ascii="Times New Roman" w:hAnsi="Times New Roman" w:eastAsia="黑体" w:cs="Times New Roman"/>
          <w:b/>
          <w:bCs/>
          <w:sz w:val="32"/>
          <w:szCs w:val="32"/>
        </w:rPr>
        <w:t>第五章  实证和分析</w:t>
      </w:r>
      <w:bookmarkEnd w:id="64"/>
    </w:p>
    <w:p w14:paraId="46674AE1">
      <w:pPr>
        <w:spacing w:line="288" w:lineRule="auto"/>
        <w:ind w:firstLine="480"/>
        <w:rPr>
          <w:rFonts w:ascii="Times New Roman" w:hAnsi="Times New Roman" w:cs="Times New Roman"/>
        </w:rPr>
      </w:pPr>
      <w:r>
        <w:rPr>
          <w:rFonts w:ascii="Times New Roman" w:hAnsi="Times New Roman" w:cs="Times New Roman"/>
        </w:rPr>
        <w:t>本章分为六个部分，依次呈现描述性统计与相关性分析、基准回归分析、内生性检验、进一步分析（异质性、非线性与交互效应）、机制检验，以及稳健性检验，逐一检验本文提出的理论假设，并对主要结论进行解释与讨论。</w:t>
      </w:r>
    </w:p>
    <w:p w14:paraId="04E911A0">
      <w:pPr>
        <w:spacing w:before="300" w:after="150"/>
        <w:outlineLvl w:val="2"/>
        <w:rPr>
          <w:rFonts w:ascii="Times New Roman" w:hAnsi="Times New Roman" w:eastAsia="黑体" w:cs="Times New Roman"/>
          <w:b/>
          <w:bCs/>
          <w:sz w:val="28"/>
          <w:szCs w:val="28"/>
        </w:rPr>
      </w:pPr>
      <w:bookmarkStart w:id="65" w:name="_Toc6449"/>
      <w:r>
        <w:rPr>
          <w:rFonts w:ascii="Times New Roman" w:hAnsi="Times New Roman" w:eastAsia="黑体" w:cs="Times New Roman"/>
          <w:b/>
          <w:bCs/>
          <w:sz w:val="28"/>
          <w:szCs w:val="28"/>
        </w:rPr>
        <w:t>5.1  描述性统计</w:t>
      </w:r>
      <w:bookmarkEnd w:id="65"/>
    </w:p>
    <w:p w14:paraId="3AE4CD13">
      <w:pPr>
        <w:spacing w:line="288" w:lineRule="auto"/>
        <w:ind w:firstLine="480"/>
        <w:rPr>
          <w:rFonts w:ascii="Times New Roman" w:hAnsi="Times New Roman" w:cs="Times New Roman"/>
        </w:rPr>
      </w:pPr>
      <w:r>
        <w:rPr>
          <w:rFonts w:ascii="Times New Roman" w:hAnsi="Times New Roman" w:cs="Times New Roman"/>
        </w:rPr>
        <w:t>表4报告了主要变量的描述性统计结果。从内容质量指数（Quality_Index）来看，样本均值为38.841分，标准差为15.867，最小值约0.450、最大值约89.716，说明不同视频之间的内容质量存在较大差异，样本具备良好的识别度。核心解释变量滞后两期投币数对数（L2_ln_coin）的均值为7.010，标准差为2.702，分布较为离散，反映了不同UP主在不同时期所获投币激励的实质性差异。</w:t>
      </w:r>
    </w:p>
    <w:p w14:paraId="422C26D7">
      <w:pPr>
        <w:spacing w:line="288" w:lineRule="auto"/>
        <w:ind w:firstLine="480"/>
        <w:rPr>
          <w:rFonts w:ascii="Times New Roman" w:hAnsi="Times New Roman" w:cs="Times New Roman"/>
        </w:rPr>
      </w:pPr>
      <w:r>
        <w:rPr>
          <w:rFonts w:ascii="Times New Roman" w:hAnsi="Times New Roman" w:cs="Times New Roman"/>
        </w:rPr>
        <w:t>对照变量中，滞后两期点赞数对数（L2_ln_like）均值为9.371，明显高于投币数均值，这与B站投币稀缺性设计完全吻合（点赞门槛低、投币成本高）——点赞是零成本行为，投币则需消耗用户每日有限配额，两者的均值差距印证了投币的稀缺性特征。滞后两期收藏数对数（L2_ln_fav）均值为7.829，介于投币与点赞之间。视频时长对数（ln_duration）均值为6.051，对应约425秒（约7分钟），但标准差达1.126，说明样本中既有大量10分钟以内的中短视频，也有相当数量的30分钟以上长视频，时长分布跨度较大。播放量对数（ln_view）均值为12.703，折算后约为330,000次，显示样本UP主整体具备一定规模的受众基础，具备代表性。粉丝数对数（ln_fans）均值为13.481，折算后约为71万，符合本研究有意纳入不同量级创作者的样本构建思路。</w:t>
      </w:r>
    </w:p>
    <w:p w14:paraId="5AEA2D50">
      <w:pPr>
        <w:spacing w:line="288" w:lineRule="auto"/>
        <w:ind w:firstLine="480"/>
        <w:rPr>
          <w:rFonts w:ascii="Times New Roman" w:hAnsi="Times New Roman" w:cs="Times New Roman"/>
        </w:rPr>
      </w:pPr>
      <w:r>
        <w:rPr>
          <w:rFonts w:ascii="Times New Roman" w:hAnsi="Times New Roman" w:cs="Times New Roman"/>
        </w:rPr>
        <w:t>从各变量的极差来看，粉丝数、播放量和内容质量三个维度均呈现出明显的两极分化，前者尤为突出（粉丝数从接近0至约3,200万）。这一分布特征在客观上为后续异质性分析提供了有利的组间差异基础。</w:t>
      </w:r>
    </w:p>
    <w:p w14:paraId="30160249">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xml:space="preserve"> 主要变量描述性统计</w:t>
      </w:r>
    </w:p>
    <w:tbl>
      <w:tblPr>
        <w:tblStyle w:val="19"/>
        <w:tblW w:w="93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26"/>
        <w:gridCol w:w="1022"/>
        <w:gridCol w:w="1067"/>
        <w:gridCol w:w="966"/>
        <w:gridCol w:w="978"/>
        <w:gridCol w:w="1034"/>
      </w:tblGrid>
      <w:tr w14:paraId="6DCB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single" w:color="000000" w:sz="12" w:space="0"/>
              <w:left w:val="nil"/>
              <w:bottom w:val="single" w:color="000000" w:sz="12" w:space="0"/>
              <w:right w:val="nil"/>
            </w:tcBorders>
            <w:tcMar>
              <w:top w:w="23" w:type="dxa"/>
              <w:left w:w="6" w:type="dxa"/>
              <w:bottom w:w="23" w:type="dxa"/>
              <w:right w:w="6" w:type="dxa"/>
            </w:tcMar>
            <w:vAlign w:val="center"/>
          </w:tcPr>
          <w:p w14:paraId="54E10150">
            <w:pPr>
              <w:spacing w:before="40" w:after="40"/>
              <w:jc w:val="center"/>
              <w:rPr>
                <w:rFonts w:ascii="Times New Roman" w:hAnsi="Times New Roman" w:cs="Times New Roman"/>
              </w:rPr>
            </w:pPr>
            <w:r>
              <w:rPr>
                <w:rFonts w:ascii="Times New Roman" w:hAnsi="Times New Roman" w:cs="Times New Roman"/>
                <w:b/>
                <w:bCs/>
                <w:sz w:val="22"/>
                <w:szCs w:val="22"/>
              </w:rPr>
              <w:t>变量</w:t>
            </w:r>
          </w:p>
        </w:tc>
        <w:tc>
          <w:tcPr>
            <w:tcW w:w="1022" w:type="dxa"/>
            <w:tcBorders>
              <w:top w:val="single" w:color="000000" w:sz="12" w:space="0"/>
              <w:left w:val="nil"/>
              <w:bottom w:val="single" w:color="000000" w:sz="12" w:space="0"/>
              <w:right w:val="nil"/>
            </w:tcBorders>
            <w:tcMar>
              <w:top w:w="23" w:type="dxa"/>
              <w:left w:w="6" w:type="dxa"/>
              <w:bottom w:w="23" w:type="dxa"/>
              <w:right w:w="6" w:type="dxa"/>
            </w:tcMar>
            <w:vAlign w:val="center"/>
          </w:tcPr>
          <w:p w14:paraId="640616B5">
            <w:pPr>
              <w:spacing w:before="40" w:after="40"/>
              <w:jc w:val="center"/>
              <w:rPr>
                <w:rFonts w:ascii="Times New Roman" w:hAnsi="Times New Roman" w:cs="Times New Roman"/>
              </w:rPr>
            </w:pPr>
            <w:r>
              <w:rPr>
                <w:rFonts w:ascii="Times New Roman" w:hAnsi="Times New Roman" w:cs="Times New Roman"/>
                <w:b/>
                <w:bCs/>
                <w:sz w:val="22"/>
                <w:szCs w:val="22"/>
              </w:rPr>
              <w:t>N</w:t>
            </w:r>
          </w:p>
        </w:tc>
        <w:tc>
          <w:tcPr>
            <w:tcW w:w="1067" w:type="dxa"/>
            <w:tcBorders>
              <w:top w:val="single" w:color="000000" w:sz="12" w:space="0"/>
              <w:left w:val="nil"/>
              <w:bottom w:val="single" w:color="000000" w:sz="12" w:space="0"/>
              <w:right w:val="nil"/>
            </w:tcBorders>
            <w:tcMar>
              <w:top w:w="23" w:type="dxa"/>
              <w:left w:w="6" w:type="dxa"/>
              <w:bottom w:w="23" w:type="dxa"/>
              <w:right w:w="6" w:type="dxa"/>
            </w:tcMar>
            <w:vAlign w:val="center"/>
          </w:tcPr>
          <w:p w14:paraId="1B6BD85F">
            <w:pPr>
              <w:spacing w:before="40" w:after="40"/>
              <w:jc w:val="center"/>
              <w:rPr>
                <w:rFonts w:ascii="Times New Roman" w:hAnsi="Times New Roman" w:cs="Times New Roman"/>
              </w:rPr>
            </w:pPr>
            <w:r>
              <w:rPr>
                <w:rFonts w:ascii="Times New Roman" w:hAnsi="Times New Roman" w:cs="Times New Roman"/>
                <w:b/>
                <w:bCs/>
                <w:sz w:val="22"/>
                <w:szCs w:val="22"/>
              </w:rPr>
              <w:t>均值</w:t>
            </w:r>
          </w:p>
        </w:tc>
        <w:tc>
          <w:tcPr>
            <w:tcW w:w="966" w:type="dxa"/>
            <w:tcBorders>
              <w:top w:val="single" w:color="000000" w:sz="12" w:space="0"/>
              <w:left w:val="nil"/>
              <w:bottom w:val="single" w:color="000000" w:sz="12" w:space="0"/>
              <w:right w:val="nil"/>
            </w:tcBorders>
            <w:tcMar>
              <w:top w:w="23" w:type="dxa"/>
              <w:left w:w="6" w:type="dxa"/>
              <w:bottom w:w="23" w:type="dxa"/>
              <w:right w:w="6" w:type="dxa"/>
            </w:tcMar>
            <w:vAlign w:val="center"/>
          </w:tcPr>
          <w:p w14:paraId="1AC2A6AE">
            <w:pPr>
              <w:spacing w:before="40" w:after="40"/>
              <w:jc w:val="center"/>
              <w:rPr>
                <w:rFonts w:ascii="Times New Roman" w:hAnsi="Times New Roman" w:cs="Times New Roman"/>
              </w:rPr>
            </w:pPr>
            <w:r>
              <w:rPr>
                <w:rFonts w:ascii="Times New Roman" w:hAnsi="Times New Roman" w:cs="Times New Roman"/>
                <w:b/>
                <w:bCs/>
                <w:sz w:val="22"/>
                <w:szCs w:val="22"/>
              </w:rPr>
              <w:t>标准差</w:t>
            </w:r>
          </w:p>
        </w:tc>
        <w:tc>
          <w:tcPr>
            <w:tcW w:w="978" w:type="dxa"/>
            <w:tcBorders>
              <w:top w:val="single" w:color="000000" w:sz="12" w:space="0"/>
              <w:left w:val="nil"/>
              <w:bottom w:val="single" w:color="000000" w:sz="12" w:space="0"/>
              <w:right w:val="nil"/>
            </w:tcBorders>
            <w:tcMar>
              <w:top w:w="23" w:type="dxa"/>
              <w:left w:w="6" w:type="dxa"/>
              <w:bottom w:w="23" w:type="dxa"/>
              <w:right w:w="6" w:type="dxa"/>
            </w:tcMar>
            <w:vAlign w:val="center"/>
          </w:tcPr>
          <w:p w14:paraId="50449A44">
            <w:pPr>
              <w:spacing w:before="40" w:after="40"/>
              <w:jc w:val="center"/>
              <w:rPr>
                <w:rFonts w:ascii="Times New Roman" w:hAnsi="Times New Roman" w:cs="Times New Roman"/>
              </w:rPr>
            </w:pPr>
            <w:r>
              <w:rPr>
                <w:rFonts w:ascii="Times New Roman" w:hAnsi="Times New Roman" w:cs="Times New Roman"/>
                <w:b/>
                <w:bCs/>
                <w:sz w:val="22"/>
                <w:szCs w:val="22"/>
              </w:rPr>
              <w:t>最小值</w:t>
            </w:r>
          </w:p>
        </w:tc>
        <w:tc>
          <w:tcPr>
            <w:tcW w:w="1034" w:type="dxa"/>
            <w:tcBorders>
              <w:top w:val="single" w:color="000000" w:sz="12" w:space="0"/>
              <w:left w:val="nil"/>
              <w:bottom w:val="single" w:color="000000" w:sz="12" w:space="0"/>
              <w:right w:val="nil"/>
            </w:tcBorders>
            <w:tcMar>
              <w:top w:w="23" w:type="dxa"/>
              <w:left w:w="6" w:type="dxa"/>
              <w:bottom w:w="23" w:type="dxa"/>
              <w:right w:w="6" w:type="dxa"/>
            </w:tcMar>
            <w:vAlign w:val="center"/>
          </w:tcPr>
          <w:p w14:paraId="0A6828A2">
            <w:pPr>
              <w:spacing w:before="40" w:after="40"/>
              <w:jc w:val="center"/>
              <w:rPr>
                <w:rFonts w:ascii="Times New Roman" w:hAnsi="Times New Roman" w:cs="Times New Roman"/>
              </w:rPr>
            </w:pPr>
            <w:r>
              <w:rPr>
                <w:rFonts w:ascii="Times New Roman" w:hAnsi="Times New Roman" w:cs="Times New Roman"/>
                <w:b/>
                <w:bCs/>
                <w:sz w:val="22"/>
                <w:szCs w:val="22"/>
              </w:rPr>
              <w:t>最大值</w:t>
            </w:r>
          </w:p>
        </w:tc>
      </w:tr>
      <w:tr w14:paraId="3C1B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nil"/>
              <w:right w:val="nil"/>
            </w:tcBorders>
            <w:tcMar>
              <w:top w:w="23" w:type="dxa"/>
              <w:left w:w="6" w:type="dxa"/>
              <w:bottom w:w="23" w:type="dxa"/>
              <w:right w:w="6" w:type="dxa"/>
            </w:tcMar>
            <w:vAlign w:val="center"/>
          </w:tcPr>
          <w:p w14:paraId="2B3C6B29">
            <w:pPr>
              <w:spacing w:before="40" w:after="40"/>
              <w:jc w:val="center"/>
              <w:rPr>
                <w:rFonts w:ascii="Times New Roman" w:hAnsi="Times New Roman" w:cs="Times New Roman"/>
              </w:rPr>
            </w:pPr>
            <w:r>
              <w:rPr>
                <w:rFonts w:ascii="Times New Roman" w:hAnsi="Times New Roman" w:cs="Times New Roman"/>
                <w:sz w:val="22"/>
                <w:szCs w:val="22"/>
              </w:rPr>
              <w:t>Quality_Index（内容质量指数）</w:t>
            </w:r>
          </w:p>
        </w:tc>
        <w:tc>
          <w:tcPr>
            <w:tcW w:w="1022" w:type="dxa"/>
            <w:tcBorders>
              <w:top w:val="nil"/>
              <w:left w:val="nil"/>
              <w:bottom w:val="nil"/>
              <w:right w:val="nil"/>
            </w:tcBorders>
            <w:tcMar>
              <w:top w:w="23" w:type="dxa"/>
              <w:left w:w="6" w:type="dxa"/>
              <w:bottom w:w="23" w:type="dxa"/>
              <w:right w:w="6" w:type="dxa"/>
            </w:tcMar>
            <w:vAlign w:val="center"/>
          </w:tcPr>
          <w:p w14:paraId="0E9F2074">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nil"/>
              <w:right w:val="nil"/>
            </w:tcBorders>
            <w:tcMar>
              <w:top w:w="23" w:type="dxa"/>
              <w:left w:w="6" w:type="dxa"/>
              <w:bottom w:w="23" w:type="dxa"/>
              <w:right w:w="6" w:type="dxa"/>
            </w:tcMar>
            <w:vAlign w:val="center"/>
          </w:tcPr>
          <w:p w14:paraId="6192710D">
            <w:pPr>
              <w:spacing w:before="40" w:after="40"/>
              <w:jc w:val="center"/>
              <w:rPr>
                <w:rFonts w:ascii="Times New Roman" w:hAnsi="Times New Roman" w:cs="Times New Roman"/>
              </w:rPr>
            </w:pPr>
            <w:r>
              <w:rPr>
                <w:rFonts w:ascii="Times New Roman" w:hAnsi="Times New Roman" w:cs="Times New Roman"/>
                <w:sz w:val="22"/>
                <w:szCs w:val="22"/>
              </w:rPr>
              <w:t>38.841</w:t>
            </w:r>
          </w:p>
        </w:tc>
        <w:tc>
          <w:tcPr>
            <w:tcW w:w="966" w:type="dxa"/>
            <w:tcBorders>
              <w:top w:val="nil"/>
              <w:left w:val="nil"/>
              <w:bottom w:val="nil"/>
              <w:right w:val="nil"/>
            </w:tcBorders>
            <w:tcMar>
              <w:top w:w="23" w:type="dxa"/>
              <w:left w:w="6" w:type="dxa"/>
              <w:bottom w:w="23" w:type="dxa"/>
              <w:right w:w="6" w:type="dxa"/>
            </w:tcMar>
            <w:vAlign w:val="center"/>
          </w:tcPr>
          <w:p w14:paraId="739A8A7B">
            <w:pPr>
              <w:spacing w:before="40" w:after="40"/>
              <w:jc w:val="center"/>
              <w:rPr>
                <w:rFonts w:ascii="Times New Roman" w:hAnsi="Times New Roman" w:cs="Times New Roman"/>
              </w:rPr>
            </w:pPr>
            <w:r>
              <w:rPr>
                <w:rFonts w:ascii="Times New Roman" w:hAnsi="Times New Roman" w:cs="Times New Roman"/>
                <w:sz w:val="22"/>
                <w:szCs w:val="22"/>
              </w:rPr>
              <w:t>15.867</w:t>
            </w:r>
          </w:p>
        </w:tc>
        <w:tc>
          <w:tcPr>
            <w:tcW w:w="978" w:type="dxa"/>
            <w:tcBorders>
              <w:top w:val="nil"/>
              <w:left w:val="nil"/>
              <w:bottom w:val="nil"/>
              <w:right w:val="nil"/>
            </w:tcBorders>
            <w:tcMar>
              <w:top w:w="23" w:type="dxa"/>
              <w:left w:w="6" w:type="dxa"/>
              <w:bottom w:w="23" w:type="dxa"/>
              <w:right w:w="6" w:type="dxa"/>
            </w:tcMar>
            <w:vAlign w:val="center"/>
          </w:tcPr>
          <w:p w14:paraId="46844AE0">
            <w:pPr>
              <w:spacing w:before="40" w:after="40"/>
              <w:jc w:val="center"/>
              <w:rPr>
                <w:rFonts w:ascii="Times New Roman" w:hAnsi="Times New Roman" w:cs="Times New Roman"/>
              </w:rPr>
            </w:pPr>
            <w:r>
              <w:rPr>
                <w:rFonts w:ascii="Times New Roman" w:hAnsi="Times New Roman" w:cs="Times New Roman"/>
                <w:sz w:val="22"/>
                <w:szCs w:val="22"/>
              </w:rPr>
              <w:t>0.450</w:t>
            </w:r>
          </w:p>
        </w:tc>
        <w:tc>
          <w:tcPr>
            <w:tcW w:w="1034" w:type="dxa"/>
            <w:tcBorders>
              <w:top w:val="nil"/>
              <w:left w:val="nil"/>
              <w:bottom w:val="nil"/>
              <w:right w:val="nil"/>
            </w:tcBorders>
            <w:tcMar>
              <w:top w:w="23" w:type="dxa"/>
              <w:left w:w="6" w:type="dxa"/>
              <w:bottom w:w="23" w:type="dxa"/>
              <w:right w:w="6" w:type="dxa"/>
            </w:tcMar>
            <w:vAlign w:val="center"/>
          </w:tcPr>
          <w:p w14:paraId="425D923C">
            <w:pPr>
              <w:spacing w:before="40" w:after="40"/>
              <w:jc w:val="center"/>
              <w:rPr>
                <w:rFonts w:ascii="Times New Roman" w:hAnsi="Times New Roman" w:cs="Times New Roman"/>
              </w:rPr>
            </w:pPr>
            <w:r>
              <w:rPr>
                <w:rFonts w:ascii="Times New Roman" w:hAnsi="Times New Roman" w:cs="Times New Roman"/>
                <w:sz w:val="22"/>
                <w:szCs w:val="22"/>
              </w:rPr>
              <w:t>89.716</w:t>
            </w:r>
          </w:p>
        </w:tc>
      </w:tr>
      <w:tr w14:paraId="0472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nil"/>
              <w:right w:val="nil"/>
            </w:tcBorders>
            <w:tcMar>
              <w:top w:w="23" w:type="dxa"/>
              <w:left w:w="6" w:type="dxa"/>
              <w:bottom w:w="23" w:type="dxa"/>
              <w:right w:w="6" w:type="dxa"/>
            </w:tcMar>
            <w:vAlign w:val="center"/>
          </w:tcPr>
          <w:p w14:paraId="543385E4">
            <w:pPr>
              <w:spacing w:before="40" w:after="40"/>
              <w:jc w:val="center"/>
              <w:rPr>
                <w:rFonts w:ascii="Times New Roman" w:hAnsi="Times New Roman" w:cs="Times New Roman"/>
              </w:rPr>
            </w:pPr>
            <w:r>
              <w:rPr>
                <w:rFonts w:ascii="Times New Roman" w:hAnsi="Times New Roman" w:cs="Times New Roman"/>
                <w:sz w:val="22"/>
                <w:szCs w:val="22"/>
              </w:rPr>
              <w:t>L2_ln_coin（滞后二期投币数对数）</w:t>
            </w:r>
          </w:p>
        </w:tc>
        <w:tc>
          <w:tcPr>
            <w:tcW w:w="1022" w:type="dxa"/>
            <w:tcBorders>
              <w:top w:val="nil"/>
              <w:left w:val="nil"/>
              <w:bottom w:val="nil"/>
              <w:right w:val="nil"/>
            </w:tcBorders>
            <w:tcMar>
              <w:top w:w="23" w:type="dxa"/>
              <w:left w:w="6" w:type="dxa"/>
              <w:bottom w:w="23" w:type="dxa"/>
              <w:right w:w="6" w:type="dxa"/>
            </w:tcMar>
            <w:vAlign w:val="center"/>
          </w:tcPr>
          <w:p w14:paraId="3C2BAB29">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nil"/>
              <w:right w:val="nil"/>
            </w:tcBorders>
            <w:tcMar>
              <w:top w:w="23" w:type="dxa"/>
              <w:left w:w="6" w:type="dxa"/>
              <w:bottom w:w="23" w:type="dxa"/>
              <w:right w:w="6" w:type="dxa"/>
            </w:tcMar>
            <w:vAlign w:val="center"/>
          </w:tcPr>
          <w:p w14:paraId="5D205031">
            <w:pPr>
              <w:spacing w:before="40" w:after="40"/>
              <w:jc w:val="center"/>
              <w:rPr>
                <w:rFonts w:ascii="Times New Roman" w:hAnsi="Times New Roman" w:cs="Times New Roman"/>
              </w:rPr>
            </w:pPr>
            <w:r>
              <w:rPr>
                <w:rFonts w:ascii="Times New Roman" w:hAnsi="Times New Roman" w:cs="Times New Roman"/>
                <w:sz w:val="22"/>
                <w:szCs w:val="22"/>
              </w:rPr>
              <w:t>7.010</w:t>
            </w:r>
          </w:p>
        </w:tc>
        <w:tc>
          <w:tcPr>
            <w:tcW w:w="966" w:type="dxa"/>
            <w:tcBorders>
              <w:top w:val="nil"/>
              <w:left w:val="nil"/>
              <w:bottom w:val="nil"/>
              <w:right w:val="nil"/>
            </w:tcBorders>
            <w:tcMar>
              <w:top w:w="23" w:type="dxa"/>
              <w:left w:w="6" w:type="dxa"/>
              <w:bottom w:w="23" w:type="dxa"/>
              <w:right w:w="6" w:type="dxa"/>
            </w:tcMar>
            <w:vAlign w:val="center"/>
          </w:tcPr>
          <w:p w14:paraId="511EEEEB">
            <w:pPr>
              <w:spacing w:before="40" w:after="40"/>
              <w:jc w:val="center"/>
              <w:rPr>
                <w:rFonts w:ascii="Times New Roman" w:hAnsi="Times New Roman" w:cs="Times New Roman"/>
              </w:rPr>
            </w:pPr>
            <w:r>
              <w:rPr>
                <w:rFonts w:ascii="Times New Roman" w:hAnsi="Times New Roman" w:cs="Times New Roman"/>
                <w:sz w:val="22"/>
                <w:szCs w:val="22"/>
              </w:rPr>
              <w:t>2.702</w:t>
            </w:r>
          </w:p>
        </w:tc>
        <w:tc>
          <w:tcPr>
            <w:tcW w:w="978" w:type="dxa"/>
            <w:tcBorders>
              <w:top w:val="nil"/>
              <w:left w:val="nil"/>
              <w:bottom w:val="nil"/>
              <w:right w:val="nil"/>
            </w:tcBorders>
            <w:tcMar>
              <w:top w:w="23" w:type="dxa"/>
              <w:left w:w="6" w:type="dxa"/>
              <w:bottom w:w="23" w:type="dxa"/>
              <w:right w:w="6" w:type="dxa"/>
            </w:tcMar>
            <w:vAlign w:val="center"/>
          </w:tcPr>
          <w:p w14:paraId="2D505916">
            <w:pPr>
              <w:spacing w:before="40" w:after="40"/>
              <w:jc w:val="center"/>
              <w:rPr>
                <w:rFonts w:ascii="Times New Roman" w:hAnsi="Times New Roman" w:cs="Times New Roman"/>
              </w:rPr>
            </w:pPr>
            <w:r>
              <w:rPr>
                <w:rFonts w:ascii="Times New Roman" w:hAnsi="Times New Roman" w:cs="Times New Roman"/>
                <w:sz w:val="22"/>
                <w:szCs w:val="22"/>
              </w:rPr>
              <w:t>0.000</w:t>
            </w:r>
          </w:p>
        </w:tc>
        <w:tc>
          <w:tcPr>
            <w:tcW w:w="1034" w:type="dxa"/>
            <w:tcBorders>
              <w:top w:val="nil"/>
              <w:left w:val="nil"/>
              <w:bottom w:val="nil"/>
              <w:right w:val="nil"/>
            </w:tcBorders>
            <w:tcMar>
              <w:top w:w="23" w:type="dxa"/>
              <w:left w:w="6" w:type="dxa"/>
              <w:bottom w:w="23" w:type="dxa"/>
              <w:right w:w="6" w:type="dxa"/>
            </w:tcMar>
            <w:vAlign w:val="center"/>
          </w:tcPr>
          <w:p w14:paraId="491C92DD">
            <w:pPr>
              <w:spacing w:before="40" w:after="40"/>
              <w:jc w:val="center"/>
              <w:rPr>
                <w:rFonts w:ascii="Times New Roman" w:hAnsi="Times New Roman" w:cs="Times New Roman"/>
              </w:rPr>
            </w:pPr>
            <w:r>
              <w:rPr>
                <w:rFonts w:ascii="Times New Roman" w:hAnsi="Times New Roman" w:cs="Times New Roman"/>
                <w:sz w:val="22"/>
                <w:szCs w:val="22"/>
              </w:rPr>
              <w:t>14.457</w:t>
            </w:r>
          </w:p>
        </w:tc>
      </w:tr>
      <w:tr w14:paraId="6994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nil"/>
              <w:right w:val="nil"/>
            </w:tcBorders>
            <w:tcMar>
              <w:top w:w="23" w:type="dxa"/>
              <w:left w:w="6" w:type="dxa"/>
              <w:bottom w:w="23" w:type="dxa"/>
              <w:right w:w="6" w:type="dxa"/>
            </w:tcMar>
            <w:vAlign w:val="center"/>
          </w:tcPr>
          <w:p w14:paraId="2680B19A">
            <w:pPr>
              <w:spacing w:before="40" w:after="40"/>
              <w:jc w:val="center"/>
              <w:rPr>
                <w:rFonts w:ascii="Times New Roman" w:hAnsi="Times New Roman" w:cs="Times New Roman"/>
              </w:rPr>
            </w:pPr>
            <w:r>
              <w:rPr>
                <w:rFonts w:ascii="Times New Roman" w:hAnsi="Times New Roman" w:cs="Times New Roman"/>
                <w:sz w:val="22"/>
                <w:szCs w:val="22"/>
              </w:rPr>
              <w:t>L2_ln_like（滞后二期点赞数对数）</w:t>
            </w:r>
          </w:p>
        </w:tc>
        <w:tc>
          <w:tcPr>
            <w:tcW w:w="1022" w:type="dxa"/>
            <w:tcBorders>
              <w:top w:val="nil"/>
              <w:left w:val="nil"/>
              <w:bottom w:val="nil"/>
              <w:right w:val="nil"/>
            </w:tcBorders>
            <w:tcMar>
              <w:top w:w="23" w:type="dxa"/>
              <w:left w:w="6" w:type="dxa"/>
              <w:bottom w:w="23" w:type="dxa"/>
              <w:right w:w="6" w:type="dxa"/>
            </w:tcMar>
            <w:vAlign w:val="center"/>
          </w:tcPr>
          <w:p w14:paraId="1BB507FC">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nil"/>
              <w:right w:val="nil"/>
            </w:tcBorders>
            <w:tcMar>
              <w:top w:w="23" w:type="dxa"/>
              <w:left w:w="6" w:type="dxa"/>
              <w:bottom w:w="23" w:type="dxa"/>
              <w:right w:w="6" w:type="dxa"/>
            </w:tcMar>
            <w:vAlign w:val="center"/>
          </w:tcPr>
          <w:p w14:paraId="7653C097">
            <w:pPr>
              <w:spacing w:before="40" w:after="40"/>
              <w:jc w:val="center"/>
              <w:rPr>
                <w:rFonts w:ascii="Times New Roman" w:hAnsi="Times New Roman" w:cs="Times New Roman"/>
              </w:rPr>
            </w:pPr>
            <w:r>
              <w:rPr>
                <w:rFonts w:ascii="Times New Roman" w:hAnsi="Times New Roman" w:cs="Times New Roman"/>
                <w:sz w:val="22"/>
                <w:szCs w:val="22"/>
              </w:rPr>
              <w:t>9.371</w:t>
            </w:r>
          </w:p>
        </w:tc>
        <w:tc>
          <w:tcPr>
            <w:tcW w:w="966" w:type="dxa"/>
            <w:tcBorders>
              <w:top w:val="nil"/>
              <w:left w:val="nil"/>
              <w:bottom w:val="nil"/>
              <w:right w:val="nil"/>
            </w:tcBorders>
            <w:tcMar>
              <w:top w:w="23" w:type="dxa"/>
              <w:left w:w="6" w:type="dxa"/>
              <w:bottom w:w="23" w:type="dxa"/>
              <w:right w:w="6" w:type="dxa"/>
            </w:tcMar>
            <w:vAlign w:val="center"/>
          </w:tcPr>
          <w:p w14:paraId="4DE01152">
            <w:pPr>
              <w:spacing w:before="40" w:after="40"/>
              <w:jc w:val="center"/>
              <w:rPr>
                <w:rFonts w:ascii="Times New Roman" w:hAnsi="Times New Roman" w:cs="Times New Roman"/>
              </w:rPr>
            </w:pPr>
            <w:r>
              <w:rPr>
                <w:rFonts w:ascii="Times New Roman" w:hAnsi="Times New Roman" w:cs="Times New Roman"/>
                <w:sz w:val="22"/>
                <w:szCs w:val="22"/>
              </w:rPr>
              <w:t>2.060</w:t>
            </w:r>
          </w:p>
        </w:tc>
        <w:tc>
          <w:tcPr>
            <w:tcW w:w="978" w:type="dxa"/>
            <w:tcBorders>
              <w:top w:val="nil"/>
              <w:left w:val="nil"/>
              <w:bottom w:val="nil"/>
              <w:right w:val="nil"/>
            </w:tcBorders>
            <w:tcMar>
              <w:top w:w="23" w:type="dxa"/>
              <w:left w:w="6" w:type="dxa"/>
              <w:bottom w:w="23" w:type="dxa"/>
              <w:right w:w="6" w:type="dxa"/>
            </w:tcMar>
            <w:vAlign w:val="center"/>
          </w:tcPr>
          <w:p w14:paraId="47E8B5DB">
            <w:pPr>
              <w:spacing w:before="40" w:after="40"/>
              <w:jc w:val="center"/>
              <w:rPr>
                <w:rFonts w:ascii="Times New Roman" w:hAnsi="Times New Roman" w:cs="Times New Roman"/>
              </w:rPr>
            </w:pPr>
            <w:r>
              <w:rPr>
                <w:rFonts w:ascii="Times New Roman" w:hAnsi="Times New Roman" w:cs="Times New Roman"/>
                <w:sz w:val="22"/>
                <w:szCs w:val="22"/>
              </w:rPr>
              <w:t>0.693</w:t>
            </w:r>
          </w:p>
        </w:tc>
        <w:tc>
          <w:tcPr>
            <w:tcW w:w="1034" w:type="dxa"/>
            <w:tcBorders>
              <w:top w:val="nil"/>
              <w:left w:val="nil"/>
              <w:bottom w:val="nil"/>
              <w:right w:val="nil"/>
            </w:tcBorders>
            <w:tcMar>
              <w:top w:w="23" w:type="dxa"/>
              <w:left w:w="6" w:type="dxa"/>
              <w:bottom w:w="23" w:type="dxa"/>
              <w:right w:w="6" w:type="dxa"/>
            </w:tcMar>
            <w:vAlign w:val="center"/>
          </w:tcPr>
          <w:p w14:paraId="269BD1FE">
            <w:pPr>
              <w:spacing w:before="40" w:after="40"/>
              <w:jc w:val="center"/>
              <w:rPr>
                <w:rFonts w:ascii="Times New Roman" w:hAnsi="Times New Roman" w:cs="Times New Roman"/>
              </w:rPr>
            </w:pPr>
            <w:r>
              <w:rPr>
                <w:rFonts w:ascii="Times New Roman" w:hAnsi="Times New Roman" w:cs="Times New Roman"/>
                <w:sz w:val="22"/>
                <w:szCs w:val="22"/>
              </w:rPr>
              <w:t>14.717</w:t>
            </w:r>
          </w:p>
        </w:tc>
      </w:tr>
      <w:tr w14:paraId="0187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nil"/>
              <w:right w:val="nil"/>
            </w:tcBorders>
            <w:tcMar>
              <w:top w:w="23" w:type="dxa"/>
              <w:left w:w="6" w:type="dxa"/>
              <w:bottom w:w="23" w:type="dxa"/>
              <w:right w:w="6" w:type="dxa"/>
            </w:tcMar>
            <w:vAlign w:val="center"/>
          </w:tcPr>
          <w:p w14:paraId="5DAD30D8">
            <w:pPr>
              <w:spacing w:before="40" w:after="40"/>
              <w:jc w:val="center"/>
              <w:rPr>
                <w:rFonts w:ascii="Times New Roman" w:hAnsi="Times New Roman" w:cs="Times New Roman"/>
              </w:rPr>
            </w:pPr>
            <w:r>
              <w:rPr>
                <w:rFonts w:ascii="Times New Roman" w:hAnsi="Times New Roman" w:cs="Times New Roman"/>
                <w:sz w:val="22"/>
                <w:szCs w:val="22"/>
              </w:rPr>
              <w:t>L2_ln_fav（滞后二期收藏数对数）</w:t>
            </w:r>
          </w:p>
        </w:tc>
        <w:tc>
          <w:tcPr>
            <w:tcW w:w="1022" w:type="dxa"/>
            <w:tcBorders>
              <w:top w:val="nil"/>
              <w:left w:val="nil"/>
              <w:bottom w:val="nil"/>
              <w:right w:val="nil"/>
            </w:tcBorders>
            <w:tcMar>
              <w:top w:w="23" w:type="dxa"/>
              <w:left w:w="6" w:type="dxa"/>
              <w:bottom w:w="23" w:type="dxa"/>
              <w:right w:w="6" w:type="dxa"/>
            </w:tcMar>
            <w:vAlign w:val="center"/>
          </w:tcPr>
          <w:p w14:paraId="44143310">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nil"/>
              <w:right w:val="nil"/>
            </w:tcBorders>
            <w:tcMar>
              <w:top w:w="23" w:type="dxa"/>
              <w:left w:w="6" w:type="dxa"/>
              <w:bottom w:w="23" w:type="dxa"/>
              <w:right w:w="6" w:type="dxa"/>
            </w:tcMar>
            <w:vAlign w:val="center"/>
          </w:tcPr>
          <w:p w14:paraId="0E945A34">
            <w:pPr>
              <w:spacing w:before="40" w:after="40"/>
              <w:jc w:val="center"/>
              <w:rPr>
                <w:rFonts w:ascii="Times New Roman" w:hAnsi="Times New Roman" w:cs="Times New Roman"/>
              </w:rPr>
            </w:pPr>
            <w:r>
              <w:rPr>
                <w:rFonts w:ascii="Times New Roman" w:hAnsi="Times New Roman" w:cs="Times New Roman"/>
                <w:sz w:val="22"/>
                <w:szCs w:val="22"/>
              </w:rPr>
              <w:t>7.829</w:t>
            </w:r>
          </w:p>
        </w:tc>
        <w:tc>
          <w:tcPr>
            <w:tcW w:w="966" w:type="dxa"/>
            <w:tcBorders>
              <w:top w:val="nil"/>
              <w:left w:val="nil"/>
              <w:bottom w:val="nil"/>
              <w:right w:val="nil"/>
            </w:tcBorders>
            <w:tcMar>
              <w:top w:w="23" w:type="dxa"/>
              <w:left w:w="6" w:type="dxa"/>
              <w:bottom w:w="23" w:type="dxa"/>
              <w:right w:w="6" w:type="dxa"/>
            </w:tcMar>
            <w:vAlign w:val="center"/>
          </w:tcPr>
          <w:p w14:paraId="6531C52D">
            <w:pPr>
              <w:spacing w:before="40" w:after="40"/>
              <w:jc w:val="center"/>
              <w:rPr>
                <w:rFonts w:ascii="Times New Roman" w:hAnsi="Times New Roman" w:cs="Times New Roman"/>
              </w:rPr>
            </w:pPr>
            <w:r>
              <w:rPr>
                <w:rFonts w:ascii="Times New Roman" w:hAnsi="Times New Roman" w:cs="Times New Roman"/>
                <w:sz w:val="22"/>
                <w:szCs w:val="22"/>
              </w:rPr>
              <w:t>2.142</w:t>
            </w:r>
          </w:p>
        </w:tc>
        <w:tc>
          <w:tcPr>
            <w:tcW w:w="978" w:type="dxa"/>
            <w:tcBorders>
              <w:top w:val="nil"/>
              <w:left w:val="nil"/>
              <w:bottom w:val="nil"/>
              <w:right w:val="nil"/>
            </w:tcBorders>
            <w:tcMar>
              <w:top w:w="23" w:type="dxa"/>
              <w:left w:w="6" w:type="dxa"/>
              <w:bottom w:w="23" w:type="dxa"/>
              <w:right w:w="6" w:type="dxa"/>
            </w:tcMar>
            <w:vAlign w:val="center"/>
          </w:tcPr>
          <w:p w14:paraId="3F110988">
            <w:pPr>
              <w:spacing w:before="40" w:after="40"/>
              <w:jc w:val="center"/>
              <w:rPr>
                <w:rFonts w:ascii="Times New Roman" w:hAnsi="Times New Roman" w:cs="Times New Roman"/>
              </w:rPr>
            </w:pPr>
            <w:r>
              <w:rPr>
                <w:rFonts w:ascii="Times New Roman" w:hAnsi="Times New Roman" w:cs="Times New Roman"/>
                <w:sz w:val="22"/>
                <w:szCs w:val="22"/>
              </w:rPr>
              <w:t>0.000</w:t>
            </w:r>
          </w:p>
        </w:tc>
        <w:tc>
          <w:tcPr>
            <w:tcW w:w="1034" w:type="dxa"/>
            <w:tcBorders>
              <w:top w:val="nil"/>
              <w:left w:val="nil"/>
              <w:bottom w:val="nil"/>
              <w:right w:val="nil"/>
            </w:tcBorders>
            <w:tcMar>
              <w:top w:w="23" w:type="dxa"/>
              <w:left w:w="6" w:type="dxa"/>
              <w:bottom w:w="23" w:type="dxa"/>
              <w:right w:w="6" w:type="dxa"/>
            </w:tcMar>
            <w:vAlign w:val="center"/>
          </w:tcPr>
          <w:p w14:paraId="6890C84E">
            <w:pPr>
              <w:spacing w:before="40" w:after="40"/>
              <w:jc w:val="center"/>
              <w:rPr>
                <w:rFonts w:ascii="Times New Roman" w:hAnsi="Times New Roman" w:cs="Times New Roman"/>
              </w:rPr>
            </w:pPr>
            <w:r>
              <w:rPr>
                <w:rFonts w:ascii="Times New Roman" w:hAnsi="Times New Roman" w:cs="Times New Roman"/>
                <w:sz w:val="22"/>
                <w:szCs w:val="22"/>
              </w:rPr>
              <w:t>14.201</w:t>
            </w:r>
          </w:p>
        </w:tc>
      </w:tr>
      <w:tr w14:paraId="2E1A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nil"/>
              <w:right w:val="nil"/>
            </w:tcBorders>
            <w:tcMar>
              <w:top w:w="23" w:type="dxa"/>
              <w:left w:w="6" w:type="dxa"/>
              <w:bottom w:w="23" w:type="dxa"/>
              <w:right w:w="6" w:type="dxa"/>
            </w:tcMar>
            <w:vAlign w:val="center"/>
          </w:tcPr>
          <w:p w14:paraId="1AC486F1">
            <w:pPr>
              <w:spacing w:before="40" w:after="40"/>
              <w:jc w:val="center"/>
              <w:rPr>
                <w:rFonts w:ascii="Times New Roman" w:hAnsi="Times New Roman" w:cs="Times New Roman"/>
              </w:rPr>
            </w:pPr>
            <w:r>
              <w:rPr>
                <w:rFonts w:ascii="Times New Roman" w:hAnsi="Times New Roman" w:cs="Times New Roman"/>
                <w:sz w:val="22"/>
                <w:szCs w:val="22"/>
              </w:rPr>
              <w:t>ln_duration（视频时长对数）</w:t>
            </w:r>
          </w:p>
        </w:tc>
        <w:tc>
          <w:tcPr>
            <w:tcW w:w="1022" w:type="dxa"/>
            <w:tcBorders>
              <w:top w:val="nil"/>
              <w:left w:val="nil"/>
              <w:bottom w:val="nil"/>
              <w:right w:val="nil"/>
            </w:tcBorders>
            <w:tcMar>
              <w:top w:w="23" w:type="dxa"/>
              <w:left w:w="6" w:type="dxa"/>
              <w:bottom w:w="23" w:type="dxa"/>
              <w:right w:w="6" w:type="dxa"/>
            </w:tcMar>
            <w:vAlign w:val="center"/>
          </w:tcPr>
          <w:p w14:paraId="1761F4B4">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nil"/>
              <w:right w:val="nil"/>
            </w:tcBorders>
            <w:tcMar>
              <w:top w:w="23" w:type="dxa"/>
              <w:left w:w="6" w:type="dxa"/>
              <w:bottom w:w="23" w:type="dxa"/>
              <w:right w:w="6" w:type="dxa"/>
            </w:tcMar>
            <w:vAlign w:val="center"/>
          </w:tcPr>
          <w:p w14:paraId="33A2F495">
            <w:pPr>
              <w:spacing w:before="40" w:after="40"/>
              <w:jc w:val="center"/>
              <w:rPr>
                <w:rFonts w:ascii="Times New Roman" w:hAnsi="Times New Roman" w:cs="Times New Roman"/>
              </w:rPr>
            </w:pPr>
            <w:r>
              <w:rPr>
                <w:rFonts w:ascii="Times New Roman" w:hAnsi="Times New Roman" w:cs="Times New Roman"/>
                <w:sz w:val="22"/>
                <w:szCs w:val="22"/>
              </w:rPr>
              <w:t>6.051</w:t>
            </w:r>
          </w:p>
        </w:tc>
        <w:tc>
          <w:tcPr>
            <w:tcW w:w="966" w:type="dxa"/>
            <w:tcBorders>
              <w:top w:val="nil"/>
              <w:left w:val="nil"/>
              <w:bottom w:val="nil"/>
              <w:right w:val="nil"/>
            </w:tcBorders>
            <w:tcMar>
              <w:top w:w="23" w:type="dxa"/>
              <w:left w:w="6" w:type="dxa"/>
              <w:bottom w:w="23" w:type="dxa"/>
              <w:right w:w="6" w:type="dxa"/>
            </w:tcMar>
            <w:vAlign w:val="center"/>
          </w:tcPr>
          <w:p w14:paraId="4B9CF544">
            <w:pPr>
              <w:spacing w:before="40" w:after="40"/>
              <w:jc w:val="center"/>
              <w:rPr>
                <w:rFonts w:ascii="Times New Roman" w:hAnsi="Times New Roman" w:cs="Times New Roman"/>
              </w:rPr>
            </w:pPr>
            <w:r>
              <w:rPr>
                <w:rFonts w:ascii="Times New Roman" w:hAnsi="Times New Roman" w:cs="Times New Roman"/>
                <w:sz w:val="22"/>
                <w:szCs w:val="22"/>
              </w:rPr>
              <w:t>1.126</w:t>
            </w:r>
          </w:p>
        </w:tc>
        <w:tc>
          <w:tcPr>
            <w:tcW w:w="978" w:type="dxa"/>
            <w:tcBorders>
              <w:top w:val="nil"/>
              <w:left w:val="nil"/>
              <w:bottom w:val="nil"/>
              <w:right w:val="nil"/>
            </w:tcBorders>
            <w:tcMar>
              <w:top w:w="23" w:type="dxa"/>
              <w:left w:w="6" w:type="dxa"/>
              <w:bottom w:w="23" w:type="dxa"/>
              <w:right w:w="6" w:type="dxa"/>
            </w:tcMar>
            <w:vAlign w:val="center"/>
          </w:tcPr>
          <w:p w14:paraId="7B25FBBB">
            <w:pPr>
              <w:spacing w:before="40" w:after="40"/>
              <w:jc w:val="center"/>
              <w:rPr>
                <w:rFonts w:ascii="Times New Roman" w:hAnsi="Times New Roman" w:cs="Times New Roman"/>
              </w:rPr>
            </w:pPr>
            <w:r>
              <w:rPr>
                <w:rFonts w:ascii="Times New Roman" w:hAnsi="Times New Roman" w:cs="Times New Roman"/>
                <w:sz w:val="22"/>
                <w:szCs w:val="22"/>
              </w:rPr>
              <w:t>4.111</w:t>
            </w:r>
          </w:p>
        </w:tc>
        <w:tc>
          <w:tcPr>
            <w:tcW w:w="1034" w:type="dxa"/>
            <w:tcBorders>
              <w:top w:val="nil"/>
              <w:left w:val="nil"/>
              <w:bottom w:val="nil"/>
              <w:right w:val="nil"/>
            </w:tcBorders>
            <w:tcMar>
              <w:top w:w="23" w:type="dxa"/>
              <w:left w:w="6" w:type="dxa"/>
              <w:bottom w:w="23" w:type="dxa"/>
              <w:right w:w="6" w:type="dxa"/>
            </w:tcMar>
            <w:vAlign w:val="center"/>
          </w:tcPr>
          <w:p w14:paraId="024E4589">
            <w:pPr>
              <w:spacing w:before="40" w:after="40"/>
              <w:jc w:val="center"/>
              <w:rPr>
                <w:rFonts w:ascii="Times New Roman" w:hAnsi="Times New Roman" w:cs="Times New Roman"/>
              </w:rPr>
            </w:pPr>
            <w:r>
              <w:rPr>
                <w:rFonts w:ascii="Times New Roman" w:hAnsi="Times New Roman" w:cs="Times New Roman"/>
                <w:sz w:val="22"/>
                <w:szCs w:val="22"/>
              </w:rPr>
              <w:t>11.750</w:t>
            </w:r>
          </w:p>
        </w:tc>
      </w:tr>
      <w:tr w14:paraId="1F4A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nil"/>
              <w:right w:val="nil"/>
            </w:tcBorders>
            <w:tcMar>
              <w:top w:w="23" w:type="dxa"/>
              <w:left w:w="6" w:type="dxa"/>
              <w:bottom w:w="23" w:type="dxa"/>
              <w:right w:w="6" w:type="dxa"/>
            </w:tcMar>
            <w:vAlign w:val="center"/>
          </w:tcPr>
          <w:p w14:paraId="261B4F03">
            <w:pPr>
              <w:spacing w:before="40" w:after="40"/>
              <w:jc w:val="center"/>
              <w:rPr>
                <w:rFonts w:ascii="Times New Roman" w:hAnsi="Times New Roman" w:cs="Times New Roman"/>
              </w:rPr>
            </w:pPr>
            <w:r>
              <w:rPr>
                <w:rFonts w:ascii="Times New Roman" w:hAnsi="Times New Roman" w:cs="Times New Roman"/>
                <w:sz w:val="22"/>
                <w:szCs w:val="22"/>
              </w:rPr>
              <w:t>ln_view（播放量对数）</w:t>
            </w:r>
          </w:p>
        </w:tc>
        <w:tc>
          <w:tcPr>
            <w:tcW w:w="1022" w:type="dxa"/>
            <w:tcBorders>
              <w:top w:val="nil"/>
              <w:left w:val="nil"/>
              <w:bottom w:val="nil"/>
              <w:right w:val="nil"/>
            </w:tcBorders>
            <w:tcMar>
              <w:top w:w="23" w:type="dxa"/>
              <w:left w:w="6" w:type="dxa"/>
              <w:bottom w:w="23" w:type="dxa"/>
              <w:right w:w="6" w:type="dxa"/>
            </w:tcMar>
            <w:vAlign w:val="center"/>
          </w:tcPr>
          <w:p w14:paraId="2D9D0987">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nil"/>
              <w:right w:val="nil"/>
            </w:tcBorders>
            <w:tcMar>
              <w:top w:w="23" w:type="dxa"/>
              <w:left w:w="6" w:type="dxa"/>
              <w:bottom w:w="23" w:type="dxa"/>
              <w:right w:w="6" w:type="dxa"/>
            </w:tcMar>
            <w:vAlign w:val="center"/>
          </w:tcPr>
          <w:p w14:paraId="6DA58F89">
            <w:pPr>
              <w:spacing w:before="40" w:after="40"/>
              <w:jc w:val="center"/>
              <w:rPr>
                <w:rFonts w:ascii="Times New Roman" w:hAnsi="Times New Roman" w:cs="Times New Roman"/>
              </w:rPr>
            </w:pPr>
            <w:r>
              <w:rPr>
                <w:rFonts w:ascii="Times New Roman" w:hAnsi="Times New Roman" w:cs="Times New Roman"/>
                <w:sz w:val="22"/>
                <w:szCs w:val="22"/>
              </w:rPr>
              <w:t>12.703</w:t>
            </w:r>
          </w:p>
        </w:tc>
        <w:tc>
          <w:tcPr>
            <w:tcW w:w="966" w:type="dxa"/>
            <w:tcBorders>
              <w:top w:val="nil"/>
              <w:left w:val="nil"/>
              <w:bottom w:val="nil"/>
              <w:right w:val="nil"/>
            </w:tcBorders>
            <w:tcMar>
              <w:top w:w="23" w:type="dxa"/>
              <w:left w:w="6" w:type="dxa"/>
              <w:bottom w:w="23" w:type="dxa"/>
              <w:right w:w="6" w:type="dxa"/>
            </w:tcMar>
            <w:vAlign w:val="center"/>
          </w:tcPr>
          <w:p w14:paraId="2638C937">
            <w:pPr>
              <w:spacing w:before="40" w:after="40"/>
              <w:jc w:val="center"/>
              <w:rPr>
                <w:rFonts w:ascii="Times New Roman" w:hAnsi="Times New Roman" w:cs="Times New Roman"/>
              </w:rPr>
            </w:pPr>
            <w:r>
              <w:rPr>
                <w:rFonts w:ascii="Times New Roman" w:hAnsi="Times New Roman" w:cs="Times New Roman"/>
                <w:sz w:val="22"/>
                <w:szCs w:val="22"/>
              </w:rPr>
              <w:t>2.014</w:t>
            </w:r>
          </w:p>
        </w:tc>
        <w:tc>
          <w:tcPr>
            <w:tcW w:w="978" w:type="dxa"/>
            <w:tcBorders>
              <w:top w:val="nil"/>
              <w:left w:val="nil"/>
              <w:bottom w:val="nil"/>
              <w:right w:val="nil"/>
            </w:tcBorders>
            <w:tcMar>
              <w:top w:w="23" w:type="dxa"/>
              <w:left w:w="6" w:type="dxa"/>
              <w:bottom w:w="23" w:type="dxa"/>
              <w:right w:w="6" w:type="dxa"/>
            </w:tcMar>
            <w:vAlign w:val="center"/>
          </w:tcPr>
          <w:p w14:paraId="2E5197EC">
            <w:pPr>
              <w:spacing w:before="40" w:after="40"/>
              <w:jc w:val="center"/>
              <w:rPr>
                <w:rFonts w:ascii="Times New Roman" w:hAnsi="Times New Roman" w:cs="Times New Roman"/>
              </w:rPr>
            </w:pPr>
            <w:r>
              <w:rPr>
                <w:rFonts w:ascii="Times New Roman" w:hAnsi="Times New Roman" w:cs="Times New Roman"/>
                <w:sz w:val="22"/>
                <w:szCs w:val="22"/>
              </w:rPr>
              <w:t>6.229</w:t>
            </w:r>
          </w:p>
        </w:tc>
        <w:tc>
          <w:tcPr>
            <w:tcW w:w="1034" w:type="dxa"/>
            <w:tcBorders>
              <w:top w:val="nil"/>
              <w:left w:val="nil"/>
              <w:bottom w:val="nil"/>
              <w:right w:val="nil"/>
            </w:tcBorders>
            <w:tcMar>
              <w:top w:w="23" w:type="dxa"/>
              <w:left w:w="6" w:type="dxa"/>
              <w:bottom w:w="23" w:type="dxa"/>
              <w:right w:w="6" w:type="dxa"/>
            </w:tcMar>
            <w:vAlign w:val="center"/>
          </w:tcPr>
          <w:p w14:paraId="4BA633C3">
            <w:pPr>
              <w:spacing w:before="40" w:after="40"/>
              <w:jc w:val="center"/>
              <w:rPr>
                <w:rFonts w:ascii="Times New Roman" w:hAnsi="Times New Roman" w:cs="Times New Roman"/>
              </w:rPr>
            </w:pPr>
            <w:r>
              <w:rPr>
                <w:rFonts w:ascii="Times New Roman" w:hAnsi="Times New Roman" w:cs="Times New Roman"/>
                <w:sz w:val="22"/>
                <w:szCs w:val="22"/>
              </w:rPr>
              <w:t>17.520</w:t>
            </w:r>
          </w:p>
        </w:tc>
      </w:tr>
      <w:tr w14:paraId="4E45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26" w:type="dxa"/>
            <w:tcBorders>
              <w:top w:val="nil"/>
              <w:left w:val="nil"/>
              <w:bottom w:val="single" w:color="000000" w:sz="12" w:space="0"/>
              <w:right w:val="nil"/>
            </w:tcBorders>
            <w:tcMar>
              <w:top w:w="23" w:type="dxa"/>
              <w:left w:w="6" w:type="dxa"/>
              <w:bottom w:w="23" w:type="dxa"/>
              <w:right w:w="6" w:type="dxa"/>
            </w:tcMar>
            <w:vAlign w:val="center"/>
          </w:tcPr>
          <w:p w14:paraId="75042F9C">
            <w:pPr>
              <w:spacing w:before="40" w:after="40"/>
              <w:jc w:val="center"/>
              <w:rPr>
                <w:rFonts w:ascii="Times New Roman" w:hAnsi="Times New Roman" w:cs="Times New Roman"/>
              </w:rPr>
            </w:pPr>
            <w:r>
              <w:rPr>
                <w:rFonts w:ascii="Times New Roman" w:hAnsi="Times New Roman" w:cs="Times New Roman"/>
                <w:sz w:val="22"/>
                <w:szCs w:val="22"/>
              </w:rPr>
              <w:t>ln_fans（粉丝数对数）</w:t>
            </w:r>
          </w:p>
        </w:tc>
        <w:tc>
          <w:tcPr>
            <w:tcW w:w="1022" w:type="dxa"/>
            <w:tcBorders>
              <w:top w:val="nil"/>
              <w:left w:val="nil"/>
              <w:bottom w:val="single" w:color="000000" w:sz="12" w:space="0"/>
              <w:right w:val="nil"/>
            </w:tcBorders>
            <w:tcMar>
              <w:top w:w="23" w:type="dxa"/>
              <w:left w:w="6" w:type="dxa"/>
              <w:bottom w:w="23" w:type="dxa"/>
              <w:right w:w="6" w:type="dxa"/>
            </w:tcMar>
            <w:vAlign w:val="center"/>
          </w:tcPr>
          <w:p w14:paraId="071AB4EB">
            <w:pPr>
              <w:spacing w:before="40" w:after="40"/>
              <w:jc w:val="center"/>
              <w:rPr>
                <w:rFonts w:ascii="Times New Roman" w:hAnsi="Times New Roman" w:cs="Times New Roman"/>
              </w:rPr>
            </w:pPr>
            <w:r>
              <w:rPr>
                <w:rFonts w:ascii="Times New Roman" w:hAnsi="Times New Roman" w:cs="Times New Roman"/>
                <w:sz w:val="22"/>
                <w:szCs w:val="22"/>
              </w:rPr>
              <w:t>7,050</w:t>
            </w:r>
          </w:p>
        </w:tc>
        <w:tc>
          <w:tcPr>
            <w:tcW w:w="1067" w:type="dxa"/>
            <w:tcBorders>
              <w:top w:val="nil"/>
              <w:left w:val="nil"/>
              <w:bottom w:val="single" w:color="000000" w:sz="12" w:space="0"/>
              <w:right w:val="nil"/>
            </w:tcBorders>
            <w:tcMar>
              <w:top w:w="23" w:type="dxa"/>
              <w:left w:w="6" w:type="dxa"/>
              <w:bottom w:w="23" w:type="dxa"/>
              <w:right w:w="6" w:type="dxa"/>
            </w:tcMar>
            <w:vAlign w:val="center"/>
          </w:tcPr>
          <w:p w14:paraId="394A2373">
            <w:pPr>
              <w:spacing w:before="40" w:after="40"/>
              <w:jc w:val="center"/>
              <w:rPr>
                <w:rFonts w:ascii="Times New Roman" w:hAnsi="Times New Roman" w:cs="Times New Roman"/>
              </w:rPr>
            </w:pPr>
            <w:r>
              <w:rPr>
                <w:rFonts w:ascii="Times New Roman" w:hAnsi="Times New Roman" w:cs="Times New Roman"/>
                <w:sz w:val="22"/>
                <w:szCs w:val="22"/>
              </w:rPr>
              <w:t>13.481</w:t>
            </w:r>
          </w:p>
        </w:tc>
        <w:tc>
          <w:tcPr>
            <w:tcW w:w="966" w:type="dxa"/>
            <w:tcBorders>
              <w:top w:val="nil"/>
              <w:left w:val="nil"/>
              <w:bottom w:val="single" w:color="000000" w:sz="12" w:space="0"/>
              <w:right w:val="nil"/>
            </w:tcBorders>
            <w:tcMar>
              <w:top w:w="23" w:type="dxa"/>
              <w:left w:w="6" w:type="dxa"/>
              <w:bottom w:w="23" w:type="dxa"/>
              <w:right w:w="6" w:type="dxa"/>
            </w:tcMar>
            <w:vAlign w:val="center"/>
          </w:tcPr>
          <w:p w14:paraId="5094214E">
            <w:pPr>
              <w:spacing w:before="40" w:after="40"/>
              <w:jc w:val="center"/>
              <w:rPr>
                <w:rFonts w:ascii="Times New Roman" w:hAnsi="Times New Roman" w:cs="Times New Roman"/>
              </w:rPr>
            </w:pPr>
            <w:r>
              <w:rPr>
                <w:rFonts w:ascii="Times New Roman" w:hAnsi="Times New Roman" w:cs="Times New Roman"/>
                <w:sz w:val="22"/>
                <w:szCs w:val="22"/>
              </w:rPr>
              <w:t>2.145</w:t>
            </w:r>
          </w:p>
        </w:tc>
        <w:tc>
          <w:tcPr>
            <w:tcW w:w="978" w:type="dxa"/>
            <w:tcBorders>
              <w:top w:val="nil"/>
              <w:left w:val="nil"/>
              <w:bottom w:val="single" w:color="000000" w:sz="12" w:space="0"/>
              <w:right w:val="nil"/>
            </w:tcBorders>
            <w:tcMar>
              <w:top w:w="23" w:type="dxa"/>
              <w:left w:w="6" w:type="dxa"/>
              <w:bottom w:w="23" w:type="dxa"/>
              <w:right w:w="6" w:type="dxa"/>
            </w:tcMar>
            <w:vAlign w:val="center"/>
          </w:tcPr>
          <w:p w14:paraId="020408E7">
            <w:pPr>
              <w:spacing w:before="40" w:after="40"/>
              <w:jc w:val="center"/>
              <w:rPr>
                <w:rFonts w:ascii="Times New Roman" w:hAnsi="Times New Roman" w:cs="Times New Roman"/>
              </w:rPr>
            </w:pPr>
            <w:r>
              <w:rPr>
                <w:rFonts w:ascii="Times New Roman" w:hAnsi="Times New Roman" w:cs="Times New Roman"/>
                <w:sz w:val="22"/>
                <w:szCs w:val="22"/>
              </w:rPr>
              <w:t>0.000</w:t>
            </w:r>
          </w:p>
        </w:tc>
        <w:tc>
          <w:tcPr>
            <w:tcW w:w="1034" w:type="dxa"/>
            <w:tcBorders>
              <w:top w:val="nil"/>
              <w:left w:val="nil"/>
              <w:bottom w:val="single" w:color="000000" w:sz="12" w:space="0"/>
              <w:right w:val="nil"/>
            </w:tcBorders>
            <w:tcMar>
              <w:top w:w="23" w:type="dxa"/>
              <w:left w:w="6" w:type="dxa"/>
              <w:bottom w:w="23" w:type="dxa"/>
              <w:right w:w="6" w:type="dxa"/>
            </w:tcMar>
            <w:vAlign w:val="center"/>
          </w:tcPr>
          <w:p w14:paraId="05D153BE">
            <w:pPr>
              <w:spacing w:before="40" w:after="40"/>
              <w:jc w:val="center"/>
              <w:rPr>
                <w:rFonts w:ascii="Times New Roman" w:hAnsi="Times New Roman" w:cs="Times New Roman"/>
              </w:rPr>
            </w:pPr>
            <w:r>
              <w:rPr>
                <w:rFonts w:ascii="Times New Roman" w:hAnsi="Times New Roman" w:cs="Times New Roman"/>
                <w:sz w:val="22"/>
                <w:szCs w:val="22"/>
              </w:rPr>
              <w:t>17.289</w:t>
            </w:r>
          </w:p>
        </w:tc>
      </w:tr>
    </w:tbl>
    <w:p w14:paraId="7455CE8D">
      <w:pPr>
        <w:spacing w:before="60" w:after="200"/>
        <w:rPr>
          <w:rFonts w:ascii="Times New Roman" w:hAnsi="Times New Roman" w:cs="Times New Roman"/>
        </w:rPr>
      </w:pPr>
      <w:r>
        <w:rPr>
          <w:rFonts w:ascii="Times New Roman" w:hAnsi="Times New Roman" w:cs="Times New Roman"/>
          <w:sz w:val="18"/>
          <w:szCs w:val="18"/>
        </w:rPr>
        <w:t>注：各统计量均基于有效样本计算；ln_fans因在个体固定效应模型中被完全吸收，回归部分未单独报告。</w:t>
      </w:r>
    </w:p>
    <w:p w14:paraId="1AA98686">
      <w:pPr>
        <w:spacing w:before="300" w:after="150"/>
        <w:outlineLvl w:val="2"/>
        <w:rPr>
          <w:rFonts w:ascii="Times New Roman" w:hAnsi="Times New Roman" w:eastAsia="黑体" w:cs="Times New Roman"/>
          <w:b/>
          <w:bCs/>
          <w:sz w:val="28"/>
          <w:szCs w:val="28"/>
        </w:rPr>
      </w:pPr>
      <w:bookmarkStart w:id="66" w:name="_Toc24578"/>
      <w:r>
        <w:rPr>
          <w:rFonts w:ascii="Times New Roman" w:hAnsi="Times New Roman" w:eastAsia="黑体" w:cs="Times New Roman"/>
          <w:b/>
          <w:bCs/>
          <w:sz w:val="28"/>
          <w:szCs w:val="28"/>
        </w:rPr>
        <w:t>5.2  基准回归分析</w:t>
      </w:r>
      <w:bookmarkEnd w:id="66"/>
    </w:p>
    <w:p w14:paraId="7F8964AB">
      <w:pPr>
        <w:spacing w:line="288" w:lineRule="auto"/>
        <w:ind w:firstLine="480"/>
        <w:rPr>
          <w:rFonts w:ascii="Times New Roman" w:hAnsi="Times New Roman" w:cs="Times New Roman"/>
        </w:rPr>
      </w:pPr>
      <w:r>
        <w:rPr>
          <w:rFonts w:ascii="Times New Roman" w:hAnsi="Times New Roman" w:cs="Times New Roman"/>
        </w:rPr>
        <w:t>表5报告了逐步回归的五列结果，用以检验投币激励对内容质量的直接影响（H1），同时考察系数在加入不同控制变量后的稳定性。</w:t>
      </w:r>
    </w:p>
    <w:p w14:paraId="5C5F18F1">
      <w:pPr>
        <w:spacing w:line="288" w:lineRule="auto"/>
        <w:ind w:firstLine="480"/>
        <w:rPr>
          <w:rFonts w:ascii="Times New Roman" w:hAnsi="Times New Roman" w:cs="Times New Roman"/>
        </w:rPr>
      </w:pPr>
      <w:r>
        <w:rPr>
          <w:rFonts w:ascii="Times New Roman" w:hAnsi="Times New Roman" w:cs="Times New Roman"/>
        </w:rPr>
        <w:t>模型一（M1）仅纳入核心解释变量L2_ln_coin，系数为0.750，在1%水平显著（t=3.829），初步确认了投币激励对内容质量的正向效应。模型二（M2）进一步加入同期其他互动变量（L2_ln_like与L2_ln_fav）作为对照，L2_ln_coin系数上升至2.404（t=5.551），同时L2_ln_fav的系数显著为负（-1.920，t=-4.659），反映出收藏与投币在激励信号上存在一定的替代竞争关系——收藏行为兼具“稍后再看”的工具属性，对内容质量认可程度的代理效度弱于投币，控制收藏后投币系数反而放大，说明二者所传递的信号确有质性差异。模型三（M3）加入视频特征控制变量后，L2_ln_coin系数小幅调整为2.295（t=5.603），ln_duration显著为正（4.217，t=8.365），</w:t>
      </w:r>
      <w:commentRangeStart w:id="9"/>
      <w:r>
        <w:rPr>
          <w:rFonts w:ascii="Times New Roman" w:hAnsi="Times New Roman" w:cs="Times New Roman"/>
        </w:rPr>
        <w:t>ln_view显著为负（-0.851，t=-2.951），说明视频时长越长内容质量越高，而播放量越大的视频由于受众范围扩大，内容质量指数反而倾向于摊薄。</w:t>
      </w:r>
      <w:commentRangeEnd w:id="9"/>
      <w:r>
        <w:rPr>
          <w:rStyle w:val="23"/>
        </w:rPr>
        <w:commentReference w:id="9"/>
      </w:r>
      <w:r>
        <w:rPr>
          <w:rFonts w:ascii="Times New Roman" w:hAnsi="Times New Roman" w:cs="Times New Roman"/>
        </w:rPr>
        <w:t>模型四（M4）在M3基础上加入年份和月份固定效应后，L2_ln_coin系数下降至1.428（t=4.611，p&lt;0.01），这一回落符合预期——时间固定效应吸收了平台内容质量的整体趋势性下滑（年度虚拟变量系数持续显著为负，反映自2020年起平台知识区整体内容质量指数逐年下降），因此加入时间效应后纯投币效应更为保守。模型四为本文的基准回归，核心结论为：</w:t>
      </w:r>
      <w:commentRangeStart w:id="10"/>
      <w:r>
        <w:rPr>
          <w:rFonts w:ascii="Times New Roman" w:hAnsi="Times New Roman" w:cs="Times New Roman"/>
        </w:rPr>
        <w:t>在控制其他互动变量、视频特征及双向固定效应后，滞后两期投币数每增加1%，内容质量指数平均提升约1.428个单位</w:t>
      </w:r>
      <w:commentRangeEnd w:id="10"/>
      <w:r>
        <w:rPr>
          <w:rStyle w:val="23"/>
        </w:rPr>
        <w:commentReference w:id="10"/>
      </w:r>
      <w:r>
        <w:rPr>
          <w:rFonts w:ascii="Times New Roman" w:hAnsi="Times New Roman" w:cs="Times New Roman"/>
        </w:rPr>
        <w:t>，H1得到支持。</w:t>
      </w:r>
    </w:p>
    <w:p w14:paraId="1B06D62F">
      <w:pPr>
        <w:spacing w:line="288" w:lineRule="auto"/>
        <w:ind w:firstLine="480"/>
        <w:rPr>
          <w:rFonts w:ascii="Times New Roman" w:hAnsi="Times New Roman" w:cs="Times New Roman"/>
        </w:rPr>
      </w:pPr>
      <w:r>
        <w:rPr>
          <w:rFonts w:ascii="Times New Roman" w:hAnsi="Times New Roman" w:cs="Times New Roman"/>
        </w:rPr>
        <w:t>模型五（M5）在完整模型基础上进一步加入分享数对数（ln_share），用于H4流量信号的对照检验。结果显示，加入ln_share后L2_ln_coin系数仅小幅下调至1.295（t=4.369），保持高度显著，说明投币的激励效应在控制流量信号后依然稳健；而ln_share本身系数为3.381（t=9.604，p&lt;0.01），高度显著为正，这一结果将在机制分析部分（5.5节）进行系统讨论。</w:t>
      </w:r>
    </w:p>
    <w:p w14:paraId="28145D9F">
      <w:pPr>
        <w:spacing w:line="288" w:lineRule="auto"/>
        <w:ind w:firstLine="480"/>
        <w:rPr>
          <w:rFonts w:ascii="Times New Roman" w:hAnsi="Times New Roman" w:cs="Times New Roman"/>
        </w:rPr>
      </w:pPr>
      <w:r>
        <w:rPr>
          <w:rFonts w:ascii="Times New Roman" w:hAnsi="Times New Roman" w:cs="Times New Roman"/>
        </w:rPr>
        <w:t>值得注意的是，点赞数变量（L2_ln_like）在M2至M5各列均未达到统计显著水平。这一结果提示，在控制了投币与收藏后，点赞行为对内容质量的边际解释力极为有限，与本文关于“低成本互动信号无法有效传递质量认可信息”的理论预期相符。ln_fans由于在双向固定效应模型中被个体固定效应完全吸收（自动被省略），在基准回归中不单独报告。</w:t>
      </w:r>
    </w:p>
    <w:p w14:paraId="4170FC6D">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 xml:space="preserve"> 基准逐步回归结果</w:t>
      </w:r>
    </w:p>
    <w:tbl>
      <w:tblPr>
        <w:tblStyle w:val="19"/>
        <w:tblW w:w="94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300"/>
        <w:gridCol w:w="1300"/>
        <w:gridCol w:w="1300"/>
        <w:gridCol w:w="1300"/>
        <w:gridCol w:w="2056"/>
      </w:tblGrid>
      <w:tr w14:paraId="1648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10" w:space="0"/>
              <w:left w:val="nil"/>
              <w:bottom w:val="single" w:color="000000" w:sz="10" w:space="0"/>
              <w:right w:val="nil"/>
            </w:tcBorders>
            <w:tcMar>
              <w:top w:w="0" w:type="dxa"/>
              <w:left w:w="45" w:type="dxa"/>
              <w:bottom w:w="0" w:type="dxa"/>
              <w:right w:w="45" w:type="dxa"/>
            </w:tcMar>
            <w:vAlign w:val="center"/>
          </w:tcPr>
          <w:p w14:paraId="41E76B2D">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1300" w:type="dxa"/>
            <w:tcBorders>
              <w:top w:val="single" w:color="000000" w:sz="10" w:space="0"/>
              <w:left w:val="nil"/>
              <w:bottom w:val="single" w:color="000000" w:sz="10" w:space="0"/>
              <w:right w:val="nil"/>
            </w:tcBorders>
            <w:tcMar>
              <w:top w:w="0" w:type="dxa"/>
              <w:left w:w="45" w:type="dxa"/>
              <w:bottom w:w="0" w:type="dxa"/>
              <w:right w:w="45" w:type="dxa"/>
            </w:tcMar>
            <w:vAlign w:val="center"/>
          </w:tcPr>
          <w:p w14:paraId="583B287E">
            <w:pPr>
              <w:spacing w:before="20" w:after="20"/>
              <w:jc w:val="center"/>
              <w:rPr>
                <w:rFonts w:ascii="Times New Roman" w:hAnsi="Times New Roman" w:cs="Times New Roman"/>
              </w:rPr>
            </w:pPr>
            <w:r>
              <w:rPr>
                <w:rFonts w:ascii="Times New Roman" w:hAnsi="Times New Roman" w:eastAsia="Times New Roman" w:cs="Times New Roman"/>
                <w:b/>
                <w:bCs/>
                <w:sz w:val="20"/>
                <w:szCs w:val="20"/>
              </w:rPr>
              <w:t>M1</w:t>
            </w:r>
          </w:p>
        </w:tc>
        <w:tc>
          <w:tcPr>
            <w:tcW w:w="1300" w:type="dxa"/>
            <w:tcBorders>
              <w:top w:val="single" w:color="000000" w:sz="10" w:space="0"/>
              <w:left w:val="nil"/>
              <w:bottom w:val="single" w:color="000000" w:sz="10" w:space="0"/>
              <w:right w:val="nil"/>
            </w:tcBorders>
            <w:tcMar>
              <w:top w:w="0" w:type="dxa"/>
              <w:left w:w="45" w:type="dxa"/>
              <w:bottom w:w="0" w:type="dxa"/>
              <w:right w:w="45" w:type="dxa"/>
            </w:tcMar>
            <w:vAlign w:val="center"/>
          </w:tcPr>
          <w:p w14:paraId="26CA1C81">
            <w:pPr>
              <w:spacing w:before="20" w:after="20"/>
              <w:jc w:val="center"/>
              <w:rPr>
                <w:rFonts w:ascii="Times New Roman" w:hAnsi="Times New Roman" w:cs="Times New Roman"/>
              </w:rPr>
            </w:pPr>
            <w:r>
              <w:rPr>
                <w:rFonts w:ascii="Times New Roman" w:hAnsi="Times New Roman" w:eastAsia="Times New Roman" w:cs="Times New Roman"/>
                <w:b/>
                <w:bCs/>
                <w:sz w:val="20"/>
                <w:szCs w:val="20"/>
              </w:rPr>
              <w:t>M2</w:t>
            </w:r>
          </w:p>
        </w:tc>
        <w:tc>
          <w:tcPr>
            <w:tcW w:w="1300" w:type="dxa"/>
            <w:tcBorders>
              <w:top w:val="single" w:color="000000" w:sz="10" w:space="0"/>
              <w:left w:val="nil"/>
              <w:bottom w:val="single" w:color="000000" w:sz="10" w:space="0"/>
              <w:right w:val="nil"/>
            </w:tcBorders>
            <w:tcMar>
              <w:top w:w="0" w:type="dxa"/>
              <w:left w:w="45" w:type="dxa"/>
              <w:bottom w:w="0" w:type="dxa"/>
              <w:right w:w="45" w:type="dxa"/>
            </w:tcMar>
            <w:vAlign w:val="center"/>
          </w:tcPr>
          <w:p w14:paraId="486A889A">
            <w:pPr>
              <w:spacing w:before="20" w:after="20"/>
              <w:jc w:val="center"/>
              <w:rPr>
                <w:rFonts w:ascii="Times New Roman" w:hAnsi="Times New Roman" w:cs="Times New Roman"/>
              </w:rPr>
            </w:pPr>
            <w:r>
              <w:rPr>
                <w:rFonts w:ascii="Times New Roman" w:hAnsi="Times New Roman" w:eastAsia="Times New Roman" w:cs="Times New Roman"/>
                <w:b/>
                <w:bCs/>
                <w:sz w:val="20"/>
                <w:szCs w:val="20"/>
              </w:rPr>
              <w:t>M3</w:t>
            </w:r>
          </w:p>
        </w:tc>
        <w:tc>
          <w:tcPr>
            <w:tcW w:w="1300" w:type="dxa"/>
            <w:tcBorders>
              <w:top w:val="single" w:color="000000" w:sz="10" w:space="0"/>
              <w:left w:val="nil"/>
              <w:bottom w:val="single" w:color="000000" w:sz="10" w:space="0"/>
              <w:right w:val="nil"/>
            </w:tcBorders>
            <w:tcMar>
              <w:top w:w="0" w:type="dxa"/>
              <w:left w:w="45" w:type="dxa"/>
              <w:bottom w:w="0" w:type="dxa"/>
              <w:right w:w="45" w:type="dxa"/>
            </w:tcMar>
            <w:vAlign w:val="center"/>
          </w:tcPr>
          <w:p w14:paraId="3393B753">
            <w:pPr>
              <w:spacing w:before="20" w:after="20"/>
              <w:jc w:val="center"/>
              <w:rPr>
                <w:rFonts w:ascii="Times New Roman" w:hAnsi="Times New Roman" w:cs="Times New Roman"/>
              </w:rPr>
            </w:pPr>
            <w:r>
              <w:rPr>
                <w:rFonts w:ascii="Times New Roman" w:hAnsi="Times New Roman" w:eastAsia="Times New Roman" w:cs="Times New Roman"/>
                <w:b/>
                <w:bCs/>
                <w:sz w:val="20"/>
                <w:szCs w:val="20"/>
              </w:rPr>
              <w:t>M4</w:t>
            </w:r>
          </w:p>
        </w:tc>
        <w:tc>
          <w:tcPr>
            <w:tcW w:w="2056" w:type="dxa"/>
            <w:tcBorders>
              <w:top w:val="single" w:color="000000" w:sz="10" w:space="0"/>
              <w:left w:val="nil"/>
              <w:bottom w:val="single" w:color="000000" w:sz="10" w:space="0"/>
              <w:right w:val="nil"/>
            </w:tcBorders>
            <w:tcMar>
              <w:top w:w="0" w:type="dxa"/>
              <w:left w:w="45" w:type="dxa"/>
              <w:bottom w:w="0" w:type="dxa"/>
              <w:right w:w="45" w:type="dxa"/>
            </w:tcMar>
            <w:vAlign w:val="center"/>
          </w:tcPr>
          <w:p w14:paraId="56F0CC17">
            <w:pPr>
              <w:spacing w:before="20" w:after="20"/>
              <w:jc w:val="center"/>
              <w:rPr>
                <w:rFonts w:ascii="Times New Roman" w:hAnsi="Times New Roman" w:cs="Times New Roman"/>
              </w:rPr>
            </w:pPr>
            <w:r>
              <w:rPr>
                <w:rFonts w:ascii="Times New Roman" w:hAnsi="Times New Roman" w:eastAsia="Times New Roman" w:cs="Times New Roman"/>
                <w:b/>
                <w:bCs/>
                <w:sz w:val="20"/>
                <w:szCs w:val="20"/>
              </w:rPr>
              <w:t>M5</w:t>
            </w:r>
          </w:p>
        </w:tc>
      </w:tr>
      <w:tr w14:paraId="3AF0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38092457">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w:t>
            </w:r>
          </w:p>
        </w:tc>
        <w:tc>
          <w:tcPr>
            <w:tcW w:w="1300" w:type="dxa"/>
            <w:tcBorders>
              <w:top w:val="nil"/>
              <w:left w:val="nil"/>
              <w:bottom w:val="nil"/>
              <w:right w:val="nil"/>
            </w:tcBorders>
            <w:tcMar>
              <w:top w:w="0" w:type="dxa"/>
              <w:left w:w="45" w:type="dxa"/>
              <w:bottom w:w="0" w:type="dxa"/>
              <w:right w:w="45" w:type="dxa"/>
            </w:tcMar>
            <w:vAlign w:val="center"/>
          </w:tcPr>
          <w:p w14:paraId="3C1FEE32">
            <w:pPr>
              <w:spacing w:before="20" w:after="20"/>
              <w:jc w:val="center"/>
              <w:rPr>
                <w:rFonts w:ascii="Times New Roman" w:hAnsi="Times New Roman" w:cs="Times New Roman"/>
              </w:rPr>
            </w:pPr>
            <w:r>
              <w:rPr>
                <w:rFonts w:ascii="Times New Roman" w:hAnsi="Times New Roman" w:eastAsia="Times New Roman" w:cs="Times New Roman"/>
                <w:sz w:val="20"/>
                <w:szCs w:val="20"/>
              </w:rPr>
              <w:t>0.750***</w:t>
            </w:r>
          </w:p>
        </w:tc>
        <w:tc>
          <w:tcPr>
            <w:tcW w:w="1300" w:type="dxa"/>
            <w:tcBorders>
              <w:top w:val="nil"/>
              <w:left w:val="nil"/>
              <w:bottom w:val="nil"/>
              <w:right w:val="nil"/>
            </w:tcBorders>
            <w:tcMar>
              <w:top w:w="0" w:type="dxa"/>
              <w:left w:w="45" w:type="dxa"/>
              <w:bottom w:w="0" w:type="dxa"/>
              <w:right w:w="45" w:type="dxa"/>
            </w:tcMar>
            <w:vAlign w:val="center"/>
          </w:tcPr>
          <w:p w14:paraId="01EA705A">
            <w:pPr>
              <w:spacing w:before="20" w:after="20"/>
              <w:jc w:val="center"/>
              <w:rPr>
                <w:rFonts w:ascii="Times New Roman" w:hAnsi="Times New Roman" w:cs="Times New Roman"/>
              </w:rPr>
            </w:pPr>
            <w:r>
              <w:rPr>
                <w:rFonts w:ascii="Times New Roman" w:hAnsi="Times New Roman" w:eastAsia="Times New Roman" w:cs="Times New Roman"/>
                <w:sz w:val="20"/>
                <w:szCs w:val="20"/>
              </w:rPr>
              <w:t>2.404***</w:t>
            </w:r>
          </w:p>
        </w:tc>
        <w:tc>
          <w:tcPr>
            <w:tcW w:w="1300" w:type="dxa"/>
            <w:tcBorders>
              <w:top w:val="nil"/>
              <w:left w:val="nil"/>
              <w:bottom w:val="nil"/>
              <w:right w:val="nil"/>
            </w:tcBorders>
            <w:tcMar>
              <w:top w:w="0" w:type="dxa"/>
              <w:left w:w="45" w:type="dxa"/>
              <w:bottom w:w="0" w:type="dxa"/>
              <w:right w:w="45" w:type="dxa"/>
            </w:tcMar>
            <w:vAlign w:val="center"/>
          </w:tcPr>
          <w:p w14:paraId="6AE7ADD7">
            <w:pPr>
              <w:spacing w:before="20" w:after="20"/>
              <w:jc w:val="center"/>
              <w:rPr>
                <w:rFonts w:ascii="Times New Roman" w:hAnsi="Times New Roman" w:cs="Times New Roman"/>
              </w:rPr>
            </w:pPr>
            <w:r>
              <w:rPr>
                <w:rFonts w:ascii="Times New Roman" w:hAnsi="Times New Roman" w:eastAsia="Times New Roman" w:cs="Times New Roman"/>
                <w:sz w:val="20"/>
                <w:szCs w:val="20"/>
              </w:rPr>
              <w:t>2.295***</w:t>
            </w:r>
          </w:p>
        </w:tc>
        <w:tc>
          <w:tcPr>
            <w:tcW w:w="1300" w:type="dxa"/>
            <w:tcBorders>
              <w:top w:val="nil"/>
              <w:left w:val="nil"/>
              <w:bottom w:val="nil"/>
              <w:right w:val="nil"/>
            </w:tcBorders>
            <w:tcMar>
              <w:top w:w="0" w:type="dxa"/>
              <w:left w:w="45" w:type="dxa"/>
              <w:bottom w:w="0" w:type="dxa"/>
              <w:right w:w="45" w:type="dxa"/>
            </w:tcMar>
            <w:vAlign w:val="center"/>
          </w:tcPr>
          <w:p w14:paraId="63BE45DE">
            <w:pPr>
              <w:spacing w:before="20" w:after="20"/>
              <w:jc w:val="center"/>
              <w:rPr>
                <w:rFonts w:ascii="Times New Roman" w:hAnsi="Times New Roman" w:cs="Times New Roman"/>
              </w:rPr>
            </w:pPr>
            <w:r>
              <w:rPr>
                <w:rFonts w:ascii="Times New Roman" w:hAnsi="Times New Roman" w:eastAsia="Times New Roman" w:cs="Times New Roman"/>
                <w:sz w:val="20"/>
                <w:szCs w:val="20"/>
              </w:rPr>
              <w:t>1.428***</w:t>
            </w:r>
          </w:p>
        </w:tc>
        <w:tc>
          <w:tcPr>
            <w:tcW w:w="2056" w:type="dxa"/>
            <w:tcBorders>
              <w:top w:val="nil"/>
              <w:left w:val="nil"/>
              <w:bottom w:val="nil"/>
              <w:right w:val="nil"/>
            </w:tcBorders>
            <w:tcMar>
              <w:top w:w="0" w:type="dxa"/>
              <w:left w:w="45" w:type="dxa"/>
              <w:bottom w:w="0" w:type="dxa"/>
              <w:right w:w="45" w:type="dxa"/>
            </w:tcMar>
            <w:vAlign w:val="center"/>
          </w:tcPr>
          <w:p w14:paraId="4B84BA22">
            <w:pPr>
              <w:spacing w:before="20" w:after="20"/>
              <w:jc w:val="center"/>
              <w:rPr>
                <w:rFonts w:ascii="Times New Roman" w:hAnsi="Times New Roman" w:cs="Times New Roman"/>
              </w:rPr>
            </w:pPr>
            <w:r>
              <w:rPr>
                <w:rFonts w:ascii="Times New Roman" w:hAnsi="Times New Roman" w:eastAsia="Times New Roman" w:cs="Times New Roman"/>
                <w:sz w:val="20"/>
                <w:szCs w:val="20"/>
              </w:rPr>
              <w:t>1.295***</w:t>
            </w:r>
          </w:p>
        </w:tc>
      </w:tr>
      <w:tr w14:paraId="6B3B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26EC7D3D">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3AA7462F">
            <w:pPr>
              <w:spacing w:before="20" w:after="20"/>
              <w:jc w:val="center"/>
              <w:rPr>
                <w:rFonts w:ascii="Times New Roman" w:hAnsi="Times New Roman" w:cs="Times New Roman"/>
              </w:rPr>
            </w:pPr>
            <w:r>
              <w:rPr>
                <w:rFonts w:ascii="Times New Roman" w:hAnsi="Times New Roman" w:eastAsia="Times New Roman" w:cs="Times New Roman"/>
                <w:sz w:val="20"/>
                <w:szCs w:val="20"/>
              </w:rPr>
              <w:t>(3.829)</w:t>
            </w:r>
          </w:p>
        </w:tc>
        <w:tc>
          <w:tcPr>
            <w:tcW w:w="1300" w:type="dxa"/>
            <w:tcBorders>
              <w:top w:val="nil"/>
              <w:left w:val="nil"/>
              <w:bottom w:val="nil"/>
              <w:right w:val="nil"/>
            </w:tcBorders>
            <w:tcMar>
              <w:top w:w="0" w:type="dxa"/>
              <w:left w:w="45" w:type="dxa"/>
              <w:bottom w:w="0" w:type="dxa"/>
              <w:right w:w="45" w:type="dxa"/>
            </w:tcMar>
            <w:vAlign w:val="center"/>
          </w:tcPr>
          <w:p w14:paraId="6D6F03DF">
            <w:pPr>
              <w:spacing w:before="20" w:after="20"/>
              <w:jc w:val="center"/>
              <w:rPr>
                <w:rFonts w:ascii="Times New Roman" w:hAnsi="Times New Roman" w:cs="Times New Roman"/>
              </w:rPr>
            </w:pPr>
            <w:r>
              <w:rPr>
                <w:rFonts w:ascii="Times New Roman" w:hAnsi="Times New Roman" w:eastAsia="Times New Roman" w:cs="Times New Roman"/>
                <w:sz w:val="20"/>
                <w:szCs w:val="20"/>
              </w:rPr>
              <w:t>(5.551)</w:t>
            </w:r>
          </w:p>
        </w:tc>
        <w:tc>
          <w:tcPr>
            <w:tcW w:w="1300" w:type="dxa"/>
            <w:tcBorders>
              <w:top w:val="nil"/>
              <w:left w:val="nil"/>
              <w:bottom w:val="nil"/>
              <w:right w:val="nil"/>
            </w:tcBorders>
            <w:tcMar>
              <w:top w:w="0" w:type="dxa"/>
              <w:left w:w="45" w:type="dxa"/>
              <w:bottom w:w="0" w:type="dxa"/>
              <w:right w:w="45" w:type="dxa"/>
            </w:tcMar>
            <w:vAlign w:val="center"/>
          </w:tcPr>
          <w:p w14:paraId="4AEA0F9A">
            <w:pPr>
              <w:spacing w:before="20" w:after="20"/>
              <w:jc w:val="center"/>
              <w:rPr>
                <w:rFonts w:ascii="Times New Roman" w:hAnsi="Times New Roman" w:cs="Times New Roman"/>
              </w:rPr>
            </w:pPr>
            <w:r>
              <w:rPr>
                <w:rFonts w:ascii="Times New Roman" w:hAnsi="Times New Roman" w:eastAsia="Times New Roman" w:cs="Times New Roman"/>
                <w:sz w:val="20"/>
                <w:szCs w:val="20"/>
              </w:rPr>
              <w:t>(5.603)</w:t>
            </w:r>
          </w:p>
        </w:tc>
        <w:tc>
          <w:tcPr>
            <w:tcW w:w="1300" w:type="dxa"/>
            <w:tcBorders>
              <w:top w:val="nil"/>
              <w:left w:val="nil"/>
              <w:bottom w:val="nil"/>
              <w:right w:val="nil"/>
            </w:tcBorders>
            <w:tcMar>
              <w:top w:w="0" w:type="dxa"/>
              <w:left w:w="45" w:type="dxa"/>
              <w:bottom w:w="0" w:type="dxa"/>
              <w:right w:w="45" w:type="dxa"/>
            </w:tcMar>
            <w:vAlign w:val="center"/>
          </w:tcPr>
          <w:p w14:paraId="63DCF91D">
            <w:pPr>
              <w:spacing w:before="20" w:after="20"/>
              <w:jc w:val="center"/>
              <w:rPr>
                <w:rFonts w:ascii="Times New Roman" w:hAnsi="Times New Roman" w:cs="Times New Roman"/>
              </w:rPr>
            </w:pPr>
            <w:r>
              <w:rPr>
                <w:rFonts w:ascii="Times New Roman" w:hAnsi="Times New Roman" w:eastAsia="Times New Roman" w:cs="Times New Roman"/>
                <w:sz w:val="20"/>
                <w:szCs w:val="20"/>
              </w:rPr>
              <w:t>(4.611)</w:t>
            </w:r>
          </w:p>
        </w:tc>
        <w:tc>
          <w:tcPr>
            <w:tcW w:w="2056" w:type="dxa"/>
            <w:tcBorders>
              <w:top w:val="nil"/>
              <w:left w:val="nil"/>
              <w:bottom w:val="nil"/>
              <w:right w:val="nil"/>
            </w:tcBorders>
            <w:tcMar>
              <w:top w:w="0" w:type="dxa"/>
              <w:left w:w="45" w:type="dxa"/>
              <w:bottom w:w="0" w:type="dxa"/>
              <w:right w:w="45" w:type="dxa"/>
            </w:tcMar>
            <w:vAlign w:val="center"/>
          </w:tcPr>
          <w:p w14:paraId="202357DA">
            <w:pPr>
              <w:spacing w:before="20" w:after="20"/>
              <w:jc w:val="center"/>
              <w:rPr>
                <w:rFonts w:ascii="Times New Roman" w:hAnsi="Times New Roman" w:cs="Times New Roman"/>
              </w:rPr>
            </w:pPr>
            <w:r>
              <w:rPr>
                <w:rFonts w:ascii="Times New Roman" w:hAnsi="Times New Roman" w:eastAsia="Times New Roman" w:cs="Times New Roman"/>
                <w:sz w:val="20"/>
                <w:szCs w:val="20"/>
              </w:rPr>
              <w:t>(4.369)</w:t>
            </w:r>
          </w:p>
        </w:tc>
      </w:tr>
      <w:tr w14:paraId="4CAC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2EA64831">
            <w:pPr>
              <w:spacing w:before="20" w:after="20"/>
              <w:jc w:val="center"/>
              <w:rPr>
                <w:rFonts w:ascii="Times New Roman" w:hAnsi="Times New Roman" w:cs="Times New Roman"/>
              </w:rPr>
            </w:pPr>
            <w:r>
              <w:rPr>
                <w:rFonts w:ascii="Times New Roman" w:hAnsi="Times New Roman" w:eastAsia="Times New Roman" w:cs="Times New Roman"/>
                <w:sz w:val="20"/>
                <w:szCs w:val="20"/>
              </w:rPr>
              <w:t>L2_ln_like</w:t>
            </w:r>
          </w:p>
        </w:tc>
        <w:tc>
          <w:tcPr>
            <w:tcW w:w="1300" w:type="dxa"/>
            <w:tcBorders>
              <w:top w:val="nil"/>
              <w:left w:val="nil"/>
              <w:bottom w:val="nil"/>
              <w:right w:val="nil"/>
            </w:tcBorders>
            <w:tcMar>
              <w:top w:w="0" w:type="dxa"/>
              <w:left w:w="45" w:type="dxa"/>
              <w:bottom w:w="0" w:type="dxa"/>
              <w:right w:w="45" w:type="dxa"/>
            </w:tcMar>
            <w:vAlign w:val="center"/>
          </w:tcPr>
          <w:p w14:paraId="5E998DE5">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481745E">
            <w:pPr>
              <w:spacing w:before="20" w:after="20"/>
              <w:jc w:val="center"/>
              <w:rPr>
                <w:rFonts w:ascii="Times New Roman" w:hAnsi="Times New Roman" w:cs="Times New Roman"/>
              </w:rPr>
            </w:pPr>
            <w:r>
              <w:rPr>
                <w:rFonts w:ascii="Times New Roman" w:hAnsi="Times New Roman" w:eastAsia="Times New Roman" w:cs="Times New Roman"/>
                <w:sz w:val="20"/>
                <w:szCs w:val="20"/>
              </w:rPr>
              <w:t>0.080</w:t>
            </w:r>
          </w:p>
        </w:tc>
        <w:tc>
          <w:tcPr>
            <w:tcW w:w="1300" w:type="dxa"/>
            <w:tcBorders>
              <w:top w:val="nil"/>
              <w:left w:val="nil"/>
              <w:bottom w:val="nil"/>
              <w:right w:val="nil"/>
            </w:tcBorders>
            <w:tcMar>
              <w:top w:w="0" w:type="dxa"/>
              <w:left w:w="45" w:type="dxa"/>
              <w:bottom w:w="0" w:type="dxa"/>
              <w:right w:w="45" w:type="dxa"/>
            </w:tcMar>
            <w:vAlign w:val="center"/>
          </w:tcPr>
          <w:p w14:paraId="10A2E0DB">
            <w:pPr>
              <w:spacing w:before="20" w:after="20"/>
              <w:jc w:val="center"/>
              <w:rPr>
                <w:rFonts w:ascii="Times New Roman" w:hAnsi="Times New Roman" w:cs="Times New Roman"/>
              </w:rPr>
            </w:pPr>
            <w:r>
              <w:rPr>
                <w:rFonts w:ascii="Times New Roman" w:hAnsi="Times New Roman" w:eastAsia="Times New Roman" w:cs="Times New Roman"/>
                <w:sz w:val="20"/>
                <w:szCs w:val="20"/>
              </w:rPr>
              <w:t>0.407</w:t>
            </w:r>
          </w:p>
        </w:tc>
        <w:tc>
          <w:tcPr>
            <w:tcW w:w="1300" w:type="dxa"/>
            <w:tcBorders>
              <w:top w:val="nil"/>
              <w:left w:val="nil"/>
              <w:bottom w:val="nil"/>
              <w:right w:val="nil"/>
            </w:tcBorders>
            <w:tcMar>
              <w:top w:w="0" w:type="dxa"/>
              <w:left w:w="45" w:type="dxa"/>
              <w:bottom w:w="0" w:type="dxa"/>
              <w:right w:w="45" w:type="dxa"/>
            </w:tcMar>
            <w:vAlign w:val="center"/>
          </w:tcPr>
          <w:p w14:paraId="33928583">
            <w:pPr>
              <w:spacing w:before="20" w:after="20"/>
              <w:jc w:val="center"/>
              <w:rPr>
                <w:rFonts w:ascii="Times New Roman" w:hAnsi="Times New Roman" w:cs="Times New Roman"/>
              </w:rPr>
            </w:pPr>
            <w:r>
              <w:rPr>
                <w:rFonts w:ascii="Times New Roman" w:hAnsi="Times New Roman" w:eastAsia="Times New Roman" w:cs="Times New Roman"/>
                <w:sz w:val="20"/>
                <w:szCs w:val="20"/>
              </w:rPr>
              <w:t>0.640</w:t>
            </w:r>
          </w:p>
        </w:tc>
        <w:tc>
          <w:tcPr>
            <w:tcW w:w="2056" w:type="dxa"/>
            <w:tcBorders>
              <w:top w:val="nil"/>
              <w:left w:val="nil"/>
              <w:bottom w:val="nil"/>
              <w:right w:val="nil"/>
            </w:tcBorders>
            <w:tcMar>
              <w:top w:w="0" w:type="dxa"/>
              <w:left w:w="45" w:type="dxa"/>
              <w:bottom w:w="0" w:type="dxa"/>
              <w:right w:w="45" w:type="dxa"/>
            </w:tcMar>
            <w:vAlign w:val="center"/>
          </w:tcPr>
          <w:p w14:paraId="34FD0DE5">
            <w:pPr>
              <w:spacing w:before="20" w:after="20"/>
              <w:jc w:val="center"/>
              <w:rPr>
                <w:rFonts w:ascii="Times New Roman" w:hAnsi="Times New Roman" w:cs="Times New Roman"/>
              </w:rPr>
            </w:pPr>
            <w:r>
              <w:rPr>
                <w:rFonts w:ascii="Times New Roman" w:hAnsi="Times New Roman" w:eastAsia="Times New Roman" w:cs="Times New Roman"/>
                <w:sz w:val="20"/>
                <w:szCs w:val="20"/>
              </w:rPr>
              <w:t>0.340</w:t>
            </w:r>
          </w:p>
        </w:tc>
      </w:tr>
      <w:tr w14:paraId="5933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02B2C22F">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5E4A3D66">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21317035">
            <w:pPr>
              <w:spacing w:before="20" w:after="20"/>
              <w:jc w:val="center"/>
              <w:rPr>
                <w:rFonts w:ascii="Times New Roman" w:hAnsi="Times New Roman" w:cs="Times New Roman"/>
              </w:rPr>
            </w:pPr>
            <w:r>
              <w:rPr>
                <w:rFonts w:ascii="Times New Roman" w:hAnsi="Times New Roman" w:eastAsia="Times New Roman" w:cs="Times New Roman"/>
                <w:sz w:val="20"/>
                <w:szCs w:val="20"/>
              </w:rPr>
              <w:t>(0.194)</w:t>
            </w:r>
          </w:p>
        </w:tc>
        <w:tc>
          <w:tcPr>
            <w:tcW w:w="1300" w:type="dxa"/>
            <w:tcBorders>
              <w:top w:val="nil"/>
              <w:left w:val="nil"/>
              <w:bottom w:val="nil"/>
              <w:right w:val="nil"/>
            </w:tcBorders>
            <w:tcMar>
              <w:top w:w="0" w:type="dxa"/>
              <w:left w:w="45" w:type="dxa"/>
              <w:bottom w:w="0" w:type="dxa"/>
              <w:right w:w="45" w:type="dxa"/>
            </w:tcMar>
            <w:vAlign w:val="center"/>
          </w:tcPr>
          <w:p w14:paraId="5EE225C8">
            <w:pPr>
              <w:spacing w:before="20" w:after="20"/>
              <w:jc w:val="center"/>
              <w:rPr>
                <w:rFonts w:ascii="Times New Roman" w:hAnsi="Times New Roman" w:cs="Times New Roman"/>
              </w:rPr>
            </w:pPr>
            <w:r>
              <w:rPr>
                <w:rFonts w:ascii="Times New Roman" w:hAnsi="Times New Roman" w:eastAsia="Times New Roman" w:cs="Times New Roman"/>
                <w:sz w:val="20"/>
                <w:szCs w:val="20"/>
              </w:rPr>
              <w:t>(1.022)</w:t>
            </w:r>
          </w:p>
        </w:tc>
        <w:tc>
          <w:tcPr>
            <w:tcW w:w="1300" w:type="dxa"/>
            <w:tcBorders>
              <w:top w:val="nil"/>
              <w:left w:val="nil"/>
              <w:bottom w:val="nil"/>
              <w:right w:val="nil"/>
            </w:tcBorders>
            <w:tcMar>
              <w:top w:w="0" w:type="dxa"/>
              <w:left w:w="45" w:type="dxa"/>
              <w:bottom w:w="0" w:type="dxa"/>
              <w:right w:w="45" w:type="dxa"/>
            </w:tcMar>
            <w:vAlign w:val="center"/>
          </w:tcPr>
          <w:p w14:paraId="73CE0388">
            <w:pPr>
              <w:spacing w:before="20" w:after="20"/>
              <w:jc w:val="center"/>
              <w:rPr>
                <w:rFonts w:ascii="Times New Roman" w:hAnsi="Times New Roman" w:cs="Times New Roman"/>
              </w:rPr>
            </w:pPr>
            <w:r>
              <w:rPr>
                <w:rFonts w:ascii="Times New Roman" w:hAnsi="Times New Roman" w:eastAsia="Times New Roman" w:cs="Times New Roman"/>
                <w:sz w:val="20"/>
                <w:szCs w:val="20"/>
              </w:rPr>
              <w:t>(1.501)</w:t>
            </w:r>
          </w:p>
        </w:tc>
        <w:tc>
          <w:tcPr>
            <w:tcW w:w="2056" w:type="dxa"/>
            <w:tcBorders>
              <w:top w:val="nil"/>
              <w:left w:val="nil"/>
              <w:bottom w:val="nil"/>
              <w:right w:val="nil"/>
            </w:tcBorders>
            <w:tcMar>
              <w:top w:w="0" w:type="dxa"/>
              <w:left w:w="45" w:type="dxa"/>
              <w:bottom w:w="0" w:type="dxa"/>
              <w:right w:w="45" w:type="dxa"/>
            </w:tcMar>
            <w:vAlign w:val="center"/>
          </w:tcPr>
          <w:p w14:paraId="37C5FF8B">
            <w:pPr>
              <w:spacing w:before="20" w:after="20"/>
              <w:jc w:val="center"/>
              <w:rPr>
                <w:rFonts w:ascii="Times New Roman" w:hAnsi="Times New Roman" w:cs="Times New Roman"/>
              </w:rPr>
            </w:pPr>
            <w:r>
              <w:rPr>
                <w:rFonts w:ascii="Times New Roman" w:hAnsi="Times New Roman" w:eastAsia="Times New Roman" w:cs="Times New Roman"/>
                <w:sz w:val="20"/>
                <w:szCs w:val="20"/>
              </w:rPr>
              <w:t>(0.855)</w:t>
            </w:r>
          </w:p>
        </w:tc>
      </w:tr>
      <w:tr w14:paraId="6617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5A5BA335">
            <w:pPr>
              <w:spacing w:before="20" w:after="20"/>
              <w:jc w:val="center"/>
              <w:rPr>
                <w:rFonts w:ascii="Times New Roman" w:hAnsi="Times New Roman" w:cs="Times New Roman"/>
              </w:rPr>
            </w:pPr>
            <w:r>
              <w:rPr>
                <w:rFonts w:ascii="Times New Roman" w:hAnsi="Times New Roman" w:eastAsia="Times New Roman" w:cs="Times New Roman"/>
                <w:sz w:val="20"/>
                <w:szCs w:val="20"/>
              </w:rPr>
              <w:t>L2_ln_fav</w:t>
            </w:r>
          </w:p>
        </w:tc>
        <w:tc>
          <w:tcPr>
            <w:tcW w:w="1300" w:type="dxa"/>
            <w:tcBorders>
              <w:top w:val="nil"/>
              <w:left w:val="nil"/>
              <w:bottom w:val="nil"/>
              <w:right w:val="nil"/>
            </w:tcBorders>
            <w:tcMar>
              <w:top w:w="0" w:type="dxa"/>
              <w:left w:w="45" w:type="dxa"/>
              <w:bottom w:w="0" w:type="dxa"/>
              <w:right w:w="45" w:type="dxa"/>
            </w:tcMar>
            <w:vAlign w:val="center"/>
          </w:tcPr>
          <w:p w14:paraId="03626970">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0D69336C">
            <w:pPr>
              <w:spacing w:before="20" w:after="20"/>
              <w:jc w:val="center"/>
              <w:rPr>
                <w:rFonts w:ascii="Times New Roman" w:hAnsi="Times New Roman" w:cs="Times New Roman"/>
              </w:rPr>
            </w:pPr>
            <w:r>
              <w:rPr>
                <w:rFonts w:ascii="Times New Roman" w:hAnsi="Times New Roman" w:eastAsia="Times New Roman" w:cs="Times New Roman"/>
                <w:sz w:val="20"/>
                <w:szCs w:val="20"/>
              </w:rPr>
              <w:t>-1.920***</w:t>
            </w:r>
          </w:p>
        </w:tc>
        <w:tc>
          <w:tcPr>
            <w:tcW w:w="1300" w:type="dxa"/>
            <w:tcBorders>
              <w:top w:val="nil"/>
              <w:left w:val="nil"/>
              <w:bottom w:val="nil"/>
              <w:right w:val="nil"/>
            </w:tcBorders>
            <w:tcMar>
              <w:top w:w="0" w:type="dxa"/>
              <w:left w:w="45" w:type="dxa"/>
              <w:bottom w:w="0" w:type="dxa"/>
              <w:right w:w="45" w:type="dxa"/>
            </w:tcMar>
            <w:vAlign w:val="center"/>
          </w:tcPr>
          <w:p w14:paraId="5CD8A18A">
            <w:pPr>
              <w:spacing w:before="20" w:after="20"/>
              <w:jc w:val="center"/>
              <w:rPr>
                <w:rFonts w:ascii="Times New Roman" w:hAnsi="Times New Roman" w:cs="Times New Roman"/>
              </w:rPr>
            </w:pPr>
            <w:r>
              <w:rPr>
                <w:rFonts w:ascii="Times New Roman" w:hAnsi="Times New Roman" w:eastAsia="Times New Roman" w:cs="Times New Roman"/>
                <w:sz w:val="20"/>
                <w:szCs w:val="20"/>
              </w:rPr>
              <w:t>-2.096***</w:t>
            </w:r>
          </w:p>
        </w:tc>
        <w:tc>
          <w:tcPr>
            <w:tcW w:w="1300" w:type="dxa"/>
            <w:tcBorders>
              <w:top w:val="nil"/>
              <w:left w:val="nil"/>
              <w:bottom w:val="nil"/>
              <w:right w:val="nil"/>
            </w:tcBorders>
            <w:tcMar>
              <w:top w:w="0" w:type="dxa"/>
              <w:left w:w="45" w:type="dxa"/>
              <w:bottom w:w="0" w:type="dxa"/>
              <w:right w:w="45" w:type="dxa"/>
            </w:tcMar>
            <w:vAlign w:val="center"/>
          </w:tcPr>
          <w:p w14:paraId="7126AE1F">
            <w:pPr>
              <w:spacing w:before="20" w:after="20"/>
              <w:jc w:val="center"/>
              <w:rPr>
                <w:rFonts w:ascii="Times New Roman" w:hAnsi="Times New Roman" w:cs="Times New Roman"/>
              </w:rPr>
            </w:pPr>
            <w:r>
              <w:rPr>
                <w:rFonts w:ascii="Times New Roman" w:hAnsi="Times New Roman" w:eastAsia="Times New Roman" w:cs="Times New Roman"/>
                <w:sz w:val="20"/>
                <w:szCs w:val="20"/>
              </w:rPr>
              <w:t>-1.422***</w:t>
            </w:r>
          </w:p>
        </w:tc>
        <w:tc>
          <w:tcPr>
            <w:tcW w:w="2056" w:type="dxa"/>
            <w:tcBorders>
              <w:top w:val="nil"/>
              <w:left w:val="nil"/>
              <w:bottom w:val="nil"/>
              <w:right w:val="nil"/>
            </w:tcBorders>
            <w:tcMar>
              <w:top w:w="0" w:type="dxa"/>
              <w:left w:w="45" w:type="dxa"/>
              <w:bottom w:w="0" w:type="dxa"/>
              <w:right w:w="45" w:type="dxa"/>
            </w:tcMar>
            <w:vAlign w:val="center"/>
          </w:tcPr>
          <w:p w14:paraId="45333A5E">
            <w:pPr>
              <w:spacing w:before="20" w:after="20"/>
              <w:jc w:val="center"/>
              <w:rPr>
                <w:rFonts w:ascii="Times New Roman" w:hAnsi="Times New Roman" w:cs="Times New Roman"/>
              </w:rPr>
            </w:pPr>
            <w:r>
              <w:rPr>
                <w:rFonts w:ascii="Times New Roman" w:hAnsi="Times New Roman" w:eastAsia="Times New Roman" w:cs="Times New Roman"/>
                <w:sz w:val="20"/>
                <w:szCs w:val="20"/>
              </w:rPr>
              <w:t>-1.169**</w:t>
            </w:r>
          </w:p>
        </w:tc>
      </w:tr>
      <w:tr w14:paraId="2D1B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3767CBDC">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57F543B8">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0B26E57F">
            <w:pPr>
              <w:spacing w:before="20" w:after="20"/>
              <w:jc w:val="center"/>
              <w:rPr>
                <w:rFonts w:ascii="Times New Roman" w:hAnsi="Times New Roman" w:cs="Times New Roman"/>
              </w:rPr>
            </w:pPr>
            <w:r>
              <w:rPr>
                <w:rFonts w:ascii="Times New Roman" w:hAnsi="Times New Roman" w:eastAsia="Times New Roman" w:cs="Times New Roman"/>
                <w:sz w:val="20"/>
                <w:szCs w:val="20"/>
              </w:rPr>
              <w:t>(-4.659)</w:t>
            </w:r>
          </w:p>
        </w:tc>
        <w:tc>
          <w:tcPr>
            <w:tcW w:w="1300" w:type="dxa"/>
            <w:tcBorders>
              <w:top w:val="nil"/>
              <w:left w:val="nil"/>
              <w:bottom w:val="nil"/>
              <w:right w:val="nil"/>
            </w:tcBorders>
            <w:tcMar>
              <w:top w:w="0" w:type="dxa"/>
              <w:left w:w="45" w:type="dxa"/>
              <w:bottom w:w="0" w:type="dxa"/>
              <w:right w:w="45" w:type="dxa"/>
            </w:tcMar>
            <w:vAlign w:val="center"/>
          </w:tcPr>
          <w:p w14:paraId="08577E5F">
            <w:pPr>
              <w:spacing w:before="20" w:after="20"/>
              <w:jc w:val="center"/>
              <w:rPr>
                <w:rFonts w:ascii="Times New Roman" w:hAnsi="Times New Roman" w:cs="Times New Roman"/>
              </w:rPr>
            </w:pPr>
            <w:r>
              <w:rPr>
                <w:rFonts w:ascii="Times New Roman" w:hAnsi="Times New Roman" w:eastAsia="Times New Roman" w:cs="Times New Roman"/>
                <w:sz w:val="20"/>
                <w:szCs w:val="20"/>
              </w:rPr>
              <w:t>(-4.815)</w:t>
            </w:r>
          </w:p>
        </w:tc>
        <w:tc>
          <w:tcPr>
            <w:tcW w:w="1300" w:type="dxa"/>
            <w:tcBorders>
              <w:top w:val="nil"/>
              <w:left w:val="nil"/>
              <w:bottom w:val="nil"/>
              <w:right w:val="nil"/>
            </w:tcBorders>
            <w:tcMar>
              <w:top w:w="0" w:type="dxa"/>
              <w:left w:w="45" w:type="dxa"/>
              <w:bottom w:w="0" w:type="dxa"/>
              <w:right w:w="45" w:type="dxa"/>
            </w:tcMar>
            <w:vAlign w:val="center"/>
          </w:tcPr>
          <w:p w14:paraId="3F0BC765">
            <w:pPr>
              <w:spacing w:before="20" w:after="20"/>
              <w:jc w:val="center"/>
              <w:rPr>
                <w:rFonts w:ascii="Times New Roman" w:hAnsi="Times New Roman" w:cs="Times New Roman"/>
              </w:rPr>
            </w:pPr>
            <w:r>
              <w:rPr>
                <w:rFonts w:ascii="Times New Roman" w:hAnsi="Times New Roman" w:eastAsia="Times New Roman" w:cs="Times New Roman"/>
                <w:sz w:val="20"/>
                <w:szCs w:val="20"/>
              </w:rPr>
              <w:t>(-2.928)</w:t>
            </w:r>
          </w:p>
        </w:tc>
        <w:tc>
          <w:tcPr>
            <w:tcW w:w="2056" w:type="dxa"/>
            <w:tcBorders>
              <w:top w:val="nil"/>
              <w:left w:val="nil"/>
              <w:bottom w:val="nil"/>
              <w:right w:val="nil"/>
            </w:tcBorders>
            <w:tcMar>
              <w:top w:w="0" w:type="dxa"/>
              <w:left w:w="45" w:type="dxa"/>
              <w:bottom w:w="0" w:type="dxa"/>
              <w:right w:w="45" w:type="dxa"/>
            </w:tcMar>
            <w:vAlign w:val="center"/>
          </w:tcPr>
          <w:p w14:paraId="49631185">
            <w:pPr>
              <w:spacing w:before="20" w:after="20"/>
              <w:jc w:val="center"/>
              <w:rPr>
                <w:rFonts w:ascii="Times New Roman" w:hAnsi="Times New Roman" w:cs="Times New Roman"/>
              </w:rPr>
            </w:pPr>
            <w:r>
              <w:rPr>
                <w:rFonts w:ascii="Times New Roman" w:hAnsi="Times New Roman" w:eastAsia="Times New Roman" w:cs="Times New Roman"/>
                <w:sz w:val="20"/>
                <w:szCs w:val="20"/>
              </w:rPr>
              <w:t>(-2.613)</w:t>
            </w:r>
          </w:p>
        </w:tc>
      </w:tr>
      <w:tr w14:paraId="4873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0F6E569C">
            <w:pPr>
              <w:spacing w:before="20" w:after="20"/>
              <w:jc w:val="center"/>
              <w:rPr>
                <w:rFonts w:ascii="Times New Roman" w:hAnsi="Times New Roman" w:cs="Times New Roman"/>
              </w:rPr>
            </w:pPr>
            <w:r>
              <w:rPr>
                <w:rFonts w:ascii="Times New Roman" w:hAnsi="Times New Roman" w:eastAsia="Times New Roman" w:cs="Times New Roman"/>
                <w:sz w:val="20"/>
                <w:szCs w:val="20"/>
              </w:rPr>
              <w:t>ln_duration</w:t>
            </w:r>
          </w:p>
        </w:tc>
        <w:tc>
          <w:tcPr>
            <w:tcW w:w="1300" w:type="dxa"/>
            <w:tcBorders>
              <w:top w:val="nil"/>
              <w:left w:val="nil"/>
              <w:bottom w:val="nil"/>
              <w:right w:val="nil"/>
            </w:tcBorders>
            <w:tcMar>
              <w:top w:w="0" w:type="dxa"/>
              <w:left w:w="45" w:type="dxa"/>
              <w:bottom w:w="0" w:type="dxa"/>
              <w:right w:w="45" w:type="dxa"/>
            </w:tcMar>
            <w:vAlign w:val="center"/>
          </w:tcPr>
          <w:p w14:paraId="629CB070">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3EF96CF2">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7778BC5">
            <w:pPr>
              <w:spacing w:before="20" w:after="20"/>
              <w:jc w:val="center"/>
              <w:rPr>
                <w:rFonts w:ascii="Times New Roman" w:hAnsi="Times New Roman" w:cs="Times New Roman"/>
              </w:rPr>
            </w:pPr>
            <w:r>
              <w:rPr>
                <w:rFonts w:ascii="Times New Roman" w:hAnsi="Times New Roman" w:eastAsia="Times New Roman" w:cs="Times New Roman"/>
                <w:sz w:val="20"/>
                <w:szCs w:val="20"/>
              </w:rPr>
              <w:t>4.217***</w:t>
            </w:r>
          </w:p>
        </w:tc>
        <w:tc>
          <w:tcPr>
            <w:tcW w:w="1300" w:type="dxa"/>
            <w:tcBorders>
              <w:top w:val="nil"/>
              <w:left w:val="nil"/>
              <w:bottom w:val="nil"/>
              <w:right w:val="nil"/>
            </w:tcBorders>
            <w:tcMar>
              <w:top w:w="0" w:type="dxa"/>
              <w:left w:w="45" w:type="dxa"/>
              <w:bottom w:w="0" w:type="dxa"/>
              <w:right w:w="45" w:type="dxa"/>
            </w:tcMar>
            <w:vAlign w:val="center"/>
          </w:tcPr>
          <w:p w14:paraId="607264E2">
            <w:pPr>
              <w:spacing w:before="20" w:after="20"/>
              <w:jc w:val="center"/>
              <w:rPr>
                <w:rFonts w:ascii="Times New Roman" w:hAnsi="Times New Roman" w:cs="Times New Roman"/>
              </w:rPr>
            </w:pPr>
            <w:r>
              <w:rPr>
                <w:rFonts w:ascii="Times New Roman" w:hAnsi="Times New Roman" w:eastAsia="Times New Roman" w:cs="Times New Roman"/>
                <w:sz w:val="20"/>
                <w:szCs w:val="20"/>
              </w:rPr>
              <w:t>4.596***</w:t>
            </w:r>
          </w:p>
        </w:tc>
        <w:tc>
          <w:tcPr>
            <w:tcW w:w="2056" w:type="dxa"/>
            <w:tcBorders>
              <w:top w:val="nil"/>
              <w:left w:val="nil"/>
              <w:bottom w:val="nil"/>
              <w:right w:val="nil"/>
            </w:tcBorders>
            <w:tcMar>
              <w:top w:w="0" w:type="dxa"/>
              <w:left w:w="45" w:type="dxa"/>
              <w:bottom w:w="0" w:type="dxa"/>
              <w:right w:w="45" w:type="dxa"/>
            </w:tcMar>
            <w:vAlign w:val="center"/>
          </w:tcPr>
          <w:p w14:paraId="7004F64A">
            <w:pPr>
              <w:spacing w:before="20" w:after="20"/>
              <w:jc w:val="center"/>
              <w:rPr>
                <w:rFonts w:ascii="Times New Roman" w:hAnsi="Times New Roman" w:cs="Times New Roman"/>
              </w:rPr>
            </w:pPr>
            <w:r>
              <w:rPr>
                <w:rFonts w:ascii="Times New Roman" w:hAnsi="Times New Roman" w:eastAsia="Times New Roman" w:cs="Times New Roman"/>
                <w:sz w:val="20"/>
                <w:szCs w:val="20"/>
              </w:rPr>
              <w:t>3.733***</w:t>
            </w:r>
          </w:p>
        </w:tc>
      </w:tr>
      <w:tr w14:paraId="0CF1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78AA7399">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58466054">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26354CC4">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AF50902">
            <w:pPr>
              <w:spacing w:before="20" w:after="20"/>
              <w:jc w:val="center"/>
              <w:rPr>
                <w:rFonts w:ascii="Times New Roman" w:hAnsi="Times New Roman" w:cs="Times New Roman"/>
              </w:rPr>
            </w:pPr>
            <w:r>
              <w:rPr>
                <w:rFonts w:ascii="Times New Roman" w:hAnsi="Times New Roman" w:eastAsia="Times New Roman" w:cs="Times New Roman"/>
                <w:sz w:val="20"/>
                <w:szCs w:val="20"/>
              </w:rPr>
              <w:t>(8.365)</w:t>
            </w:r>
          </w:p>
        </w:tc>
        <w:tc>
          <w:tcPr>
            <w:tcW w:w="1300" w:type="dxa"/>
            <w:tcBorders>
              <w:top w:val="nil"/>
              <w:left w:val="nil"/>
              <w:bottom w:val="nil"/>
              <w:right w:val="nil"/>
            </w:tcBorders>
            <w:tcMar>
              <w:top w:w="0" w:type="dxa"/>
              <w:left w:w="45" w:type="dxa"/>
              <w:bottom w:w="0" w:type="dxa"/>
              <w:right w:w="45" w:type="dxa"/>
            </w:tcMar>
            <w:vAlign w:val="center"/>
          </w:tcPr>
          <w:p w14:paraId="47AE0A6C">
            <w:pPr>
              <w:spacing w:before="20" w:after="20"/>
              <w:jc w:val="center"/>
              <w:rPr>
                <w:rFonts w:ascii="Times New Roman" w:hAnsi="Times New Roman" w:cs="Times New Roman"/>
              </w:rPr>
            </w:pPr>
            <w:r>
              <w:rPr>
                <w:rFonts w:ascii="Times New Roman" w:hAnsi="Times New Roman" w:eastAsia="Times New Roman" w:cs="Times New Roman"/>
                <w:sz w:val="20"/>
                <w:szCs w:val="20"/>
              </w:rPr>
              <w:t>(9.383)</w:t>
            </w:r>
          </w:p>
        </w:tc>
        <w:tc>
          <w:tcPr>
            <w:tcW w:w="2056" w:type="dxa"/>
            <w:tcBorders>
              <w:top w:val="nil"/>
              <w:left w:val="nil"/>
              <w:bottom w:val="nil"/>
              <w:right w:val="nil"/>
            </w:tcBorders>
            <w:tcMar>
              <w:top w:w="0" w:type="dxa"/>
              <w:left w:w="45" w:type="dxa"/>
              <w:bottom w:w="0" w:type="dxa"/>
              <w:right w:w="45" w:type="dxa"/>
            </w:tcMar>
            <w:vAlign w:val="center"/>
          </w:tcPr>
          <w:p w14:paraId="6FC807B6">
            <w:pPr>
              <w:spacing w:before="20" w:after="20"/>
              <w:jc w:val="center"/>
              <w:rPr>
                <w:rFonts w:ascii="Times New Roman" w:hAnsi="Times New Roman" w:cs="Times New Roman"/>
              </w:rPr>
            </w:pPr>
            <w:r>
              <w:rPr>
                <w:rFonts w:ascii="Times New Roman" w:hAnsi="Times New Roman" w:eastAsia="Times New Roman" w:cs="Times New Roman"/>
                <w:sz w:val="20"/>
                <w:szCs w:val="20"/>
              </w:rPr>
              <w:t>(8.607)</w:t>
            </w:r>
          </w:p>
        </w:tc>
      </w:tr>
      <w:tr w14:paraId="0F87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3D9BE357">
            <w:pPr>
              <w:spacing w:before="20" w:after="20"/>
              <w:jc w:val="center"/>
              <w:rPr>
                <w:rFonts w:ascii="Times New Roman" w:hAnsi="Times New Roman" w:cs="Times New Roman"/>
              </w:rPr>
            </w:pPr>
            <w:r>
              <w:rPr>
                <w:rFonts w:ascii="Times New Roman" w:hAnsi="Times New Roman" w:eastAsia="Times New Roman" w:cs="Times New Roman"/>
                <w:sz w:val="20"/>
                <w:szCs w:val="20"/>
              </w:rPr>
              <w:t>ln_view</w:t>
            </w:r>
          </w:p>
        </w:tc>
        <w:tc>
          <w:tcPr>
            <w:tcW w:w="1300" w:type="dxa"/>
            <w:tcBorders>
              <w:top w:val="nil"/>
              <w:left w:val="nil"/>
              <w:bottom w:val="nil"/>
              <w:right w:val="nil"/>
            </w:tcBorders>
            <w:tcMar>
              <w:top w:w="0" w:type="dxa"/>
              <w:left w:w="45" w:type="dxa"/>
              <w:bottom w:w="0" w:type="dxa"/>
              <w:right w:w="45" w:type="dxa"/>
            </w:tcMar>
            <w:vAlign w:val="center"/>
          </w:tcPr>
          <w:p w14:paraId="3B148C88">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3A580DF5">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04FE2182">
            <w:pPr>
              <w:spacing w:before="20" w:after="20"/>
              <w:jc w:val="center"/>
              <w:rPr>
                <w:rFonts w:ascii="Times New Roman" w:hAnsi="Times New Roman" w:cs="Times New Roman"/>
              </w:rPr>
            </w:pPr>
            <w:r>
              <w:rPr>
                <w:rFonts w:ascii="Times New Roman" w:hAnsi="Times New Roman" w:eastAsia="Times New Roman" w:cs="Times New Roman"/>
                <w:sz w:val="20"/>
                <w:szCs w:val="20"/>
              </w:rPr>
              <w:t>-0.851***</w:t>
            </w:r>
          </w:p>
        </w:tc>
        <w:tc>
          <w:tcPr>
            <w:tcW w:w="1300" w:type="dxa"/>
            <w:tcBorders>
              <w:top w:val="nil"/>
              <w:left w:val="nil"/>
              <w:bottom w:val="nil"/>
              <w:right w:val="nil"/>
            </w:tcBorders>
            <w:tcMar>
              <w:top w:w="0" w:type="dxa"/>
              <w:left w:w="45" w:type="dxa"/>
              <w:bottom w:w="0" w:type="dxa"/>
              <w:right w:w="45" w:type="dxa"/>
            </w:tcMar>
            <w:vAlign w:val="center"/>
          </w:tcPr>
          <w:p w14:paraId="47758C46">
            <w:pPr>
              <w:spacing w:before="20" w:after="20"/>
              <w:jc w:val="center"/>
              <w:rPr>
                <w:rFonts w:ascii="Times New Roman" w:hAnsi="Times New Roman" w:cs="Times New Roman"/>
              </w:rPr>
            </w:pPr>
            <w:r>
              <w:rPr>
                <w:rFonts w:ascii="Times New Roman" w:hAnsi="Times New Roman" w:eastAsia="Times New Roman" w:cs="Times New Roman"/>
                <w:sz w:val="20"/>
                <w:szCs w:val="20"/>
              </w:rPr>
              <w:t>-0.763***</w:t>
            </w:r>
          </w:p>
        </w:tc>
        <w:tc>
          <w:tcPr>
            <w:tcW w:w="2056" w:type="dxa"/>
            <w:tcBorders>
              <w:top w:val="nil"/>
              <w:left w:val="nil"/>
              <w:bottom w:val="nil"/>
              <w:right w:val="nil"/>
            </w:tcBorders>
            <w:tcMar>
              <w:top w:w="0" w:type="dxa"/>
              <w:left w:w="45" w:type="dxa"/>
              <w:bottom w:w="0" w:type="dxa"/>
              <w:right w:w="45" w:type="dxa"/>
            </w:tcMar>
            <w:vAlign w:val="center"/>
          </w:tcPr>
          <w:p w14:paraId="0D7D408E">
            <w:pPr>
              <w:spacing w:before="20" w:after="20"/>
              <w:jc w:val="center"/>
              <w:rPr>
                <w:rFonts w:ascii="Times New Roman" w:hAnsi="Times New Roman" w:cs="Times New Roman"/>
              </w:rPr>
            </w:pPr>
            <w:r>
              <w:rPr>
                <w:rFonts w:ascii="Times New Roman" w:hAnsi="Times New Roman" w:eastAsia="Times New Roman" w:cs="Times New Roman"/>
                <w:sz w:val="20"/>
                <w:szCs w:val="20"/>
              </w:rPr>
              <w:t>-3.469***</w:t>
            </w:r>
          </w:p>
        </w:tc>
      </w:tr>
      <w:tr w14:paraId="4BDA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1341FC39">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85ADE9C">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BB5DBA8">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55051D8">
            <w:pPr>
              <w:spacing w:before="20" w:after="20"/>
              <w:jc w:val="center"/>
              <w:rPr>
                <w:rFonts w:ascii="Times New Roman" w:hAnsi="Times New Roman" w:cs="Times New Roman"/>
              </w:rPr>
            </w:pPr>
            <w:r>
              <w:rPr>
                <w:rFonts w:ascii="Times New Roman" w:hAnsi="Times New Roman" w:eastAsia="Times New Roman" w:cs="Times New Roman"/>
                <w:sz w:val="20"/>
                <w:szCs w:val="20"/>
              </w:rPr>
              <w:t>(-2.951)</w:t>
            </w:r>
          </w:p>
        </w:tc>
        <w:tc>
          <w:tcPr>
            <w:tcW w:w="1300" w:type="dxa"/>
            <w:tcBorders>
              <w:top w:val="nil"/>
              <w:left w:val="nil"/>
              <w:bottom w:val="nil"/>
              <w:right w:val="nil"/>
            </w:tcBorders>
            <w:tcMar>
              <w:top w:w="0" w:type="dxa"/>
              <w:left w:w="45" w:type="dxa"/>
              <w:bottom w:w="0" w:type="dxa"/>
              <w:right w:w="45" w:type="dxa"/>
            </w:tcMar>
            <w:vAlign w:val="center"/>
          </w:tcPr>
          <w:p w14:paraId="16FE13DF">
            <w:pPr>
              <w:spacing w:before="20" w:after="20"/>
              <w:jc w:val="center"/>
              <w:rPr>
                <w:rFonts w:ascii="Times New Roman" w:hAnsi="Times New Roman" w:cs="Times New Roman"/>
              </w:rPr>
            </w:pPr>
            <w:r>
              <w:rPr>
                <w:rFonts w:ascii="Times New Roman" w:hAnsi="Times New Roman" w:eastAsia="Times New Roman" w:cs="Times New Roman"/>
                <w:sz w:val="20"/>
                <w:szCs w:val="20"/>
              </w:rPr>
              <w:t>(-2.823)</w:t>
            </w:r>
          </w:p>
        </w:tc>
        <w:tc>
          <w:tcPr>
            <w:tcW w:w="2056" w:type="dxa"/>
            <w:tcBorders>
              <w:top w:val="nil"/>
              <w:left w:val="nil"/>
              <w:bottom w:val="nil"/>
              <w:right w:val="nil"/>
            </w:tcBorders>
            <w:tcMar>
              <w:top w:w="0" w:type="dxa"/>
              <w:left w:w="45" w:type="dxa"/>
              <w:bottom w:w="0" w:type="dxa"/>
              <w:right w:w="45" w:type="dxa"/>
            </w:tcMar>
            <w:vAlign w:val="center"/>
          </w:tcPr>
          <w:p w14:paraId="6912E256">
            <w:pPr>
              <w:spacing w:before="20" w:after="20"/>
              <w:jc w:val="center"/>
              <w:rPr>
                <w:rFonts w:ascii="Times New Roman" w:hAnsi="Times New Roman" w:cs="Times New Roman"/>
              </w:rPr>
            </w:pPr>
            <w:r>
              <w:rPr>
                <w:rFonts w:ascii="Times New Roman" w:hAnsi="Times New Roman" w:eastAsia="Times New Roman" w:cs="Times New Roman"/>
                <w:sz w:val="20"/>
                <w:szCs w:val="20"/>
              </w:rPr>
              <w:t>(-7.284)</w:t>
            </w:r>
          </w:p>
        </w:tc>
      </w:tr>
      <w:tr w14:paraId="7DA6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55E3C3FF">
            <w:pPr>
              <w:spacing w:before="20" w:after="20"/>
              <w:jc w:val="center"/>
              <w:rPr>
                <w:rFonts w:ascii="Times New Roman" w:hAnsi="Times New Roman" w:cs="Times New Roman"/>
              </w:rPr>
            </w:pPr>
            <w:r>
              <w:rPr>
                <w:rFonts w:ascii="Times New Roman" w:hAnsi="Times New Roman" w:eastAsia="Times New Roman" w:cs="Times New Roman"/>
                <w:sz w:val="20"/>
                <w:szCs w:val="20"/>
              </w:rPr>
              <w:t>ln_share</w:t>
            </w:r>
          </w:p>
        </w:tc>
        <w:tc>
          <w:tcPr>
            <w:tcW w:w="1300" w:type="dxa"/>
            <w:tcBorders>
              <w:top w:val="nil"/>
              <w:left w:val="nil"/>
              <w:bottom w:val="nil"/>
              <w:right w:val="nil"/>
            </w:tcBorders>
            <w:tcMar>
              <w:top w:w="0" w:type="dxa"/>
              <w:left w:w="45" w:type="dxa"/>
              <w:bottom w:w="0" w:type="dxa"/>
              <w:right w:w="45" w:type="dxa"/>
            </w:tcMar>
            <w:vAlign w:val="center"/>
          </w:tcPr>
          <w:p w14:paraId="02F76BC8">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02EF7FA6">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7B756620">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231BB79E">
            <w:pPr>
              <w:spacing w:before="20" w:after="20"/>
              <w:jc w:val="center"/>
              <w:rPr>
                <w:rFonts w:ascii="Times New Roman" w:hAnsi="Times New Roman" w:cs="Times New Roman"/>
              </w:rPr>
            </w:pPr>
          </w:p>
        </w:tc>
        <w:tc>
          <w:tcPr>
            <w:tcW w:w="2056" w:type="dxa"/>
            <w:tcBorders>
              <w:top w:val="nil"/>
              <w:left w:val="nil"/>
              <w:bottom w:val="nil"/>
              <w:right w:val="nil"/>
            </w:tcBorders>
            <w:tcMar>
              <w:top w:w="0" w:type="dxa"/>
              <w:left w:w="45" w:type="dxa"/>
              <w:bottom w:w="0" w:type="dxa"/>
              <w:right w:w="45" w:type="dxa"/>
            </w:tcMar>
            <w:vAlign w:val="center"/>
          </w:tcPr>
          <w:p w14:paraId="43C39FB2">
            <w:pPr>
              <w:spacing w:before="20" w:after="20"/>
              <w:jc w:val="center"/>
              <w:rPr>
                <w:rFonts w:ascii="Times New Roman" w:hAnsi="Times New Roman" w:cs="Times New Roman"/>
              </w:rPr>
            </w:pPr>
            <w:r>
              <w:rPr>
                <w:rFonts w:ascii="Times New Roman" w:hAnsi="Times New Roman" w:eastAsia="Times New Roman" w:cs="Times New Roman"/>
                <w:color w:val="FF0000"/>
                <w:sz w:val="20"/>
                <w:szCs w:val="20"/>
              </w:rPr>
              <w:t>3.381***</w:t>
            </w:r>
          </w:p>
        </w:tc>
      </w:tr>
      <w:tr w14:paraId="1CF8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5B24AA0C">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15BBC25">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1C4C5721">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5B5D36C1">
            <w:pPr>
              <w:spacing w:before="20" w:after="20"/>
              <w:jc w:val="center"/>
              <w:rPr>
                <w:rFonts w:ascii="Times New Roman" w:hAnsi="Times New Roman" w:cs="Times New Roman"/>
              </w:rPr>
            </w:pPr>
          </w:p>
        </w:tc>
        <w:tc>
          <w:tcPr>
            <w:tcW w:w="1300" w:type="dxa"/>
            <w:tcBorders>
              <w:top w:val="nil"/>
              <w:left w:val="nil"/>
              <w:bottom w:val="nil"/>
              <w:right w:val="nil"/>
            </w:tcBorders>
            <w:tcMar>
              <w:top w:w="0" w:type="dxa"/>
              <w:left w:w="45" w:type="dxa"/>
              <w:bottom w:w="0" w:type="dxa"/>
              <w:right w:w="45" w:type="dxa"/>
            </w:tcMar>
            <w:vAlign w:val="center"/>
          </w:tcPr>
          <w:p w14:paraId="6F521B5F">
            <w:pPr>
              <w:spacing w:before="20" w:after="20"/>
              <w:jc w:val="center"/>
              <w:rPr>
                <w:rFonts w:ascii="Times New Roman" w:hAnsi="Times New Roman" w:cs="Times New Roman"/>
              </w:rPr>
            </w:pPr>
          </w:p>
        </w:tc>
        <w:tc>
          <w:tcPr>
            <w:tcW w:w="2056" w:type="dxa"/>
            <w:tcBorders>
              <w:top w:val="nil"/>
              <w:left w:val="nil"/>
              <w:bottom w:val="nil"/>
              <w:right w:val="nil"/>
            </w:tcBorders>
            <w:tcMar>
              <w:top w:w="0" w:type="dxa"/>
              <w:left w:w="45" w:type="dxa"/>
              <w:bottom w:w="0" w:type="dxa"/>
              <w:right w:w="45" w:type="dxa"/>
            </w:tcMar>
            <w:vAlign w:val="center"/>
          </w:tcPr>
          <w:p w14:paraId="0ECEF9CF">
            <w:pPr>
              <w:spacing w:before="20" w:after="20"/>
              <w:jc w:val="center"/>
              <w:rPr>
                <w:rFonts w:ascii="Times New Roman" w:hAnsi="Times New Roman" w:cs="Times New Roman"/>
              </w:rPr>
            </w:pPr>
            <w:r>
              <w:rPr>
                <w:rFonts w:ascii="Times New Roman" w:hAnsi="Times New Roman" w:eastAsia="Times New Roman" w:cs="Times New Roman"/>
                <w:sz w:val="20"/>
                <w:szCs w:val="20"/>
              </w:rPr>
              <w:t>(9.604)</w:t>
            </w:r>
          </w:p>
        </w:tc>
      </w:tr>
      <w:tr w14:paraId="33DD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06DA7E0C">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年份/月份固定效应</w:t>
            </w:r>
          </w:p>
        </w:tc>
        <w:tc>
          <w:tcPr>
            <w:tcW w:w="1300" w:type="dxa"/>
            <w:tcBorders>
              <w:top w:val="nil"/>
              <w:left w:val="nil"/>
              <w:bottom w:val="nil"/>
              <w:right w:val="nil"/>
            </w:tcBorders>
            <w:tcMar>
              <w:top w:w="0" w:type="dxa"/>
              <w:left w:w="45" w:type="dxa"/>
              <w:bottom w:w="0" w:type="dxa"/>
              <w:right w:w="45" w:type="dxa"/>
            </w:tcMar>
            <w:vAlign w:val="center"/>
          </w:tcPr>
          <w:p w14:paraId="2D4495B3">
            <w:pPr>
              <w:spacing w:before="20" w:after="20"/>
              <w:jc w:val="center"/>
              <w:rPr>
                <w:rFonts w:ascii="Times New Roman" w:hAnsi="Times New Roman" w:cs="Times New Roman"/>
              </w:rPr>
            </w:pPr>
            <w:r>
              <w:rPr>
                <w:rFonts w:ascii="Times New Roman" w:hAnsi="Times New Roman" w:eastAsia="Times New Roman" w:cs="Times New Roman"/>
                <w:sz w:val="20"/>
                <w:szCs w:val="20"/>
              </w:rPr>
              <w:t>否</w:t>
            </w:r>
          </w:p>
        </w:tc>
        <w:tc>
          <w:tcPr>
            <w:tcW w:w="1300" w:type="dxa"/>
            <w:tcBorders>
              <w:top w:val="nil"/>
              <w:left w:val="nil"/>
              <w:bottom w:val="nil"/>
              <w:right w:val="nil"/>
            </w:tcBorders>
            <w:tcMar>
              <w:top w:w="0" w:type="dxa"/>
              <w:left w:w="45" w:type="dxa"/>
              <w:bottom w:w="0" w:type="dxa"/>
              <w:right w:w="45" w:type="dxa"/>
            </w:tcMar>
            <w:vAlign w:val="center"/>
          </w:tcPr>
          <w:p w14:paraId="3A77A6E4">
            <w:pPr>
              <w:spacing w:before="20" w:after="20"/>
              <w:jc w:val="center"/>
              <w:rPr>
                <w:rFonts w:ascii="Times New Roman" w:hAnsi="Times New Roman" w:cs="Times New Roman"/>
              </w:rPr>
            </w:pPr>
            <w:r>
              <w:rPr>
                <w:rFonts w:ascii="Times New Roman" w:hAnsi="Times New Roman" w:eastAsia="Times New Roman" w:cs="Times New Roman"/>
                <w:sz w:val="20"/>
                <w:szCs w:val="20"/>
              </w:rPr>
              <w:t>否</w:t>
            </w:r>
          </w:p>
        </w:tc>
        <w:tc>
          <w:tcPr>
            <w:tcW w:w="1300" w:type="dxa"/>
            <w:tcBorders>
              <w:top w:val="nil"/>
              <w:left w:val="nil"/>
              <w:bottom w:val="nil"/>
              <w:right w:val="nil"/>
            </w:tcBorders>
            <w:tcMar>
              <w:top w:w="0" w:type="dxa"/>
              <w:left w:w="45" w:type="dxa"/>
              <w:bottom w:w="0" w:type="dxa"/>
              <w:right w:w="45" w:type="dxa"/>
            </w:tcMar>
            <w:vAlign w:val="center"/>
          </w:tcPr>
          <w:p w14:paraId="7BB6B66B">
            <w:pPr>
              <w:spacing w:before="20" w:after="20"/>
              <w:jc w:val="center"/>
              <w:rPr>
                <w:rFonts w:ascii="Times New Roman" w:hAnsi="Times New Roman" w:cs="Times New Roman"/>
              </w:rPr>
            </w:pPr>
            <w:r>
              <w:rPr>
                <w:rFonts w:ascii="Times New Roman" w:hAnsi="Times New Roman" w:eastAsia="Times New Roman" w:cs="Times New Roman"/>
                <w:sz w:val="20"/>
                <w:szCs w:val="20"/>
              </w:rPr>
              <w:t>否</w:t>
            </w:r>
          </w:p>
        </w:tc>
        <w:tc>
          <w:tcPr>
            <w:tcW w:w="1300" w:type="dxa"/>
            <w:tcBorders>
              <w:top w:val="nil"/>
              <w:left w:val="nil"/>
              <w:bottom w:val="nil"/>
              <w:right w:val="nil"/>
            </w:tcBorders>
            <w:tcMar>
              <w:top w:w="0" w:type="dxa"/>
              <w:left w:w="45" w:type="dxa"/>
              <w:bottom w:w="0" w:type="dxa"/>
              <w:right w:w="45" w:type="dxa"/>
            </w:tcMar>
            <w:vAlign w:val="center"/>
          </w:tcPr>
          <w:p w14:paraId="4C574619">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2056" w:type="dxa"/>
            <w:tcBorders>
              <w:top w:val="nil"/>
              <w:left w:val="nil"/>
              <w:bottom w:val="nil"/>
              <w:right w:val="nil"/>
            </w:tcBorders>
            <w:tcMar>
              <w:top w:w="0" w:type="dxa"/>
              <w:left w:w="45" w:type="dxa"/>
              <w:bottom w:w="0" w:type="dxa"/>
              <w:right w:w="45" w:type="dxa"/>
            </w:tcMar>
            <w:vAlign w:val="center"/>
          </w:tcPr>
          <w:p w14:paraId="2E75A4BD">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4026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1D3EA3D0">
            <w:pPr>
              <w:spacing w:before="20" w:after="20"/>
              <w:jc w:val="center"/>
              <w:rPr>
                <w:rFonts w:ascii="Times New Roman" w:hAnsi="Times New Roman" w:cs="Times New Roman"/>
              </w:rPr>
            </w:pPr>
            <w:r>
              <w:rPr>
                <w:rFonts w:ascii="Times New Roman" w:hAnsi="Times New Roman" w:eastAsia="Times New Roman" w:cs="Times New Roman"/>
                <w:sz w:val="20"/>
                <w:szCs w:val="20"/>
              </w:rPr>
              <w:t>个体固定效应</w:t>
            </w:r>
          </w:p>
        </w:tc>
        <w:tc>
          <w:tcPr>
            <w:tcW w:w="1300" w:type="dxa"/>
            <w:tcBorders>
              <w:top w:val="nil"/>
              <w:left w:val="nil"/>
              <w:bottom w:val="nil"/>
              <w:right w:val="nil"/>
            </w:tcBorders>
            <w:tcMar>
              <w:top w:w="0" w:type="dxa"/>
              <w:left w:w="45" w:type="dxa"/>
              <w:bottom w:w="0" w:type="dxa"/>
              <w:right w:w="45" w:type="dxa"/>
            </w:tcMar>
            <w:vAlign w:val="center"/>
          </w:tcPr>
          <w:p w14:paraId="7B95CD24">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300" w:type="dxa"/>
            <w:tcBorders>
              <w:top w:val="nil"/>
              <w:left w:val="nil"/>
              <w:bottom w:val="nil"/>
              <w:right w:val="nil"/>
            </w:tcBorders>
            <w:tcMar>
              <w:top w:w="0" w:type="dxa"/>
              <w:left w:w="45" w:type="dxa"/>
              <w:bottom w:w="0" w:type="dxa"/>
              <w:right w:w="45" w:type="dxa"/>
            </w:tcMar>
            <w:vAlign w:val="center"/>
          </w:tcPr>
          <w:p w14:paraId="25FDD23B">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300" w:type="dxa"/>
            <w:tcBorders>
              <w:top w:val="nil"/>
              <w:left w:val="nil"/>
              <w:bottom w:val="nil"/>
              <w:right w:val="nil"/>
            </w:tcBorders>
            <w:tcMar>
              <w:top w:w="0" w:type="dxa"/>
              <w:left w:w="45" w:type="dxa"/>
              <w:bottom w:w="0" w:type="dxa"/>
              <w:right w:w="45" w:type="dxa"/>
            </w:tcMar>
            <w:vAlign w:val="center"/>
          </w:tcPr>
          <w:p w14:paraId="7843429B">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300" w:type="dxa"/>
            <w:tcBorders>
              <w:top w:val="nil"/>
              <w:left w:val="nil"/>
              <w:bottom w:val="nil"/>
              <w:right w:val="nil"/>
            </w:tcBorders>
            <w:tcMar>
              <w:top w:w="0" w:type="dxa"/>
              <w:left w:w="45" w:type="dxa"/>
              <w:bottom w:w="0" w:type="dxa"/>
              <w:right w:w="45" w:type="dxa"/>
            </w:tcMar>
            <w:vAlign w:val="center"/>
          </w:tcPr>
          <w:p w14:paraId="21D039BD">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2056" w:type="dxa"/>
            <w:tcBorders>
              <w:top w:val="nil"/>
              <w:left w:val="nil"/>
              <w:bottom w:val="nil"/>
              <w:right w:val="nil"/>
            </w:tcBorders>
            <w:tcMar>
              <w:top w:w="0" w:type="dxa"/>
              <w:left w:w="45" w:type="dxa"/>
              <w:bottom w:w="0" w:type="dxa"/>
              <w:right w:w="45" w:type="dxa"/>
            </w:tcMar>
            <w:vAlign w:val="center"/>
          </w:tcPr>
          <w:p w14:paraId="16F59275">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3352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738F2109">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1300" w:type="dxa"/>
            <w:tcBorders>
              <w:top w:val="nil"/>
              <w:left w:val="nil"/>
              <w:bottom w:val="nil"/>
              <w:right w:val="nil"/>
            </w:tcBorders>
            <w:tcMar>
              <w:top w:w="0" w:type="dxa"/>
              <w:left w:w="45" w:type="dxa"/>
              <w:bottom w:w="0" w:type="dxa"/>
              <w:right w:w="45" w:type="dxa"/>
            </w:tcMar>
            <w:vAlign w:val="center"/>
          </w:tcPr>
          <w:p w14:paraId="025C6A78">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300" w:type="dxa"/>
            <w:tcBorders>
              <w:top w:val="nil"/>
              <w:left w:val="nil"/>
              <w:bottom w:val="nil"/>
              <w:right w:val="nil"/>
            </w:tcBorders>
            <w:tcMar>
              <w:top w:w="0" w:type="dxa"/>
              <w:left w:w="45" w:type="dxa"/>
              <w:bottom w:w="0" w:type="dxa"/>
              <w:right w:w="45" w:type="dxa"/>
            </w:tcMar>
            <w:vAlign w:val="center"/>
          </w:tcPr>
          <w:p w14:paraId="33CA8A89">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300" w:type="dxa"/>
            <w:tcBorders>
              <w:top w:val="nil"/>
              <w:left w:val="nil"/>
              <w:bottom w:val="nil"/>
              <w:right w:val="nil"/>
            </w:tcBorders>
            <w:tcMar>
              <w:top w:w="0" w:type="dxa"/>
              <w:left w:w="45" w:type="dxa"/>
              <w:bottom w:w="0" w:type="dxa"/>
              <w:right w:w="45" w:type="dxa"/>
            </w:tcMar>
            <w:vAlign w:val="center"/>
          </w:tcPr>
          <w:p w14:paraId="352A5CEA">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300" w:type="dxa"/>
            <w:tcBorders>
              <w:top w:val="nil"/>
              <w:left w:val="nil"/>
              <w:bottom w:val="nil"/>
              <w:right w:val="nil"/>
            </w:tcBorders>
            <w:tcMar>
              <w:top w:w="0" w:type="dxa"/>
              <w:left w:w="45" w:type="dxa"/>
              <w:bottom w:w="0" w:type="dxa"/>
              <w:right w:w="45" w:type="dxa"/>
            </w:tcMar>
            <w:vAlign w:val="center"/>
          </w:tcPr>
          <w:p w14:paraId="43527583">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2056" w:type="dxa"/>
            <w:tcBorders>
              <w:top w:val="nil"/>
              <w:left w:val="nil"/>
              <w:bottom w:val="nil"/>
              <w:right w:val="nil"/>
            </w:tcBorders>
            <w:tcMar>
              <w:top w:w="0" w:type="dxa"/>
              <w:left w:w="45" w:type="dxa"/>
              <w:bottom w:w="0" w:type="dxa"/>
              <w:right w:w="45" w:type="dxa"/>
            </w:tcMar>
            <w:vAlign w:val="center"/>
          </w:tcPr>
          <w:p w14:paraId="24EC53B5">
            <w:pPr>
              <w:spacing w:before="20" w:after="20"/>
              <w:jc w:val="center"/>
              <w:rPr>
                <w:rFonts w:ascii="Times New Roman" w:hAnsi="Times New Roman" w:cs="Times New Roman"/>
              </w:rPr>
            </w:pPr>
            <w:r>
              <w:rPr>
                <w:rFonts w:ascii="Times New Roman" w:hAnsi="Times New Roman" w:eastAsia="Times New Roman" w:cs="Times New Roman"/>
                <w:sz w:val="20"/>
                <w:szCs w:val="20"/>
              </w:rPr>
              <w:t>6,893</w:t>
            </w:r>
          </w:p>
        </w:tc>
      </w:tr>
      <w:tr w14:paraId="5340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45" w:type="dxa"/>
              <w:bottom w:w="0" w:type="dxa"/>
              <w:right w:w="45" w:type="dxa"/>
            </w:tcMar>
            <w:vAlign w:val="center"/>
          </w:tcPr>
          <w:p w14:paraId="439AAAC7">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1300" w:type="dxa"/>
            <w:tcBorders>
              <w:top w:val="nil"/>
              <w:left w:val="nil"/>
              <w:bottom w:val="nil"/>
              <w:right w:val="nil"/>
            </w:tcBorders>
            <w:tcMar>
              <w:top w:w="0" w:type="dxa"/>
              <w:left w:w="45" w:type="dxa"/>
              <w:bottom w:w="0" w:type="dxa"/>
              <w:right w:w="45" w:type="dxa"/>
            </w:tcMar>
            <w:vAlign w:val="center"/>
          </w:tcPr>
          <w:p w14:paraId="5EC56575">
            <w:pPr>
              <w:spacing w:before="20" w:after="20"/>
              <w:jc w:val="center"/>
              <w:rPr>
                <w:rFonts w:ascii="Times New Roman" w:hAnsi="Times New Roman" w:cs="Times New Roman"/>
              </w:rPr>
            </w:pPr>
            <w:r>
              <w:rPr>
                <w:rFonts w:ascii="Times New Roman" w:hAnsi="Times New Roman" w:eastAsia="Times New Roman" w:cs="Times New Roman"/>
                <w:sz w:val="20"/>
                <w:szCs w:val="20"/>
              </w:rPr>
              <w:t>0.013</w:t>
            </w:r>
          </w:p>
        </w:tc>
        <w:tc>
          <w:tcPr>
            <w:tcW w:w="1300" w:type="dxa"/>
            <w:tcBorders>
              <w:top w:val="nil"/>
              <w:left w:val="nil"/>
              <w:bottom w:val="nil"/>
              <w:right w:val="nil"/>
            </w:tcBorders>
            <w:tcMar>
              <w:top w:w="0" w:type="dxa"/>
              <w:left w:w="45" w:type="dxa"/>
              <w:bottom w:w="0" w:type="dxa"/>
              <w:right w:w="45" w:type="dxa"/>
            </w:tcMar>
            <w:vAlign w:val="center"/>
          </w:tcPr>
          <w:p w14:paraId="6B223ABF">
            <w:pPr>
              <w:spacing w:before="20" w:after="20"/>
              <w:jc w:val="center"/>
              <w:rPr>
                <w:rFonts w:ascii="Times New Roman" w:hAnsi="Times New Roman" w:cs="Times New Roman"/>
              </w:rPr>
            </w:pPr>
            <w:r>
              <w:rPr>
                <w:rFonts w:ascii="Times New Roman" w:hAnsi="Times New Roman" w:eastAsia="Times New Roman" w:cs="Times New Roman"/>
                <w:sz w:val="20"/>
                <w:szCs w:val="20"/>
              </w:rPr>
              <w:t>0.035</w:t>
            </w:r>
          </w:p>
        </w:tc>
        <w:tc>
          <w:tcPr>
            <w:tcW w:w="1300" w:type="dxa"/>
            <w:tcBorders>
              <w:top w:val="nil"/>
              <w:left w:val="nil"/>
              <w:bottom w:val="nil"/>
              <w:right w:val="nil"/>
            </w:tcBorders>
            <w:tcMar>
              <w:top w:w="0" w:type="dxa"/>
              <w:left w:w="45" w:type="dxa"/>
              <w:bottom w:w="0" w:type="dxa"/>
              <w:right w:w="45" w:type="dxa"/>
            </w:tcMar>
            <w:vAlign w:val="center"/>
          </w:tcPr>
          <w:p w14:paraId="2280E977">
            <w:pPr>
              <w:spacing w:before="20" w:after="20"/>
              <w:jc w:val="center"/>
              <w:rPr>
                <w:rFonts w:ascii="Times New Roman" w:hAnsi="Times New Roman" w:cs="Times New Roman"/>
              </w:rPr>
            </w:pPr>
            <w:r>
              <w:rPr>
                <w:rFonts w:ascii="Times New Roman" w:hAnsi="Times New Roman" w:eastAsia="Times New Roman" w:cs="Times New Roman"/>
                <w:sz w:val="20"/>
                <w:szCs w:val="20"/>
              </w:rPr>
              <w:t>0.123</w:t>
            </w:r>
          </w:p>
        </w:tc>
        <w:tc>
          <w:tcPr>
            <w:tcW w:w="1300" w:type="dxa"/>
            <w:tcBorders>
              <w:top w:val="nil"/>
              <w:left w:val="nil"/>
              <w:bottom w:val="nil"/>
              <w:right w:val="nil"/>
            </w:tcBorders>
            <w:tcMar>
              <w:top w:w="0" w:type="dxa"/>
              <w:left w:w="45" w:type="dxa"/>
              <w:bottom w:w="0" w:type="dxa"/>
              <w:right w:w="45" w:type="dxa"/>
            </w:tcMar>
            <w:vAlign w:val="center"/>
          </w:tcPr>
          <w:p w14:paraId="020A56C8">
            <w:pPr>
              <w:spacing w:before="20" w:after="20"/>
              <w:jc w:val="center"/>
              <w:rPr>
                <w:rFonts w:ascii="Times New Roman" w:hAnsi="Times New Roman" w:cs="Times New Roman"/>
              </w:rPr>
            </w:pPr>
            <w:r>
              <w:rPr>
                <w:rFonts w:ascii="Times New Roman" w:hAnsi="Times New Roman" w:eastAsia="Times New Roman" w:cs="Times New Roman"/>
                <w:sz w:val="20"/>
                <w:szCs w:val="20"/>
              </w:rPr>
              <w:t>0.164</w:t>
            </w:r>
          </w:p>
        </w:tc>
        <w:tc>
          <w:tcPr>
            <w:tcW w:w="2056" w:type="dxa"/>
            <w:tcBorders>
              <w:top w:val="nil"/>
              <w:left w:val="nil"/>
              <w:bottom w:val="nil"/>
              <w:right w:val="nil"/>
            </w:tcBorders>
            <w:tcMar>
              <w:top w:w="0" w:type="dxa"/>
              <w:left w:w="45" w:type="dxa"/>
              <w:bottom w:w="0" w:type="dxa"/>
              <w:right w:w="45" w:type="dxa"/>
            </w:tcMar>
            <w:vAlign w:val="center"/>
          </w:tcPr>
          <w:p w14:paraId="2F5360D5">
            <w:pPr>
              <w:spacing w:before="20" w:after="20"/>
              <w:jc w:val="center"/>
              <w:rPr>
                <w:rFonts w:ascii="Times New Roman" w:hAnsi="Times New Roman" w:cs="Times New Roman"/>
              </w:rPr>
            </w:pPr>
            <w:r>
              <w:rPr>
                <w:rFonts w:ascii="Times New Roman" w:hAnsi="Times New Roman" w:eastAsia="Times New Roman" w:cs="Times New Roman"/>
                <w:sz w:val="20"/>
                <w:szCs w:val="20"/>
              </w:rPr>
              <w:t>0.298</w:t>
            </w:r>
          </w:p>
        </w:tc>
      </w:tr>
      <w:tr w14:paraId="096B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200" w:type="dxa"/>
            <w:tcBorders>
              <w:top w:val="nil"/>
              <w:left w:val="nil"/>
              <w:bottom w:val="single" w:color="000000" w:sz="10" w:space="0"/>
              <w:right w:val="nil"/>
            </w:tcBorders>
            <w:tcMar>
              <w:top w:w="0" w:type="dxa"/>
              <w:left w:w="45" w:type="dxa"/>
              <w:bottom w:w="0" w:type="dxa"/>
              <w:right w:w="45" w:type="dxa"/>
            </w:tcMar>
            <w:vAlign w:val="center"/>
          </w:tcPr>
          <w:p w14:paraId="0FCC3EDD">
            <w:pPr>
              <w:spacing w:before="20" w:after="20"/>
              <w:jc w:val="center"/>
              <w:rPr>
                <w:rFonts w:ascii="Times New Roman" w:hAnsi="Times New Roman" w:cs="Times New Roman"/>
              </w:rPr>
            </w:pPr>
            <w:r>
              <w:rPr>
                <w:rFonts w:ascii="Times New Roman" w:hAnsi="Times New Roman" w:eastAsia="Times New Roman" w:cs="Times New Roman"/>
                <w:sz w:val="20"/>
                <w:szCs w:val="20"/>
              </w:rPr>
              <w:t>UP主数量</w:t>
            </w:r>
          </w:p>
        </w:tc>
        <w:tc>
          <w:tcPr>
            <w:tcW w:w="1300" w:type="dxa"/>
            <w:tcBorders>
              <w:top w:val="nil"/>
              <w:left w:val="nil"/>
              <w:bottom w:val="single" w:color="000000" w:sz="10" w:space="0"/>
              <w:right w:val="nil"/>
            </w:tcBorders>
            <w:tcMar>
              <w:top w:w="0" w:type="dxa"/>
              <w:left w:w="45" w:type="dxa"/>
              <w:bottom w:w="0" w:type="dxa"/>
              <w:right w:w="45" w:type="dxa"/>
            </w:tcMar>
            <w:vAlign w:val="center"/>
          </w:tcPr>
          <w:p w14:paraId="36539AFE">
            <w:pPr>
              <w:spacing w:before="20" w:after="20"/>
              <w:jc w:val="center"/>
              <w:rPr>
                <w:rFonts w:ascii="Times New Roman" w:hAnsi="Times New Roman" w:cs="Times New Roman"/>
              </w:rPr>
            </w:pPr>
            <w:r>
              <w:rPr>
                <w:rFonts w:ascii="Times New Roman" w:hAnsi="Times New Roman" w:eastAsia="Times New Roman" w:cs="Times New Roman"/>
                <w:sz w:val="20"/>
                <w:szCs w:val="20"/>
              </w:rPr>
              <w:t>72</w:t>
            </w:r>
          </w:p>
        </w:tc>
        <w:tc>
          <w:tcPr>
            <w:tcW w:w="1300" w:type="dxa"/>
            <w:tcBorders>
              <w:top w:val="nil"/>
              <w:left w:val="nil"/>
              <w:bottom w:val="single" w:color="000000" w:sz="10" w:space="0"/>
              <w:right w:val="nil"/>
            </w:tcBorders>
            <w:tcMar>
              <w:top w:w="0" w:type="dxa"/>
              <w:left w:w="45" w:type="dxa"/>
              <w:bottom w:w="0" w:type="dxa"/>
              <w:right w:w="45" w:type="dxa"/>
            </w:tcMar>
            <w:vAlign w:val="center"/>
          </w:tcPr>
          <w:p w14:paraId="06A6EB4A">
            <w:pPr>
              <w:spacing w:before="20" w:after="20"/>
              <w:jc w:val="center"/>
              <w:rPr>
                <w:rFonts w:ascii="Times New Roman" w:hAnsi="Times New Roman" w:cs="Times New Roman"/>
              </w:rPr>
            </w:pPr>
            <w:r>
              <w:rPr>
                <w:rFonts w:ascii="Times New Roman" w:hAnsi="Times New Roman" w:eastAsia="Times New Roman" w:cs="Times New Roman"/>
                <w:sz w:val="20"/>
                <w:szCs w:val="20"/>
              </w:rPr>
              <w:t>72</w:t>
            </w:r>
          </w:p>
        </w:tc>
        <w:tc>
          <w:tcPr>
            <w:tcW w:w="1300" w:type="dxa"/>
            <w:tcBorders>
              <w:top w:val="nil"/>
              <w:left w:val="nil"/>
              <w:bottom w:val="single" w:color="000000" w:sz="10" w:space="0"/>
              <w:right w:val="nil"/>
            </w:tcBorders>
            <w:tcMar>
              <w:top w:w="0" w:type="dxa"/>
              <w:left w:w="45" w:type="dxa"/>
              <w:bottom w:w="0" w:type="dxa"/>
              <w:right w:w="45" w:type="dxa"/>
            </w:tcMar>
            <w:vAlign w:val="center"/>
          </w:tcPr>
          <w:p w14:paraId="63596FA5">
            <w:pPr>
              <w:spacing w:before="20" w:after="20"/>
              <w:jc w:val="center"/>
              <w:rPr>
                <w:rFonts w:ascii="Times New Roman" w:hAnsi="Times New Roman" w:cs="Times New Roman"/>
              </w:rPr>
            </w:pPr>
            <w:r>
              <w:rPr>
                <w:rFonts w:ascii="Times New Roman" w:hAnsi="Times New Roman" w:eastAsia="Times New Roman" w:cs="Times New Roman"/>
                <w:sz w:val="20"/>
                <w:szCs w:val="20"/>
              </w:rPr>
              <w:t>72</w:t>
            </w:r>
          </w:p>
        </w:tc>
        <w:tc>
          <w:tcPr>
            <w:tcW w:w="1300" w:type="dxa"/>
            <w:tcBorders>
              <w:top w:val="nil"/>
              <w:left w:val="nil"/>
              <w:bottom w:val="single" w:color="000000" w:sz="10" w:space="0"/>
              <w:right w:val="nil"/>
            </w:tcBorders>
            <w:tcMar>
              <w:top w:w="0" w:type="dxa"/>
              <w:left w:w="45" w:type="dxa"/>
              <w:bottom w:w="0" w:type="dxa"/>
              <w:right w:w="45" w:type="dxa"/>
            </w:tcMar>
            <w:vAlign w:val="center"/>
          </w:tcPr>
          <w:p w14:paraId="332A665F">
            <w:pPr>
              <w:spacing w:before="20" w:after="20"/>
              <w:jc w:val="center"/>
              <w:rPr>
                <w:rFonts w:ascii="Times New Roman" w:hAnsi="Times New Roman" w:cs="Times New Roman"/>
              </w:rPr>
            </w:pPr>
            <w:r>
              <w:rPr>
                <w:rFonts w:ascii="Times New Roman" w:hAnsi="Times New Roman" w:eastAsia="Times New Roman" w:cs="Times New Roman"/>
                <w:sz w:val="20"/>
                <w:szCs w:val="20"/>
              </w:rPr>
              <w:t>72</w:t>
            </w:r>
          </w:p>
        </w:tc>
        <w:tc>
          <w:tcPr>
            <w:tcW w:w="2056" w:type="dxa"/>
            <w:tcBorders>
              <w:top w:val="nil"/>
              <w:left w:val="nil"/>
              <w:bottom w:val="single" w:color="000000" w:sz="10" w:space="0"/>
              <w:right w:val="nil"/>
            </w:tcBorders>
            <w:tcMar>
              <w:top w:w="0" w:type="dxa"/>
              <w:left w:w="45" w:type="dxa"/>
              <w:bottom w:w="0" w:type="dxa"/>
              <w:right w:w="45" w:type="dxa"/>
            </w:tcMar>
            <w:vAlign w:val="center"/>
          </w:tcPr>
          <w:p w14:paraId="6D96B9BC">
            <w:pPr>
              <w:spacing w:before="20" w:after="20"/>
              <w:jc w:val="center"/>
              <w:rPr>
                <w:rFonts w:ascii="Times New Roman" w:hAnsi="Times New Roman" w:cs="Times New Roman"/>
              </w:rPr>
            </w:pPr>
            <w:commentRangeStart w:id="11"/>
            <w:r>
              <w:rPr>
                <w:rFonts w:ascii="Times New Roman" w:hAnsi="Times New Roman" w:eastAsia="Times New Roman" w:cs="Times New Roman"/>
                <w:sz w:val="20"/>
                <w:szCs w:val="20"/>
              </w:rPr>
              <w:t>72</w:t>
            </w:r>
            <w:commentRangeEnd w:id="11"/>
            <w:r>
              <w:rPr>
                <w:rStyle w:val="23"/>
              </w:rPr>
              <w:commentReference w:id="11"/>
            </w:r>
          </w:p>
        </w:tc>
      </w:tr>
    </w:tbl>
    <w:p w14:paraId="5C5E0BBB">
      <w:pPr>
        <w:spacing w:before="60" w:after="120"/>
        <w:jc w:val="left"/>
        <w:rPr>
          <w:rFonts w:ascii="Times New Roman" w:hAnsi="Times New Roman" w:cs="Times New Roman"/>
        </w:rPr>
      </w:pPr>
      <w:r>
        <w:rPr>
          <w:rFonts w:ascii="Times New Roman" w:hAnsi="Times New Roman" w:cs="Times New Roman"/>
          <w:sz w:val="18"/>
          <w:szCs w:val="18"/>
        </w:rPr>
        <w:t>注：括号内为聚类稳健t统计量（聚类至UP主层面）。***p&lt;0.01，**p&lt;0.05，*p&lt;0.1。因变量为内容质量指数（Quality_Index）。ln_fans在个体固定效应模型中被完全吸收，不单独报告。</w:t>
      </w:r>
    </w:p>
    <w:p w14:paraId="50D15B59">
      <w:pPr>
        <w:spacing w:before="300" w:after="150"/>
        <w:outlineLvl w:val="2"/>
        <w:rPr>
          <w:rFonts w:ascii="Times New Roman" w:hAnsi="Times New Roman" w:eastAsia="黑体" w:cs="Times New Roman"/>
          <w:b/>
          <w:bCs/>
          <w:sz w:val="28"/>
          <w:szCs w:val="28"/>
        </w:rPr>
      </w:pPr>
      <w:bookmarkStart w:id="67" w:name="_Toc29489"/>
      <w:r>
        <w:rPr>
          <w:rFonts w:ascii="Times New Roman" w:hAnsi="Times New Roman" w:eastAsia="黑体" w:cs="Times New Roman"/>
          <w:b/>
          <w:bCs/>
          <w:sz w:val="28"/>
          <w:szCs w:val="28"/>
        </w:rPr>
        <w:t>5.3  内生性检验</w:t>
      </w:r>
      <w:bookmarkEnd w:id="67"/>
    </w:p>
    <w:p w14:paraId="7393A2E1">
      <w:pPr>
        <w:spacing w:line="288" w:lineRule="auto"/>
        <w:ind w:firstLine="480"/>
        <w:rPr>
          <w:rFonts w:ascii="Times New Roman" w:hAnsi="Times New Roman" w:cs="Times New Roman"/>
        </w:rPr>
      </w:pPr>
      <w:r>
        <w:rPr>
          <w:rFonts w:ascii="Times New Roman" w:hAnsi="Times New Roman" w:cs="Times New Roman"/>
        </w:rPr>
        <w:t>投币数与内容质量之间可能存在反向因果问题：不仅前期投币影响后续质量，也可能是高质量内容本身持续吸引更多投币，从而导致基准回归系数的内生性偏误。为应对这一潜在问题，本文除采用滞后两期处理缓解同期反向因果外，还进一步运用Lewbel（2012）异方差工具变量法进行内生性检验。该方法无需外部工具变量，利用模型残差的异方差结构自动生成内部工具变量，适用于外部工具变量难以获取的面板情境。</w:t>
      </w:r>
    </w:p>
    <w:p w14:paraId="692A7E04">
      <w:pPr>
        <w:spacing w:line="288" w:lineRule="auto"/>
        <w:ind w:firstLine="480"/>
        <w:rPr>
          <w:rFonts w:ascii="Times New Roman" w:hAnsi="Times New Roman" w:cs="Times New Roman"/>
        </w:rPr>
      </w:pPr>
      <w:r>
        <w:rPr>
          <w:rFonts w:ascii="Times New Roman" w:hAnsi="Times New Roman" w:cs="Times New Roman"/>
        </w:rPr>
        <w:t>具体做法为：在对全部变量进行组内去均值消除个体固定效应后，以去均值后的核心解释变量wX（即dm_L2_ln_coin）为内生变量，利用ivreg2h程序自动构造基于异方差的工具变量并估计IV方程。表6报告了Lewbel IV的估计结果。</w:t>
      </w:r>
      <w:commentRangeStart w:id="12"/>
      <w:r>
        <w:rPr>
          <w:rFonts w:ascii="Times New Roman" w:hAnsi="Times New Roman" w:cs="Times New Roman"/>
          <w:highlight w:val="green"/>
        </w:rPr>
        <w:t>结果显示，wX（组内去均值后的投币变量）系数为0.997（z=0.840），方向为正、与基准回归结果一致，但在常规显著性水平下未能达到统计显著。</w:t>
      </w:r>
      <w:commentRangeEnd w:id="12"/>
      <w:r>
        <w:rPr>
          <w:rStyle w:val="23"/>
        </w:rPr>
        <w:commentReference w:id="12"/>
      </w:r>
      <w:r>
        <w:rPr>
          <w:rFonts w:ascii="Times New Roman" w:hAnsi="Times New Roman" w:cs="Times New Roman"/>
        </w:rPr>
        <w:t>这一结果的形成有其合理原因：Lewbel异方差工具变量的识别效力依赖于模型残差中异方差信息的丰富程度，在已对全部变量进行组内去均值、大量组间变异被消除的情况下，IV估计的有效性会有所下降，标准误自然扩大；此外，二阶滞后的处理本身已将大部分同期内生性过滤，IV估计所能识别的额外信息量受到限制。综合来看，Lewbel IV结果保持了与基准回归方向上的一致性，系数未出现符号反转或量级突变，从方向性层面支持了基准回归结论的稳健性。本文认为，基准回归中采用的双向固定效应加滞后两期设定，已在相当程度上处理了主要的内生性来源。</w:t>
      </w:r>
    </w:p>
    <w:p w14:paraId="78814CF2">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t xml:space="preserve"> 内生性检验——Lewbel异方差工具变量法</w:t>
      </w:r>
    </w:p>
    <w:tbl>
      <w:tblPr>
        <w:tblStyle w:val="1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900"/>
      </w:tblGrid>
      <w:tr w14:paraId="54CD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22FC3F81">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59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1F1957A">
            <w:pPr>
              <w:spacing w:before="20" w:after="20"/>
              <w:jc w:val="center"/>
              <w:rPr>
                <w:rFonts w:ascii="Times New Roman" w:hAnsi="Times New Roman" w:cs="Times New Roman"/>
              </w:rPr>
            </w:pPr>
            <w:r>
              <w:rPr>
                <w:rFonts w:ascii="Times New Roman" w:hAnsi="Times New Roman" w:eastAsia="Times New Roman" w:cs="Times New Roman"/>
                <w:b/>
                <w:bCs/>
                <w:sz w:val="20"/>
                <w:szCs w:val="20"/>
              </w:rPr>
              <w:t>系数（IV）</w:t>
            </w:r>
          </w:p>
        </w:tc>
      </w:tr>
      <w:tr w14:paraId="4450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66C44DE9">
            <w:pPr>
              <w:spacing w:before="20" w:after="20"/>
              <w:jc w:val="center"/>
              <w:rPr>
                <w:rFonts w:ascii="Times New Roman" w:hAnsi="Times New Roman" w:cs="Times New Roman"/>
              </w:rPr>
            </w:pPr>
            <w:r>
              <w:rPr>
                <w:rFonts w:ascii="Times New Roman" w:hAnsi="Times New Roman" w:eastAsia="Times New Roman" w:cs="Times New Roman"/>
                <w:sz w:val="20"/>
                <w:szCs w:val="20"/>
              </w:rPr>
              <w:t>wX（组内去均值投币变量）</w:t>
            </w:r>
          </w:p>
        </w:tc>
        <w:tc>
          <w:tcPr>
            <w:tcW w:w="5900" w:type="dxa"/>
            <w:tcBorders>
              <w:top w:val="nil"/>
              <w:left w:val="nil"/>
              <w:bottom w:val="nil"/>
              <w:right w:val="nil"/>
            </w:tcBorders>
            <w:tcMar>
              <w:top w:w="0" w:type="dxa"/>
              <w:left w:w="0" w:type="dxa"/>
              <w:bottom w:w="0" w:type="dxa"/>
              <w:right w:w="0" w:type="dxa"/>
            </w:tcMar>
            <w:vAlign w:val="center"/>
          </w:tcPr>
          <w:p w14:paraId="16BDFD44">
            <w:pPr>
              <w:spacing w:before="20" w:after="20"/>
              <w:jc w:val="center"/>
              <w:rPr>
                <w:rFonts w:ascii="Times New Roman" w:hAnsi="Times New Roman" w:cs="Times New Roman"/>
              </w:rPr>
            </w:pPr>
            <w:r>
              <w:rPr>
                <w:rFonts w:ascii="Times New Roman" w:hAnsi="Times New Roman" w:eastAsia="Times New Roman" w:cs="Times New Roman"/>
                <w:sz w:val="20"/>
                <w:szCs w:val="20"/>
              </w:rPr>
              <w:t>0.997</w:t>
            </w:r>
          </w:p>
        </w:tc>
      </w:tr>
      <w:tr w14:paraId="5C74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1F870163">
            <w:pPr>
              <w:spacing w:before="20" w:after="20"/>
              <w:jc w:val="center"/>
              <w:rPr>
                <w:rFonts w:ascii="Times New Roman" w:hAnsi="Times New Roman" w:cs="Times New Roman"/>
              </w:rPr>
            </w:pPr>
          </w:p>
        </w:tc>
        <w:tc>
          <w:tcPr>
            <w:tcW w:w="5900" w:type="dxa"/>
            <w:tcBorders>
              <w:top w:val="nil"/>
              <w:left w:val="nil"/>
              <w:bottom w:val="nil"/>
              <w:right w:val="nil"/>
            </w:tcBorders>
            <w:tcMar>
              <w:top w:w="0" w:type="dxa"/>
              <w:left w:w="0" w:type="dxa"/>
              <w:bottom w:w="0" w:type="dxa"/>
              <w:right w:w="0" w:type="dxa"/>
            </w:tcMar>
            <w:vAlign w:val="center"/>
          </w:tcPr>
          <w:p w14:paraId="1A9E92BB">
            <w:pPr>
              <w:spacing w:before="20" w:after="20"/>
              <w:jc w:val="center"/>
              <w:rPr>
                <w:rFonts w:ascii="Times New Roman" w:hAnsi="Times New Roman" w:cs="Times New Roman"/>
              </w:rPr>
            </w:pPr>
            <w:r>
              <w:rPr>
                <w:rFonts w:ascii="Times New Roman" w:hAnsi="Times New Roman" w:eastAsia="Times New Roman" w:cs="Times New Roman"/>
                <w:sz w:val="20"/>
                <w:szCs w:val="20"/>
              </w:rPr>
              <w:t>(0.840)</w:t>
            </w:r>
          </w:p>
        </w:tc>
      </w:tr>
      <w:tr w14:paraId="6C0C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nil"/>
              <w:left w:val="nil"/>
              <w:bottom w:val="nil"/>
              <w:right w:val="nil"/>
            </w:tcBorders>
            <w:tcMar>
              <w:top w:w="0" w:type="dxa"/>
              <w:left w:w="0" w:type="dxa"/>
              <w:bottom w:w="0" w:type="dxa"/>
              <w:right w:w="0" w:type="dxa"/>
            </w:tcMar>
            <w:vAlign w:val="center"/>
          </w:tcPr>
          <w:p w14:paraId="1655A692">
            <w:pPr>
              <w:spacing w:before="20" w:after="20"/>
              <w:jc w:val="center"/>
              <w:rPr>
                <w:rFonts w:ascii="Times New Roman" w:hAnsi="Times New Roman" w:cs="Times New Roman"/>
              </w:rPr>
            </w:pPr>
            <w:r>
              <w:rPr>
                <w:rFonts w:ascii="Times New Roman" w:hAnsi="Times New Roman" w:eastAsia="Times New Roman" w:cs="Times New Roman"/>
                <w:sz w:val="20"/>
                <w:szCs w:val="20"/>
              </w:rPr>
              <w:t>wLk（组内去均值点赞变量）</w:t>
            </w:r>
          </w:p>
        </w:tc>
        <w:tc>
          <w:tcPr>
            <w:tcW w:w="5900" w:type="dxa"/>
            <w:tcBorders>
              <w:top w:val="nil"/>
              <w:left w:val="nil"/>
              <w:bottom w:val="nil"/>
              <w:right w:val="nil"/>
            </w:tcBorders>
            <w:tcMar>
              <w:top w:w="0" w:type="dxa"/>
              <w:left w:w="0" w:type="dxa"/>
              <w:bottom w:w="0" w:type="dxa"/>
              <w:right w:w="0" w:type="dxa"/>
            </w:tcMar>
            <w:vAlign w:val="center"/>
          </w:tcPr>
          <w:p w14:paraId="3D7F6103">
            <w:pPr>
              <w:spacing w:before="20" w:after="20"/>
              <w:jc w:val="center"/>
              <w:rPr>
                <w:rFonts w:ascii="Times New Roman" w:hAnsi="Times New Roman" w:cs="Times New Roman"/>
              </w:rPr>
            </w:pPr>
            <w:r>
              <w:rPr>
                <w:rFonts w:ascii="Times New Roman" w:hAnsi="Times New Roman" w:eastAsia="Times New Roman" w:cs="Times New Roman"/>
                <w:sz w:val="20"/>
                <w:szCs w:val="20"/>
              </w:rPr>
              <w:t>0.966</w:t>
            </w:r>
          </w:p>
        </w:tc>
      </w:tr>
      <w:tr w14:paraId="74E8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55DD0FA4">
            <w:pPr>
              <w:spacing w:before="20" w:after="20"/>
              <w:jc w:val="center"/>
              <w:rPr>
                <w:rFonts w:ascii="Times New Roman" w:hAnsi="Times New Roman" w:cs="Times New Roman"/>
              </w:rPr>
            </w:pPr>
          </w:p>
        </w:tc>
        <w:tc>
          <w:tcPr>
            <w:tcW w:w="5900" w:type="dxa"/>
            <w:tcBorders>
              <w:top w:val="nil"/>
              <w:left w:val="nil"/>
              <w:bottom w:val="nil"/>
              <w:right w:val="nil"/>
            </w:tcBorders>
            <w:tcMar>
              <w:top w:w="0" w:type="dxa"/>
              <w:left w:w="0" w:type="dxa"/>
              <w:bottom w:w="0" w:type="dxa"/>
              <w:right w:w="0" w:type="dxa"/>
            </w:tcMar>
            <w:vAlign w:val="center"/>
          </w:tcPr>
          <w:p w14:paraId="1F3A557E">
            <w:pPr>
              <w:spacing w:before="20" w:after="20"/>
              <w:jc w:val="center"/>
              <w:rPr>
                <w:rFonts w:ascii="Times New Roman" w:hAnsi="Times New Roman" w:cs="Times New Roman"/>
              </w:rPr>
            </w:pPr>
            <w:r>
              <w:rPr>
                <w:rFonts w:ascii="Times New Roman" w:hAnsi="Times New Roman" w:eastAsia="Times New Roman" w:cs="Times New Roman"/>
                <w:sz w:val="20"/>
                <w:szCs w:val="20"/>
              </w:rPr>
              <w:t>(1.312)</w:t>
            </w:r>
          </w:p>
        </w:tc>
      </w:tr>
      <w:tr w14:paraId="6F6C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0FCC6987">
            <w:pPr>
              <w:spacing w:before="20" w:after="20"/>
              <w:jc w:val="center"/>
              <w:rPr>
                <w:rFonts w:ascii="Times New Roman" w:hAnsi="Times New Roman" w:cs="Times New Roman"/>
              </w:rPr>
            </w:pPr>
            <w:r>
              <w:rPr>
                <w:rFonts w:ascii="Times New Roman" w:hAnsi="Times New Roman" w:eastAsia="Times New Roman" w:cs="Times New Roman"/>
                <w:sz w:val="20"/>
                <w:szCs w:val="20"/>
              </w:rPr>
              <w:t>wFv（组内去均值收藏变量）</w:t>
            </w:r>
          </w:p>
        </w:tc>
        <w:tc>
          <w:tcPr>
            <w:tcW w:w="5900" w:type="dxa"/>
            <w:tcBorders>
              <w:top w:val="nil"/>
              <w:left w:val="nil"/>
              <w:bottom w:val="nil"/>
              <w:right w:val="nil"/>
            </w:tcBorders>
            <w:tcMar>
              <w:top w:w="0" w:type="dxa"/>
              <w:left w:w="0" w:type="dxa"/>
              <w:bottom w:w="0" w:type="dxa"/>
              <w:right w:w="0" w:type="dxa"/>
            </w:tcMar>
            <w:vAlign w:val="center"/>
          </w:tcPr>
          <w:p w14:paraId="1754337D">
            <w:pPr>
              <w:spacing w:before="20" w:after="20"/>
              <w:jc w:val="center"/>
              <w:rPr>
                <w:rFonts w:ascii="Times New Roman" w:hAnsi="Times New Roman" w:cs="Times New Roman"/>
              </w:rPr>
            </w:pPr>
            <w:r>
              <w:rPr>
                <w:rFonts w:ascii="Times New Roman" w:hAnsi="Times New Roman" w:eastAsia="Times New Roman" w:cs="Times New Roman"/>
                <w:sz w:val="20"/>
                <w:szCs w:val="20"/>
              </w:rPr>
              <w:t>-1.371**</w:t>
            </w:r>
          </w:p>
        </w:tc>
      </w:tr>
      <w:tr w14:paraId="42DC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72F74356">
            <w:pPr>
              <w:spacing w:before="20" w:after="20"/>
              <w:jc w:val="center"/>
              <w:rPr>
                <w:rFonts w:ascii="Times New Roman" w:hAnsi="Times New Roman" w:cs="Times New Roman"/>
              </w:rPr>
            </w:pPr>
          </w:p>
        </w:tc>
        <w:tc>
          <w:tcPr>
            <w:tcW w:w="5900" w:type="dxa"/>
            <w:tcBorders>
              <w:top w:val="nil"/>
              <w:left w:val="nil"/>
              <w:bottom w:val="nil"/>
              <w:right w:val="nil"/>
            </w:tcBorders>
            <w:tcMar>
              <w:top w:w="0" w:type="dxa"/>
              <w:left w:w="0" w:type="dxa"/>
              <w:bottom w:w="0" w:type="dxa"/>
              <w:right w:w="0" w:type="dxa"/>
            </w:tcMar>
            <w:vAlign w:val="center"/>
          </w:tcPr>
          <w:p w14:paraId="6816F970">
            <w:pPr>
              <w:spacing w:before="20" w:after="20"/>
              <w:jc w:val="center"/>
              <w:rPr>
                <w:rFonts w:ascii="Times New Roman" w:hAnsi="Times New Roman" w:cs="Times New Roman"/>
              </w:rPr>
            </w:pPr>
            <w:r>
              <w:rPr>
                <w:rFonts w:ascii="Times New Roman" w:hAnsi="Times New Roman" w:eastAsia="Times New Roman" w:cs="Times New Roman"/>
                <w:sz w:val="20"/>
                <w:szCs w:val="20"/>
              </w:rPr>
              <w:t>(-2.141)</w:t>
            </w:r>
          </w:p>
        </w:tc>
      </w:tr>
      <w:tr w14:paraId="3838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6AB2A3DA">
            <w:pPr>
              <w:spacing w:before="20" w:after="20"/>
              <w:jc w:val="center"/>
              <w:rPr>
                <w:rFonts w:ascii="Times New Roman" w:hAnsi="Times New Roman" w:cs="Times New Roman"/>
              </w:rPr>
            </w:pPr>
            <w:r>
              <w:rPr>
                <w:rFonts w:ascii="Times New Roman" w:hAnsi="Times New Roman" w:eastAsia="Times New Roman" w:cs="Times New Roman"/>
                <w:sz w:val="20"/>
                <w:szCs w:val="20"/>
              </w:rPr>
              <w:t>wDr（组内去均值时长变量）</w:t>
            </w:r>
          </w:p>
        </w:tc>
        <w:tc>
          <w:tcPr>
            <w:tcW w:w="5900" w:type="dxa"/>
            <w:tcBorders>
              <w:top w:val="nil"/>
              <w:left w:val="nil"/>
              <w:bottom w:val="nil"/>
              <w:right w:val="nil"/>
            </w:tcBorders>
            <w:tcMar>
              <w:top w:w="0" w:type="dxa"/>
              <w:left w:w="0" w:type="dxa"/>
              <w:bottom w:w="0" w:type="dxa"/>
              <w:right w:w="0" w:type="dxa"/>
            </w:tcMar>
            <w:vAlign w:val="center"/>
          </w:tcPr>
          <w:p w14:paraId="7A3DD052">
            <w:pPr>
              <w:spacing w:before="20" w:after="20"/>
              <w:jc w:val="center"/>
              <w:rPr>
                <w:rFonts w:ascii="Times New Roman" w:hAnsi="Times New Roman" w:cs="Times New Roman"/>
              </w:rPr>
            </w:pPr>
            <w:r>
              <w:rPr>
                <w:rFonts w:ascii="Times New Roman" w:hAnsi="Times New Roman" w:eastAsia="Times New Roman" w:cs="Times New Roman"/>
                <w:sz w:val="20"/>
                <w:szCs w:val="20"/>
              </w:rPr>
              <w:t>4.424***</w:t>
            </w:r>
          </w:p>
        </w:tc>
      </w:tr>
      <w:tr w14:paraId="0369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0124564C">
            <w:pPr>
              <w:spacing w:before="20" w:after="20"/>
              <w:jc w:val="center"/>
              <w:rPr>
                <w:rFonts w:ascii="Times New Roman" w:hAnsi="Times New Roman" w:cs="Times New Roman"/>
              </w:rPr>
            </w:pPr>
          </w:p>
        </w:tc>
        <w:tc>
          <w:tcPr>
            <w:tcW w:w="5900" w:type="dxa"/>
            <w:tcBorders>
              <w:top w:val="nil"/>
              <w:left w:val="nil"/>
              <w:bottom w:val="nil"/>
              <w:right w:val="nil"/>
            </w:tcBorders>
            <w:tcMar>
              <w:top w:w="0" w:type="dxa"/>
              <w:left w:w="0" w:type="dxa"/>
              <w:bottom w:w="0" w:type="dxa"/>
              <w:right w:w="0" w:type="dxa"/>
            </w:tcMar>
            <w:vAlign w:val="center"/>
          </w:tcPr>
          <w:p w14:paraId="6F5657A5">
            <w:pPr>
              <w:spacing w:before="20" w:after="20"/>
              <w:jc w:val="center"/>
              <w:rPr>
                <w:rFonts w:ascii="Times New Roman" w:hAnsi="Times New Roman" w:cs="Times New Roman"/>
              </w:rPr>
            </w:pPr>
            <w:r>
              <w:rPr>
                <w:rFonts w:ascii="Times New Roman" w:hAnsi="Times New Roman" w:eastAsia="Times New Roman" w:cs="Times New Roman"/>
                <w:sz w:val="20"/>
                <w:szCs w:val="20"/>
              </w:rPr>
              <w:t>(9.052)</w:t>
            </w:r>
          </w:p>
        </w:tc>
      </w:tr>
      <w:tr w14:paraId="26C9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126ED28B">
            <w:pPr>
              <w:spacing w:before="20" w:after="20"/>
              <w:jc w:val="center"/>
              <w:rPr>
                <w:rFonts w:ascii="Times New Roman" w:hAnsi="Times New Roman" w:cs="Times New Roman"/>
              </w:rPr>
            </w:pPr>
            <w:r>
              <w:rPr>
                <w:rFonts w:ascii="Times New Roman" w:hAnsi="Times New Roman" w:eastAsia="Times New Roman" w:cs="Times New Roman"/>
                <w:sz w:val="20"/>
                <w:szCs w:val="20"/>
              </w:rPr>
              <w:t>wVw（组内去均值播放量变量）</w:t>
            </w:r>
          </w:p>
        </w:tc>
        <w:tc>
          <w:tcPr>
            <w:tcW w:w="5900" w:type="dxa"/>
            <w:tcBorders>
              <w:top w:val="nil"/>
              <w:left w:val="nil"/>
              <w:bottom w:val="nil"/>
              <w:right w:val="nil"/>
            </w:tcBorders>
            <w:tcMar>
              <w:top w:w="0" w:type="dxa"/>
              <w:left w:w="0" w:type="dxa"/>
              <w:bottom w:w="0" w:type="dxa"/>
              <w:right w:w="0" w:type="dxa"/>
            </w:tcMar>
            <w:vAlign w:val="center"/>
          </w:tcPr>
          <w:p w14:paraId="01EDB0C5">
            <w:pPr>
              <w:spacing w:before="20" w:after="20"/>
              <w:jc w:val="center"/>
              <w:rPr>
                <w:rFonts w:ascii="Times New Roman" w:hAnsi="Times New Roman" w:cs="Times New Roman"/>
              </w:rPr>
            </w:pPr>
            <w:r>
              <w:rPr>
                <w:rFonts w:ascii="Times New Roman" w:hAnsi="Times New Roman" w:eastAsia="Times New Roman" w:cs="Times New Roman"/>
                <w:sz w:val="20"/>
                <w:szCs w:val="20"/>
              </w:rPr>
              <w:t>-0.785***</w:t>
            </w:r>
          </w:p>
        </w:tc>
      </w:tr>
      <w:tr w14:paraId="4549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6DBC62E9">
            <w:pPr>
              <w:spacing w:before="20" w:after="20"/>
              <w:jc w:val="center"/>
              <w:rPr>
                <w:rFonts w:ascii="Times New Roman" w:hAnsi="Times New Roman" w:cs="Times New Roman"/>
              </w:rPr>
            </w:pPr>
          </w:p>
        </w:tc>
        <w:tc>
          <w:tcPr>
            <w:tcW w:w="5900" w:type="dxa"/>
            <w:tcBorders>
              <w:top w:val="nil"/>
              <w:left w:val="nil"/>
              <w:bottom w:val="nil"/>
              <w:right w:val="nil"/>
            </w:tcBorders>
            <w:tcMar>
              <w:top w:w="0" w:type="dxa"/>
              <w:left w:w="0" w:type="dxa"/>
              <w:bottom w:w="0" w:type="dxa"/>
              <w:right w:w="0" w:type="dxa"/>
            </w:tcMar>
            <w:vAlign w:val="center"/>
          </w:tcPr>
          <w:p w14:paraId="6697CBB3">
            <w:pPr>
              <w:spacing w:before="20" w:after="20"/>
              <w:jc w:val="center"/>
              <w:rPr>
                <w:rFonts w:ascii="Times New Roman" w:hAnsi="Times New Roman" w:cs="Times New Roman"/>
              </w:rPr>
            </w:pPr>
            <w:r>
              <w:rPr>
                <w:rFonts w:ascii="Times New Roman" w:hAnsi="Times New Roman" w:eastAsia="Times New Roman" w:cs="Times New Roman"/>
                <w:sz w:val="20"/>
                <w:szCs w:val="20"/>
              </w:rPr>
              <w:t>(-2.863)</w:t>
            </w:r>
          </w:p>
        </w:tc>
      </w:tr>
      <w:tr w14:paraId="733B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07FC672D">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年份/月份虚拟变量</w:t>
            </w:r>
          </w:p>
        </w:tc>
        <w:tc>
          <w:tcPr>
            <w:tcW w:w="5900" w:type="dxa"/>
            <w:tcBorders>
              <w:top w:val="nil"/>
              <w:left w:val="nil"/>
              <w:bottom w:val="nil"/>
              <w:right w:val="nil"/>
            </w:tcBorders>
            <w:tcMar>
              <w:top w:w="0" w:type="dxa"/>
              <w:left w:w="0" w:type="dxa"/>
              <w:bottom w:w="0" w:type="dxa"/>
              <w:right w:w="0" w:type="dxa"/>
            </w:tcMar>
            <w:vAlign w:val="center"/>
          </w:tcPr>
          <w:p w14:paraId="6312CED2">
            <w:pPr>
              <w:spacing w:before="20" w:after="20"/>
              <w:jc w:val="center"/>
              <w:rPr>
                <w:rFonts w:ascii="Times New Roman" w:hAnsi="Times New Roman" w:cs="Times New Roman"/>
              </w:rPr>
            </w:pPr>
            <w:r>
              <w:rPr>
                <w:rFonts w:ascii="Times New Roman" w:hAnsi="Times New Roman" w:eastAsia="Times New Roman" w:cs="Times New Roman"/>
                <w:sz w:val="20"/>
                <w:szCs w:val="20"/>
              </w:rPr>
              <w:t>已控制</w:t>
            </w:r>
          </w:p>
        </w:tc>
      </w:tr>
      <w:tr w14:paraId="5802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nil"/>
              <w:right w:val="nil"/>
            </w:tcBorders>
            <w:tcMar>
              <w:top w:w="0" w:type="dxa"/>
              <w:left w:w="0" w:type="dxa"/>
              <w:bottom w:w="0" w:type="dxa"/>
              <w:right w:w="0" w:type="dxa"/>
            </w:tcMar>
            <w:vAlign w:val="center"/>
          </w:tcPr>
          <w:p w14:paraId="17F64D4E">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5900" w:type="dxa"/>
            <w:tcBorders>
              <w:top w:val="nil"/>
              <w:left w:val="nil"/>
              <w:bottom w:val="nil"/>
              <w:right w:val="nil"/>
            </w:tcBorders>
            <w:tcMar>
              <w:top w:w="0" w:type="dxa"/>
              <w:left w:w="0" w:type="dxa"/>
              <w:bottom w:w="0" w:type="dxa"/>
              <w:right w:w="0" w:type="dxa"/>
            </w:tcMar>
            <w:vAlign w:val="center"/>
          </w:tcPr>
          <w:p w14:paraId="561F90B4">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r>
      <w:tr w14:paraId="2C6E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nil"/>
              <w:left w:val="nil"/>
              <w:bottom w:val="single" w:color="000000" w:sz="10" w:space="0"/>
              <w:right w:val="nil"/>
            </w:tcBorders>
            <w:tcMar>
              <w:top w:w="0" w:type="dxa"/>
              <w:left w:w="0" w:type="dxa"/>
              <w:bottom w:w="0" w:type="dxa"/>
              <w:right w:w="0" w:type="dxa"/>
            </w:tcMar>
            <w:vAlign w:val="center"/>
          </w:tcPr>
          <w:p w14:paraId="1238F98E">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5900" w:type="dxa"/>
            <w:tcBorders>
              <w:top w:val="nil"/>
              <w:left w:val="nil"/>
              <w:bottom w:val="single" w:color="000000" w:sz="10" w:space="0"/>
              <w:right w:val="nil"/>
            </w:tcBorders>
            <w:tcMar>
              <w:top w:w="0" w:type="dxa"/>
              <w:left w:w="0" w:type="dxa"/>
              <w:bottom w:w="0" w:type="dxa"/>
              <w:right w:w="0" w:type="dxa"/>
            </w:tcMar>
            <w:vAlign w:val="center"/>
          </w:tcPr>
          <w:p w14:paraId="024D34F8">
            <w:pPr>
              <w:spacing w:before="20" w:after="20"/>
              <w:jc w:val="center"/>
              <w:rPr>
                <w:rFonts w:ascii="Times New Roman" w:hAnsi="Times New Roman" w:cs="Times New Roman"/>
              </w:rPr>
            </w:pPr>
            <w:r>
              <w:rPr>
                <w:rFonts w:ascii="Times New Roman" w:hAnsi="Times New Roman" w:eastAsia="Times New Roman" w:cs="Times New Roman"/>
                <w:sz w:val="20"/>
                <w:szCs w:val="20"/>
              </w:rPr>
              <w:t>0.143</w:t>
            </w:r>
          </w:p>
        </w:tc>
      </w:tr>
    </w:tbl>
    <w:p w14:paraId="4612265C">
      <w:pPr>
        <w:spacing w:before="60" w:after="120"/>
        <w:jc w:val="left"/>
        <w:rPr>
          <w:rFonts w:ascii="Times New Roman" w:hAnsi="Times New Roman" w:cs="Times New Roman"/>
        </w:rPr>
      </w:pPr>
      <w:r>
        <w:rPr>
          <w:rFonts w:ascii="Times New Roman" w:hAnsi="Times New Roman" w:cs="Times New Roman"/>
          <w:sz w:val="18"/>
          <w:szCs w:val="18"/>
        </w:rPr>
        <w:t>注：括号内为聚类稳健z统计量。异方差工具变量由ivreg2h自动生成（Lewbel 2012）。***p&lt;0.01，**p&lt;0.05，*p&lt;0.1。</w:t>
      </w:r>
    </w:p>
    <w:p w14:paraId="2FC9A7DD">
      <w:pPr>
        <w:spacing w:before="300" w:after="150"/>
        <w:outlineLvl w:val="2"/>
        <w:rPr>
          <w:rFonts w:ascii="Times New Roman" w:hAnsi="Times New Roman" w:eastAsia="黑体" w:cs="Times New Roman"/>
          <w:b/>
          <w:bCs/>
          <w:sz w:val="28"/>
          <w:szCs w:val="28"/>
        </w:rPr>
      </w:pPr>
      <w:bookmarkStart w:id="68" w:name="_Toc20783"/>
      <w:r>
        <w:rPr>
          <w:rFonts w:ascii="Times New Roman" w:hAnsi="Times New Roman" w:eastAsia="黑体" w:cs="Times New Roman"/>
          <w:b/>
          <w:bCs/>
          <w:sz w:val="28"/>
          <w:szCs w:val="28"/>
        </w:rPr>
        <w:t>5.4  进一步分析</w:t>
      </w:r>
      <w:bookmarkEnd w:id="68"/>
    </w:p>
    <w:p w14:paraId="7B9AB478">
      <w:pPr>
        <w:spacing w:before="200" w:after="100"/>
        <w:outlineLvl w:val="2"/>
        <w:rPr>
          <w:rFonts w:ascii="Times New Roman" w:hAnsi="Times New Roman" w:eastAsia="黑体" w:cs="Times New Roman"/>
          <w:b/>
          <w:bCs/>
        </w:rPr>
      </w:pPr>
      <w:bookmarkStart w:id="69" w:name="_Toc17725"/>
      <w:r>
        <w:rPr>
          <w:rFonts w:ascii="Times New Roman" w:hAnsi="Times New Roman" w:eastAsia="黑体" w:cs="Times New Roman"/>
          <w:b/>
          <w:bCs/>
        </w:rPr>
        <w:t>5.4.1  异质性分析</w:t>
      </w:r>
      <w:bookmarkEnd w:id="69"/>
    </w:p>
    <w:p w14:paraId="0D896CE1">
      <w:pPr>
        <w:spacing w:line="288" w:lineRule="auto"/>
        <w:ind w:firstLine="480"/>
        <w:rPr>
          <w:rFonts w:ascii="Times New Roman" w:hAnsi="Times New Roman" w:cs="Times New Roman"/>
        </w:rPr>
      </w:pPr>
      <w:r>
        <w:rPr>
          <w:rFonts w:ascii="Times New Roman" w:hAnsi="Times New Roman" w:cs="Times New Roman"/>
        </w:rPr>
        <w:t>本文进一步检验投币激励效应在不同创作者群体和不同内容类型之间的异质性，以验证假设H5a（头部创作者效应更强）和H5b（长视频效应更强）。</w:t>
      </w:r>
    </w:p>
    <w:p w14:paraId="11F2595C">
      <w:pPr>
        <w:spacing w:line="288" w:lineRule="auto"/>
        <w:ind w:firstLine="480"/>
        <w:rPr>
          <w:rFonts w:ascii="Times New Roman" w:hAnsi="Times New Roman" w:cs="Times New Roman"/>
        </w:rPr>
      </w:pPr>
      <w:r>
        <w:rPr>
          <w:rFonts w:ascii="Times New Roman" w:hAnsi="Times New Roman" w:cs="Times New Roman"/>
        </w:rPr>
        <w:t>（1）按粉丝量级的异质性检验。以100万粉丝为分组阈值，将样本分为头部UP主（粉丝数≥100万，n=3,188条视频，共30位UP主）和尾部UP主（粉丝数&lt;100万，n=3,707条视频，共42位UP主）两组，分别进行基准回归。如表7所示，头部UP主样本中L2_ln_coin系数为1.611（t=4.339，p&lt;0.01），尾部UP主样本中系数为1.284（t=2.620，p&lt;0.01），二者均在1%水平显著，但头部UP主的系数更大。这一结果支持了H5a：头部创作者对投币激励的质量响应幅度更为突出。从理论机制上看，头部UP主通常拥有更完善的内容制作团队、更稳定的选题储备和更充裕的制作资源，能够将投币带来的互惠激励更有效地转化为内容质量的实质性提升；而尾部UP主往往受制于资源约束，其内容质量的改善空间和改善能力相对有限，因此对激励信号的响应幅度偏低。</w:t>
      </w:r>
    </w:p>
    <w:p w14:paraId="156C13D7">
      <w:pPr>
        <w:spacing w:line="288" w:lineRule="auto"/>
        <w:ind w:firstLine="480"/>
        <w:rPr>
          <w:rFonts w:ascii="Times New Roman" w:hAnsi="Times New Roman" w:cs="Times New Roman"/>
        </w:rPr>
      </w:pPr>
      <w:r>
        <w:rPr>
          <w:rFonts w:ascii="Times New Roman" w:hAnsi="Times New Roman" w:cs="Times New Roman"/>
        </w:rPr>
        <w:t>（2）按视频时长的异质性检验。以15分钟（900秒）为分组阈值，将样本分为长视频组（时长≥15分钟，n=1,795条视频，共40位UP主）和短视频组（时长&lt;15分钟，n=5,100条视频，共70位UP主）。如表7所示，长视频样本中L2_ln_coin系数为1.695（t=3.852，p&lt;0.01），短视频样本中系数为1.129（t=3.160，p&lt;0.01），长视频的系数同样更大，支持H5b。这一发现与长视频的内容属性相吻合：长视频在知识深度、制作精度、论证逻辑等方面具有更大的质量弹性空间，创作者在获得投币激励后有更多的可调节维度来提升内容质量；而短视频的内容密度高、制作流程较为固化，质量提升的边际空间相对有限，对激励信号的响应幅度因此偏低。</w:t>
      </w:r>
    </w:p>
    <w:p w14:paraId="122AA7DE">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t xml:space="preserve"> 异质性分析结果(按粉丝量级与视频时长)</w:t>
      </w:r>
    </w:p>
    <w:tbl>
      <w:tblPr>
        <w:tblStyle w:val="19"/>
        <w:tblW w:w="93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400"/>
        <w:gridCol w:w="1400"/>
        <w:gridCol w:w="2989"/>
      </w:tblGrid>
      <w:tr w14:paraId="2E5A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29D90610">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14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C3F7DCD">
            <w:pPr>
              <w:spacing w:before="20" w:after="20"/>
              <w:jc w:val="center"/>
              <w:rPr>
                <w:rFonts w:ascii="Times New Roman" w:hAnsi="Times New Roman" w:cs="Times New Roman"/>
              </w:rPr>
            </w:pPr>
            <w:r>
              <w:rPr>
                <w:rFonts w:ascii="Times New Roman" w:hAnsi="Times New Roman" w:eastAsia="Times New Roman" w:cs="Times New Roman"/>
                <w:b/>
                <w:bCs/>
                <w:sz w:val="20"/>
                <w:szCs w:val="20"/>
              </w:rPr>
              <w:t>头部UP主</w:t>
            </w:r>
          </w:p>
        </w:tc>
        <w:tc>
          <w:tcPr>
            <w:tcW w:w="14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2A6BCAF0">
            <w:pPr>
              <w:spacing w:before="20" w:after="20"/>
              <w:jc w:val="center"/>
              <w:rPr>
                <w:rFonts w:ascii="Times New Roman" w:hAnsi="Times New Roman" w:cs="Times New Roman"/>
              </w:rPr>
            </w:pPr>
            <w:r>
              <w:rPr>
                <w:rFonts w:ascii="Times New Roman" w:hAnsi="Times New Roman" w:eastAsia="Times New Roman" w:cs="Times New Roman"/>
                <w:b/>
                <w:bCs/>
                <w:sz w:val="20"/>
                <w:szCs w:val="20"/>
              </w:rPr>
              <w:t>尾部UP主</w:t>
            </w:r>
          </w:p>
        </w:tc>
        <w:tc>
          <w:tcPr>
            <w:tcW w:w="14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79AE6F9">
            <w:pPr>
              <w:spacing w:before="20" w:after="20"/>
              <w:jc w:val="center"/>
              <w:rPr>
                <w:rFonts w:ascii="Times New Roman" w:hAnsi="Times New Roman" w:cs="Times New Roman"/>
              </w:rPr>
            </w:pPr>
            <w:r>
              <w:rPr>
                <w:rFonts w:ascii="Times New Roman" w:hAnsi="Times New Roman" w:eastAsia="Times New Roman" w:cs="Times New Roman"/>
                <w:b/>
                <w:bCs/>
                <w:sz w:val="20"/>
                <w:szCs w:val="20"/>
              </w:rPr>
              <w:t>长视频</w:t>
            </w:r>
          </w:p>
        </w:tc>
        <w:tc>
          <w:tcPr>
            <w:tcW w:w="2989" w:type="dxa"/>
            <w:tcBorders>
              <w:top w:val="single" w:color="000000" w:sz="10" w:space="0"/>
              <w:left w:val="nil"/>
              <w:bottom w:val="single" w:color="000000" w:sz="10" w:space="0"/>
              <w:right w:val="nil"/>
            </w:tcBorders>
            <w:tcMar>
              <w:top w:w="0" w:type="dxa"/>
              <w:left w:w="0" w:type="dxa"/>
              <w:bottom w:w="0" w:type="dxa"/>
              <w:right w:w="0" w:type="dxa"/>
            </w:tcMar>
            <w:vAlign w:val="center"/>
          </w:tcPr>
          <w:p w14:paraId="66AB374D">
            <w:pPr>
              <w:spacing w:before="20" w:after="20"/>
              <w:jc w:val="center"/>
              <w:rPr>
                <w:rFonts w:ascii="Times New Roman" w:hAnsi="Times New Roman" w:cs="Times New Roman"/>
              </w:rPr>
            </w:pPr>
            <w:r>
              <w:rPr>
                <w:rFonts w:ascii="Times New Roman" w:hAnsi="Times New Roman" w:eastAsia="Times New Roman" w:cs="Times New Roman"/>
                <w:b/>
                <w:bCs/>
                <w:sz w:val="20"/>
                <w:szCs w:val="20"/>
              </w:rPr>
              <w:t>短视频</w:t>
            </w:r>
          </w:p>
        </w:tc>
      </w:tr>
      <w:tr w14:paraId="1E82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728FC37B">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w:t>
            </w:r>
          </w:p>
        </w:tc>
        <w:tc>
          <w:tcPr>
            <w:tcW w:w="1400" w:type="dxa"/>
            <w:tcBorders>
              <w:top w:val="nil"/>
              <w:left w:val="nil"/>
              <w:bottom w:val="nil"/>
              <w:right w:val="nil"/>
            </w:tcBorders>
            <w:tcMar>
              <w:top w:w="0" w:type="dxa"/>
              <w:left w:w="0" w:type="dxa"/>
              <w:bottom w:w="0" w:type="dxa"/>
              <w:right w:w="0" w:type="dxa"/>
            </w:tcMar>
            <w:vAlign w:val="center"/>
          </w:tcPr>
          <w:p w14:paraId="14BBC181">
            <w:pPr>
              <w:spacing w:before="20" w:after="20"/>
              <w:jc w:val="center"/>
              <w:rPr>
                <w:rFonts w:ascii="Times New Roman" w:hAnsi="Times New Roman" w:cs="Times New Roman"/>
              </w:rPr>
            </w:pPr>
            <w:r>
              <w:rPr>
                <w:rFonts w:ascii="Times New Roman" w:hAnsi="Times New Roman" w:eastAsia="Times New Roman" w:cs="Times New Roman"/>
                <w:sz w:val="20"/>
                <w:szCs w:val="20"/>
              </w:rPr>
              <w:t>1.611***</w:t>
            </w:r>
          </w:p>
        </w:tc>
        <w:tc>
          <w:tcPr>
            <w:tcW w:w="1400" w:type="dxa"/>
            <w:tcBorders>
              <w:top w:val="nil"/>
              <w:left w:val="nil"/>
              <w:bottom w:val="nil"/>
              <w:right w:val="nil"/>
            </w:tcBorders>
            <w:tcMar>
              <w:top w:w="0" w:type="dxa"/>
              <w:left w:w="0" w:type="dxa"/>
              <w:bottom w:w="0" w:type="dxa"/>
              <w:right w:w="0" w:type="dxa"/>
            </w:tcMar>
            <w:vAlign w:val="center"/>
          </w:tcPr>
          <w:p w14:paraId="25975180">
            <w:pPr>
              <w:spacing w:before="20" w:after="20"/>
              <w:jc w:val="center"/>
              <w:rPr>
                <w:rFonts w:ascii="Times New Roman" w:hAnsi="Times New Roman" w:cs="Times New Roman"/>
              </w:rPr>
            </w:pPr>
            <w:r>
              <w:rPr>
                <w:rFonts w:ascii="Times New Roman" w:hAnsi="Times New Roman" w:eastAsia="Times New Roman" w:cs="Times New Roman"/>
                <w:sz w:val="20"/>
                <w:szCs w:val="20"/>
              </w:rPr>
              <w:t>1.284**</w:t>
            </w:r>
          </w:p>
        </w:tc>
        <w:tc>
          <w:tcPr>
            <w:tcW w:w="1400" w:type="dxa"/>
            <w:tcBorders>
              <w:top w:val="nil"/>
              <w:left w:val="nil"/>
              <w:bottom w:val="nil"/>
              <w:right w:val="nil"/>
            </w:tcBorders>
            <w:tcMar>
              <w:top w:w="0" w:type="dxa"/>
              <w:left w:w="0" w:type="dxa"/>
              <w:bottom w:w="0" w:type="dxa"/>
              <w:right w:w="0" w:type="dxa"/>
            </w:tcMar>
            <w:vAlign w:val="center"/>
          </w:tcPr>
          <w:p w14:paraId="064AABA5">
            <w:pPr>
              <w:spacing w:before="20" w:after="20"/>
              <w:jc w:val="center"/>
              <w:rPr>
                <w:rFonts w:ascii="Times New Roman" w:hAnsi="Times New Roman" w:cs="Times New Roman"/>
              </w:rPr>
            </w:pPr>
            <w:r>
              <w:rPr>
                <w:rFonts w:ascii="Times New Roman" w:hAnsi="Times New Roman" w:eastAsia="Times New Roman" w:cs="Times New Roman"/>
                <w:sz w:val="20"/>
                <w:szCs w:val="20"/>
              </w:rPr>
              <w:t>1.695***</w:t>
            </w:r>
          </w:p>
        </w:tc>
        <w:tc>
          <w:tcPr>
            <w:tcW w:w="2989" w:type="dxa"/>
            <w:tcBorders>
              <w:top w:val="nil"/>
              <w:left w:val="nil"/>
              <w:bottom w:val="nil"/>
              <w:right w:val="nil"/>
            </w:tcBorders>
            <w:tcMar>
              <w:top w:w="0" w:type="dxa"/>
              <w:left w:w="0" w:type="dxa"/>
              <w:bottom w:w="0" w:type="dxa"/>
              <w:right w:w="0" w:type="dxa"/>
            </w:tcMar>
            <w:vAlign w:val="center"/>
          </w:tcPr>
          <w:p w14:paraId="3B9163A7">
            <w:pPr>
              <w:spacing w:before="20" w:after="20"/>
              <w:jc w:val="center"/>
              <w:rPr>
                <w:rFonts w:ascii="Times New Roman" w:hAnsi="Times New Roman" w:cs="Times New Roman"/>
              </w:rPr>
            </w:pPr>
            <w:r>
              <w:rPr>
                <w:rFonts w:ascii="Times New Roman" w:hAnsi="Times New Roman" w:eastAsia="Times New Roman" w:cs="Times New Roman"/>
                <w:sz w:val="20"/>
                <w:szCs w:val="20"/>
              </w:rPr>
              <w:t>1.129***</w:t>
            </w:r>
          </w:p>
        </w:tc>
      </w:tr>
      <w:tr w14:paraId="5AE2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08E49794">
            <w:pPr>
              <w:spacing w:before="20" w:after="20"/>
              <w:jc w:val="center"/>
              <w:rPr>
                <w:rFonts w:ascii="Times New Roman" w:hAnsi="Times New Roman" w:cs="Times New Roman"/>
              </w:rPr>
            </w:pPr>
          </w:p>
        </w:tc>
        <w:tc>
          <w:tcPr>
            <w:tcW w:w="1400" w:type="dxa"/>
            <w:tcBorders>
              <w:top w:val="nil"/>
              <w:left w:val="nil"/>
              <w:bottom w:val="nil"/>
              <w:right w:val="nil"/>
            </w:tcBorders>
            <w:tcMar>
              <w:top w:w="0" w:type="dxa"/>
              <w:left w:w="0" w:type="dxa"/>
              <w:bottom w:w="0" w:type="dxa"/>
              <w:right w:w="0" w:type="dxa"/>
            </w:tcMar>
            <w:vAlign w:val="center"/>
          </w:tcPr>
          <w:p w14:paraId="0E09B640">
            <w:pPr>
              <w:spacing w:before="20" w:after="20"/>
              <w:jc w:val="center"/>
              <w:rPr>
                <w:rFonts w:ascii="Times New Roman" w:hAnsi="Times New Roman" w:cs="Times New Roman"/>
              </w:rPr>
            </w:pPr>
            <w:r>
              <w:rPr>
                <w:rFonts w:ascii="Times New Roman" w:hAnsi="Times New Roman" w:eastAsia="Times New Roman" w:cs="Times New Roman"/>
                <w:sz w:val="20"/>
                <w:szCs w:val="20"/>
              </w:rPr>
              <w:t>(4.339)</w:t>
            </w:r>
          </w:p>
        </w:tc>
        <w:tc>
          <w:tcPr>
            <w:tcW w:w="1400" w:type="dxa"/>
            <w:tcBorders>
              <w:top w:val="nil"/>
              <w:left w:val="nil"/>
              <w:bottom w:val="nil"/>
              <w:right w:val="nil"/>
            </w:tcBorders>
            <w:tcMar>
              <w:top w:w="0" w:type="dxa"/>
              <w:left w:w="0" w:type="dxa"/>
              <w:bottom w:w="0" w:type="dxa"/>
              <w:right w:w="0" w:type="dxa"/>
            </w:tcMar>
            <w:vAlign w:val="center"/>
          </w:tcPr>
          <w:p w14:paraId="5B4D1CAB">
            <w:pPr>
              <w:spacing w:before="20" w:after="20"/>
              <w:jc w:val="center"/>
              <w:rPr>
                <w:rFonts w:ascii="Times New Roman" w:hAnsi="Times New Roman" w:cs="Times New Roman"/>
              </w:rPr>
            </w:pPr>
            <w:r>
              <w:rPr>
                <w:rFonts w:ascii="Times New Roman" w:hAnsi="Times New Roman" w:eastAsia="Times New Roman" w:cs="Times New Roman"/>
                <w:sz w:val="20"/>
                <w:szCs w:val="20"/>
              </w:rPr>
              <w:t>(2.620)</w:t>
            </w:r>
          </w:p>
        </w:tc>
        <w:tc>
          <w:tcPr>
            <w:tcW w:w="1400" w:type="dxa"/>
            <w:tcBorders>
              <w:top w:val="nil"/>
              <w:left w:val="nil"/>
              <w:bottom w:val="nil"/>
              <w:right w:val="nil"/>
            </w:tcBorders>
            <w:tcMar>
              <w:top w:w="0" w:type="dxa"/>
              <w:left w:w="0" w:type="dxa"/>
              <w:bottom w:w="0" w:type="dxa"/>
              <w:right w:w="0" w:type="dxa"/>
            </w:tcMar>
            <w:vAlign w:val="center"/>
          </w:tcPr>
          <w:p w14:paraId="1E8057E7">
            <w:pPr>
              <w:spacing w:before="20" w:after="20"/>
              <w:jc w:val="center"/>
              <w:rPr>
                <w:rFonts w:ascii="Times New Roman" w:hAnsi="Times New Roman" w:cs="Times New Roman"/>
              </w:rPr>
            </w:pPr>
            <w:r>
              <w:rPr>
                <w:rFonts w:ascii="Times New Roman" w:hAnsi="Times New Roman" w:eastAsia="Times New Roman" w:cs="Times New Roman"/>
                <w:sz w:val="20"/>
                <w:szCs w:val="20"/>
              </w:rPr>
              <w:t>(3.852)</w:t>
            </w:r>
          </w:p>
        </w:tc>
        <w:tc>
          <w:tcPr>
            <w:tcW w:w="2989" w:type="dxa"/>
            <w:tcBorders>
              <w:top w:val="nil"/>
              <w:left w:val="nil"/>
              <w:bottom w:val="nil"/>
              <w:right w:val="nil"/>
            </w:tcBorders>
            <w:tcMar>
              <w:top w:w="0" w:type="dxa"/>
              <w:left w:w="0" w:type="dxa"/>
              <w:bottom w:w="0" w:type="dxa"/>
              <w:right w:w="0" w:type="dxa"/>
            </w:tcMar>
            <w:vAlign w:val="center"/>
          </w:tcPr>
          <w:p w14:paraId="04C671B5">
            <w:pPr>
              <w:spacing w:before="20" w:after="20"/>
              <w:jc w:val="center"/>
              <w:rPr>
                <w:rFonts w:ascii="Times New Roman" w:hAnsi="Times New Roman" w:cs="Times New Roman"/>
              </w:rPr>
            </w:pPr>
            <w:r>
              <w:rPr>
                <w:rFonts w:ascii="Times New Roman" w:hAnsi="Times New Roman" w:eastAsia="Times New Roman" w:cs="Times New Roman"/>
                <w:sz w:val="20"/>
                <w:szCs w:val="20"/>
              </w:rPr>
              <w:t>(3.160)</w:t>
            </w:r>
          </w:p>
        </w:tc>
      </w:tr>
      <w:tr w14:paraId="148D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72853CEE">
            <w:pPr>
              <w:spacing w:before="20" w:after="20"/>
              <w:jc w:val="center"/>
              <w:rPr>
                <w:rFonts w:ascii="Times New Roman" w:hAnsi="Times New Roman" w:cs="Times New Roman"/>
              </w:rPr>
            </w:pPr>
            <w:r>
              <w:rPr>
                <w:rFonts w:ascii="Times New Roman" w:hAnsi="Times New Roman" w:eastAsia="Times New Roman" w:cs="Times New Roman"/>
                <w:sz w:val="20"/>
                <w:szCs w:val="20"/>
              </w:rPr>
              <w:t>L2_ln_like</w:t>
            </w:r>
          </w:p>
        </w:tc>
        <w:tc>
          <w:tcPr>
            <w:tcW w:w="1400" w:type="dxa"/>
            <w:tcBorders>
              <w:top w:val="nil"/>
              <w:left w:val="nil"/>
              <w:bottom w:val="nil"/>
              <w:right w:val="nil"/>
            </w:tcBorders>
            <w:tcMar>
              <w:top w:w="0" w:type="dxa"/>
              <w:left w:w="0" w:type="dxa"/>
              <w:bottom w:w="0" w:type="dxa"/>
              <w:right w:w="0" w:type="dxa"/>
            </w:tcMar>
            <w:vAlign w:val="center"/>
          </w:tcPr>
          <w:p w14:paraId="1ABE101A">
            <w:pPr>
              <w:spacing w:before="20" w:after="20"/>
              <w:jc w:val="center"/>
              <w:rPr>
                <w:rFonts w:ascii="Times New Roman" w:hAnsi="Times New Roman" w:cs="Times New Roman"/>
              </w:rPr>
            </w:pPr>
            <w:r>
              <w:rPr>
                <w:rFonts w:ascii="Times New Roman" w:hAnsi="Times New Roman" w:eastAsia="Times New Roman" w:cs="Times New Roman"/>
                <w:sz w:val="20"/>
                <w:szCs w:val="20"/>
              </w:rPr>
              <w:t>0.400</w:t>
            </w:r>
          </w:p>
        </w:tc>
        <w:tc>
          <w:tcPr>
            <w:tcW w:w="1400" w:type="dxa"/>
            <w:tcBorders>
              <w:top w:val="nil"/>
              <w:left w:val="nil"/>
              <w:bottom w:val="nil"/>
              <w:right w:val="nil"/>
            </w:tcBorders>
            <w:tcMar>
              <w:top w:w="0" w:type="dxa"/>
              <w:left w:w="0" w:type="dxa"/>
              <w:bottom w:w="0" w:type="dxa"/>
              <w:right w:w="0" w:type="dxa"/>
            </w:tcMar>
            <w:vAlign w:val="center"/>
          </w:tcPr>
          <w:p w14:paraId="46097874">
            <w:pPr>
              <w:spacing w:before="20" w:after="20"/>
              <w:jc w:val="center"/>
              <w:rPr>
                <w:rFonts w:ascii="Times New Roman" w:hAnsi="Times New Roman" w:cs="Times New Roman"/>
              </w:rPr>
            </w:pPr>
            <w:r>
              <w:rPr>
                <w:rFonts w:ascii="Times New Roman" w:hAnsi="Times New Roman" w:eastAsia="Times New Roman" w:cs="Times New Roman"/>
                <w:sz w:val="20"/>
                <w:szCs w:val="20"/>
              </w:rPr>
              <w:t>0.582</w:t>
            </w:r>
          </w:p>
        </w:tc>
        <w:tc>
          <w:tcPr>
            <w:tcW w:w="1400" w:type="dxa"/>
            <w:tcBorders>
              <w:top w:val="nil"/>
              <w:left w:val="nil"/>
              <w:bottom w:val="nil"/>
              <w:right w:val="nil"/>
            </w:tcBorders>
            <w:tcMar>
              <w:top w:w="0" w:type="dxa"/>
              <w:left w:w="0" w:type="dxa"/>
              <w:bottom w:w="0" w:type="dxa"/>
              <w:right w:w="0" w:type="dxa"/>
            </w:tcMar>
            <w:vAlign w:val="center"/>
          </w:tcPr>
          <w:p w14:paraId="19BC8BA8">
            <w:pPr>
              <w:spacing w:before="20" w:after="20"/>
              <w:jc w:val="center"/>
              <w:rPr>
                <w:rFonts w:ascii="Times New Roman" w:hAnsi="Times New Roman" w:cs="Times New Roman"/>
              </w:rPr>
            </w:pPr>
            <w:r>
              <w:rPr>
                <w:rFonts w:ascii="Times New Roman" w:hAnsi="Times New Roman" w:eastAsia="Times New Roman" w:cs="Times New Roman"/>
                <w:sz w:val="20"/>
                <w:szCs w:val="20"/>
              </w:rPr>
              <w:t>0.559</w:t>
            </w:r>
          </w:p>
        </w:tc>
        <w:tc>
          <w:tcPr>
            <w:tcW w:w="2989" w:type="dxa"/>
            <w:tcBorders>
              <w:top w:val="nil"/>
              <w:left w:val="nil"/>
              <w:bottom w:val="nil"/>
              <w:right w:val="nil"/>
            </w:tcBorders>
            <w:tcMar>
              <w:top w:w="0" w:type="dxa"/>
              <w:left w:w="0" w:type="dxa"/>
              <w:bottom w:w="0" w:type="dxa"/>
              <w:right w:w="0" w:type="dxa"/>
            </w:tcMar>
            <w:vAlign w:val="center"/>
          </w:tcPr>
          <w:p w14:paraId="1242C66F">
            <w:pPr>
              <w:spacing w:before="20" w:after="20"/>
              <w:jc w:val="center"/>
              <w:rPr>
                <w:rFonts w:ascii="Times New Roman" w:hAnsi="Times New Roman" w:cs="Times New Roman"/>
              </w:rPr>
            </w:pPr>
            <w:r>
              <w:rPr>
                <w:rFonts w:ascii="Times New Roman" w:hAnsi="Times New Roman" w:eastAsia="Times New Roman" w:cs="Times New Roman"/>
                <w:sz w:val="20"/>
                <w:szCs w:val="20"/>
              </w:rPr>
              <w:t>0.689</w:t>
            </w:r>
          </w:p>
        </w:tc>
      </w:tr>
      <w:tr w14:paraId="2358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20A6AEC4">
            <w:pPr>
              <w:spacing w:before="20" w:after="20"/>
              <w:jc w:val="center"/>
              <w:rPr>
                <w:rFonts w:ascii="Times New Roman" w:hAnsi="Times New Roman" w:cs="Times New Roman"/>
              </w:rPr>
            </w:pPr>
          </w:p>
        </w:tc>
        <w:tc>
          <w:tcPr>
            <w:tcW w:w="1400" w:type="dxa"/>
            <w:tcBorders>
              <w:top w:val="nil"/>
              <w:left w:val="nil"/>
              <w:bottom w:val="nil"/>
              <w:right w:val="nil"/>
            </w:tcBorders>
            <w:tcMar>
              <w:top w:w="0" w:type="dxa"/>
              <w:left w:w="0" w:type="dxa"/>
              <w:bottom w:w="0" w:type="dxa"/>
              <w:right w:w="0" w:type="dxa"/>
            </w:tcMar>
            <w:vAlign w:val="center"/>
          </w:tcPr>
          <w:p w14:paraId="169F5927">
            <w:pPr>
              <w:spacing w:before="20" w:after="20"/>
              <w:jc w:val="center"/>
              <w:rPr>
                <w:rFonts w:ascii="Times New Roman" w:hAnsi="Times New Roman" w:cs="Times New Roman"/>
              </w:rPr>
            </w:pPr>
            <w:r>
              <w:rPr>
                <w:rFonts w:ascii="Times New Roman" w:hAnsi="Times New Roman" w:eastAsia="Times New Roman" w:cs="Times New Roman"/>
                <w:sz w:val="20"/>
                <w:szCs w:val="20"/>
              </w:rPr>
              <w:t>(0.702)</w:t>
            </w:r>
          </w:p>
        </w:tc>
        <w:tc>
          <w:tcPr>
            <w:tcW w:w="1400" w:type="dxa"/>
            <w:tcBorders>
              <w:top w:val="nil"/>
              <w:left w:val="nil"/>
              <w:bottom w:val="nil"/>
              <w:right w:val="nil"/>
            </w:tcBorders>
            <w:tcMar>
              <w:top w:w="0" w:type="dxa"/>
              <w:left w:w="0" w:type="dxa"/>
              <w:bottom w:w="0" w:type="dxa"/>
              <w:right w:w="0" w:type="dxa"/>
            </w:tcMar>
            <w:vAlign w:val="center"/>
          </w:tcPr>
          <w:p w14:paraId="201B2693">
            <w:pPr>
              <w:spacing w:before="20" w:after="20"/>
              <w:jc w:val="center"/>
              <w:rPr>
                <w:rFonts w:ascii="Times New Roman" w:hAnsi="Times New Roman" w:cs="Times New Roman"/>
              </w:rPr>
            </w:pPr>
            <w:r>
              <w:rPr>
                <w:rFonts w:ascii="Times New Roman" w:hAnsi="Times New Roman" w:eastAsia="Times New Roman" w:cs="Times New Roman"/>
                <w:sz w:val="20"/>
                <w:szCs w:val="20"/>
              </w:rPr>
              <w:t>(1.454)</w:t>
            </w:r>
          </w:p>
        </w:tc>
        <w:tc>
          <w:tcPr>
            <w:tcW w:w="1400" w:type="dxa"/>
            <w:tcBorders>
              <w:top w:val="nil"/>
              <w:left w:val="nil"/>
              <w:bottom w:val="nil"/>
              <w:right w:val="nil"/>
            </w:tcBorders>
            <w:tcMar>
              <w:top w:w="0" w:type="dxa"/>
              <w:left w:w="0" w:type="dxa"/>
              <w:bottom w:w="0" w:type="dxa"/>
              <w:right w:w="0" w:type="dxa"/>
            </w:tcMar>
            <w:vAlign w:val="center"/>
          </w:tcPr>
          <w:p w14:paraId="3BD68D32">
            <w:pPr>
              <w:spacing w:before="20" w:after="20"/>
              <w:jc w:val="center"/>
              <w:rPr>
                <w:rFonts w:ascii="Times New Roman" w:hAnsi="Times New Roman" w:cs="Times New Roman"/>
              </w:rPr>
            </w:pPr>
            <w:r>
              <w:rPr>
                <w:rFonts w:ascii="Times New Roman" w:hAnsi="Times New Roman" w:eastAsia="Times New Roman" w:cs="Times New Roman"/>
                <w:sz w:val="20"/>
                <w:szCs w:val="20"/>
              </w:rPr>
              <w:t>(0.875)</w:t>
            </w:r>
          </w:p>
        </w:tc>
        <w:tc>
          <w:tcPr>
            <w:tcW w:w="2989" w:type="dxa"/>
            <w:tcBorders>
              <w:top w:val="nil"/>
              <w:left w:val="nil"/>
              <w:bottom w:val="nil"/>
              <w:right w:val="nil"/>
            </w:tcBorders>
            <w:tcMar>
              <w:top w:w="0" w:type="dxa"/>
              <w:left w:w="0" w:type="dxa"/>
              <w:bottom w:w="0" w:type="dxa"/>
              <w:right w:w="0" w:type="dxa"/>
            </w:tcMar>
            <w:vAlign w:val="center"/>
          </w:tcPr>
          <w:p w14:paraId="589EDDF6">
            <w:pPr>
              <w:spacing w:before="20" w:after="20"/>
              <w:jc w:val="center"/>
              <w:rPr>
                <w:rFonts w:ascii="Times New Roman" w:hAnsi="Times New Roman" w:cs="Times New Roman"/>
              </w:rPr>
            </w:pPr>
            <w:r>
              <w:rPr>
                <w:rFonts w:ascii="Times New Roman" w:hAnsi="Times New Roman" w:eastAsia="Times New Roman" w:cs="Times New Roman"/>
                <w:sz w:val="20"/>
                <w:szCs w:val="20"/>
              </w:rPr>
              <w:t>(1.465)</w:t>
            </w:r>
          </w:p>
        </w:tc>
      </w:tr>
      <w:tr w14:paraId="5CE2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540F6477">
            <w:pPr>
              <w:spacing w:before="20" w:after="20"/>
              <w:jc w:val="center"/>
              <w:rPr>
                <w:rFonts w:ascii="Times New Roman" w:hAnsi="Times New Roman" w:cs="Times New Roman"/>
              </w:rPr>
            </w:pPr>
            <w:r>
              <w:rPr>
                <w:rFonts w:ascii="Times New Roman" w:hAnsi="Times New Roman" w:eastAsia="Times New Roman" w:cs="Times New Roman"/>
                <w:sz w:val="20"/>
                <w:szCs w:val="20"/>
              </w:rPr>
              <w:t>L2_ln_fav</w:t>
            </w:r>
          </w:p>
        </w:tc>
        <w:tc>
          <w:tcPr>
            <w:tcW w:w="1400" w:type="dxa"/>
            <w:tcBorders>
              <w:top w:val="nil"/>
              <w:left w:val="nil"/>
              <w:bottom w:val="nil"/>
              <w:right w:val="nil"/>
            </w:tcBorders>
            <w:tcMar>
              <w:top w:w="0" w:type="dxa"/>
              <w:left w:w="0" w:type="dxa"/>
              <w:bottom w:w="0" w:type="dxa"/>
              <w:right w:w="0" w:type="dxa"/>
            </w:tcMar>
            <w:vAlign w:val="center"/>
          </w:tcPr>
          <w:p w14:paraId="4E9A7AEA">
            <w:pPr>
              <w:spacing w:before="20" w:after="20"/>
              <w:jc w:val="center"/>
              <w:rPr>
                <w:rFonts w:ascii="Times New Roman" w:hAnsi="Times New Roman" w:cs="Times New Roman"/>
              </w:rPr>
            </w:pPr>
            <w:r>
              <w:rPr>
                <w:rFonts w:ascii="Times New Roman" w:hAnsi="Times New Roman" w:eastAsia="Times New Roman" w:cs="Times New Roman"/>
                <w:sz w:val="20"/>
                <w:szCs w:val="20"/>
              </w:rPr>
              <w:t>-1.752***</w:t>
            </w:r>
          </w:p>
        </w:tc>
        <w:tc>
          <w:tcPr>
            <w:tcW w:w="1400" w:type="dxa"/>
            <w:tcBorders>
              <w:top w:val="nil"/>
              <w:left w:val="nil"/>
              <w:bottom w:val="nil"/>
              <w:right w:val="nil"/>
            </w:tcBorders>
            <w:tcMar>
              <w:top w:w="0" w:type="dxa"/>
              <w:left w:w="0" w:type="dxa"/>
              <w:bottom w:w="0" w:type="dxa"/>
              <w:right w:w="0" w:type="dxa"/>
            </w:tcMar>
            <w:vAlign w:val="center"/>
          </w:tcPr>
          <w:p w14:paraId="2798221F">
            <w:pPr>
              <w:spacing w:before="20" w:after="20"/>
              <w:jc w:val="center"/>
              <w:rPr>
                <w:rFonts w:ascii="Times New Roman" w:hAnsi="Times New Roman" w:cs="Times New Roman"/>
              </w:rPr>
            </w:pPr>
            <w:r>
              <w:rPr>
                <w:rFonts w:ascii="Times New Roman" w:hAnsi="Times New Roman" w:eastAsia="Times New Roman" w:cs="Times New Roman"/>
                <w:sz w:val="20"/>
                <w:szCs w:val="20"/>
              </w:rPr>
              <w:t>-1.202*</w:t>
            </w:r>
          </w:p>
        </w:tc>
        <w:tc>
          <w:tcPr>
            <w:tcW w:w="1400" w:type="dxa"/>
            <w:tcBorders>
              <w:top w:val="nil"/>
              <w:left w:val="nil"/>
              <w:bottom w:val="nil"/>
              <w:right w:val="nil"/>
            </w:tcBorders>
            <w:tcMar>
              <w:top w:w="0" w:type="dxa"/>
              <w:left w:w="0" w:type="dxa"/>
              <w:bottom w:w="0" w:type="dxa"/>
              <w:right w:w="0" w:type="dxa"/>
            </w:tcMar>
            <w:vAlign w:val="center"/>
          </w:tcPr>
          <w:p w14:paraId="78547B28">
            <w:pPr>
              <w:spacing w:before="20" w:after="20"/>
              <w:jc w:val="center"/>
              <w:rPr>
                <w:rFonts w:ascii="Times New Roman" w:hAnsi="Times New Roman" w:cs="Times New Roman"/>
              </w:rPr>
            </w:pPr>
            <w:r>
              <w:rPr>
                <w:rFonts w:ascii="Times New Roman" w:hAnsi="Times New Roman" w:eastAsia="Times New Roman" w:cs="Times New Roman"/>
                <w:sz w:val="20"/>
                <w:szCs w:val="20"/>
              </w:rPr>
              <w:t>-1.707***</w:t>
            </w:r>
          </w:p>
        </w:tc>
        <w:tc>
          <w:tcPr>
            <w:tcW w:w="2989" w:type="dxa"/>
            <w:tcBorders>
              <w:top w:val="nil"/>
              <w:left w:val="nil"/>
              <w:bottom w:val="nil"/>
              <w:right w:val="nil"/>
            </w:tcBorders>
            <w:tcMar>
              <w:top w:w="0" w:type="dxa"/>
              <w:left w:w="0" w:type="dxa"/>
              <w:bottom w:w="0" w:type="dxa"/>
              <w:right w:w="0" w:type="dxa"/>
            </w:tcMar>
            <w:vAlign w:val="center"/>
          </w:tcPr>
          <w:p w14:paraId="7150EFB6">
            <w:pPr>
              <w:spacing w:before="20" w:after="20"/>
              <w:jc w:val="center"/>
              <w:rPr>
                <w:rFonts w:ascii="Times New Roman" w:hAnsi="Times New Roman" w:cs="Times New Roman"/>
              </w:rPr>
            </w:pPr>
            <w:r>
              <w:rPr>
                <w:rFonts w:ascii="Times New Roman" w:hAnsi="Times New Roman" w:eastAsia="Times New Roman" w:cs="Times New Roman"/>
                <w:sz w:val="20"/>
                <w:szCs w:val="20"/>
              </w:rPr>
              <w:t>-1.297**</w:t>
            </w:r>
          </w:p>
        </w:tc>
      </w:tr>
      <w:tr w14:paraId="4D48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1753C45C">
            <w:pPr>
              <w:spacing w:before="20" w:after="20"/>
              <w:jc w:val="center"/>
              <w:rPr>
                <w:rFonts w:ascii="Times New Roman" w:hAnsi="Times New Roman" w:cs="Times New Roman"/>
              </w:rPr>
            </w:pPr>
          </w:p>
        </w:tc>
        <w:tc>
          <w:tcPr>
            <w:tcW w:w="1400" w:type="dxa"/>
            <w:tcBorders>
              <w:top w:val="nil"/>
              <w:left w:val="nil"/>
              <w:bottom w:val="nil"/>
              <w:right w:val="nil"/>
            </w:tcBorders>
            <w:tcMar>
              <w:top w:w="0" w:type="dxa"/>
              <w:left w:w="0" w:type="dxa"/>
              <w:bottom w:w="0" w:type="dxa"/>
              <w:right w:w="0" w:type="dxa"/>
            </w:tcMar>
            <w:vAlign w:val="center"/>
          </w:tcPr>
          <w:p w14:paraId="624749EB">
            <w:pPr>
              <w:spacing w:before="20" w:after="20"/>
              <w:jc w:val="center"/>
              <w:rPr>
                <w:rFonts w:ascii="Times New Roman" w:hAnsi="Times New Roman" w:cs="Times New Roman"/>
              </w:rPr>
            </w:pPr>
            <w:r>
              <w:rPr>
                <w:rFonts w:ascii="Times New Roman" w:hAnsi="Times New Roman" w:eastAsia="Times New Roman" w:cs="Times New Roman"/>
                <w:sz w:val="20"/>
                <w:szCs w:val="20"/>
              </w:rPr>
              <w:t>(-6.045)</w:t>
            </w:r>
          </w:p>
        </w:tc>
        <w:tc>
          <w:tcPr>
            <w:tcW w:w="1400" w:type="dxa"/>
            <w:tcBorders>
              <w:top w:val="nil"/>
              <w:left w:val="nil"/>
              <w:bottom w:val="nil"/>
              <w:right w:val="nil"/>
            </w:tcBorders>
            <w:tcMar>
              <w:top w:w="0" w:type="dxa"/>
              <w:left w:w="0" w:type="dxa"/>
              <w:bottom w:w="0" w:type="dxa"/>
              <w:right w:w="0" w:type="dxa"/>
            </w:tcMar>
            <w:vAlign w:val="center"/>
          </w:tcPr>
          <w:p w14:paraId="1702B5D1">
            <w:pPr>
              <w:spacing w:before="20" w:after="20"/>
              <w:jc w:val="center"/>
              <w:rPr>
                <w:rFonts w:ascii="Times New Roman" w:hAnsi="Times New Roman" w:cs="Times New Roman"/>
              </w:rPr>
            </w:pPr>
            <w:r>
              <w:rPr>
                <w:rFonts w:ascii="Times New Roman" w:hAnsi="Times New Roman" w:eastAsia="Times New Roman" w:cs="Times New Roman"/>
                <w:sz w:val="20"/>
                <w:szCs w:val="20"/>
              </w:rPr>
              <w:t>(-1.874)</w:t>
            </w:r>
          </w:p>
        </w:tc>
        <w:tc>
          <w:tcPr>
            <w:tcW w:w="1400" w:type="dxa"/>
            <w:tcBorders>
              <w:top w:val="nil"/>
              <w:left w:val="nil"/>
              <w:bottom w:val="nil"/>
              <w:right w:val="nil"/>
            </w:tcBorders>
            <w:tcMar>
              <w:top w:w="0" w:type="dxa"/>
              <w:left w:w="0" w:type="dxa"/>
              <w:bottom w:w="0" w:type="dxa"/>
              <w:right w:w="0" w:type="dxa"/>
            </w:tcMar>
            <w:vAlign w:val="center"/>
          </w:tcPr>
          <w:p w14:paraId="35FDEB6E">
            <w:pPr>
              <w:spacing w:before="20" w:after="20"/>
              <w:jc w:val="center"/>
              <w:rPr>
                <w:rFonts w:ascii="Times New Roman" w:hAnsi="Times New Roman" w:cs="Times New Roman"/>
              </w:rPr>
            </w:pPr>
            <w:r>
              <w:rPr>
                <w:rFonts w:ascii="Times New Roman" w:hAnsi="Times New Roman" w:eastAsia="Times New Roman" w:cs="Times New Roman"/>
                <w:sz w:val="20"/>
                <w:szCs w:val="20"/>
              </w:rPr>
              <w:t>(-3.455)</w:t>
            </w:r>
          </w:p>
        </w:tc>
        <w:tc>
          <w:tcPr>
            <w:tcW w:w="2989" w:type="dxa"/>
            <w:tcBorders>
              <w:top w:val="nil"/>
              <w:left w:val="nil"/>
              <w:bottom w:val="nil"/>
              <w:right w:val="nil"/>
            </w:tcBorders>
            <w:tcMar>
              <w:top w:w="0" w:type="dxa"/>
              <w:left w:w="0" w:type="dxa"/>
              <w:bottom w:w="0" w:type="dxa"/>
              <w:right w:w="0" w:type="dxa"/>
            </w:tcMar>
            <w:vAlign w:val="center"/>
          </w:tcPr>
          <w:p w14:paraId="41A4FA36">
            <w:pPr>
              <w:spacing w:before="20" w:after="20"/>
              <w:jc w:val="center"/>
              <w:rPr>
                <w:rFonts w:ascii="Times New Roman" w:hAnsi="Times New Roman" w:cs="Times New Roman"/>
              </w:rPr>
            </w:pPr>
            <w:r>
              <w:rPr>
                <w:rFonts w:ascii="Times New Roman" w:hAnsi="Times New Roman" w:eastAsia="Times New Roman" w:cs="Times New Roman"/>
                <w:sz w:val="20"/>
                <w:szCs w:val="20"/>
              </w:rPr>
              <w:t>(-2.270)</w:t>
            </w:r>
          </w:p>
        </w:tc>
      </w:tr>
      <w:tr w14:paraId="0F1E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30B6AF81">
            <w:pPr>
              <w:spacing w:before="20" w:after="20"/>
              <w:jc w:val="center"/>
              <w:rPr>
                <w:rFonts w:ascii="Times New Roman" w:hAnsi="Times New Roman" w:cs="Times New Roman"/>
              </w:rPr>
            </w:pPr>
            <w:r>
              <w:rPr>
                <w:rFonts w:ascii="Times New Roman" w:hAnsi="Times New Roman" w:eastAsia="Times New Roman" w:cs="Times New Roman"/>
                <w:sz w:val="20"/>
                <w:szCs w:val="20"/>
              </w:rPr>
              <w:t>ln_duration</w:t>
            </w:r>
          </w:p>
        </w:tc>
        <w:tc>
          <w:tcPr>
            <w:tcW w:w="1400" w:type="dxa"/>
            <w:tcBorders>
              <w:top w:val="nil"/>
              <w:left w:val="nil"/>
              <w:bottom w:val="nil"/>
              <w:right w:val="nil"/>
            </w:tcBorders>
            <w:tcMar>
              <w:top w:w="0" w:type="dxa"/>
              <w:left w:w="0" w:type="dxa"/>
              <w:bottom w:w="0" w:type="dxa"/>
              <w:right w:w="0" w:type="dxa"/>
            </w:tcMar>
            <w:vAlign w:val="center"/>
          </w:tcPr>
          <w:p w14:paraId="314ECF62">
            <w:pPr>
              <w:spacing w:before="20" w:after="20"/>
              <w:jc w:val="center"/>
              <w:rPr>
                <w:rFonts w:ascii="Times New Roman" w:hAnsi="Times New Roman" w:cs="Times New Roman"/>
              </w:rPr>
            </w:pPr>
            <w:r>
              <w:rPr>
                <w:rFonts w:ascii="Times New Roman" w:hAnsi="Times New Roman" w:eastAsia="Times New Roman" w:cs="Times New Roman"/>
                <w:sz w:val="20"/>
                <w:szCs w:val="20"/>
              </w:rPr>
              <w:t>3.639***</w:t>
            </w:r>
          </w:p>
        </w:tc>
        <w:tc>
          <w:tcPr>
            <w:tcW w:w="1400" w:type="dxa"/>
            <w:tcBorders>
              <w:top w:val="nil"/>
              <w:left w:val="nil"/>
              <w:bottom w:val="nil"/>
              <w:right w:val="nil"/>
            </w:tcBorders>
            <w:tcMar>
              <w:top w:w="0" w:type="dxa"/>
              <w:left w:w="0" w:type="dxa"/>
              <w:bottom w:w="0" w:type="dxa"/>
              <w:right w:w="0" w:type="dxa"/>
            </w:tcMar>
            <w:vAlign w:val="center"/>
          </w:tcPr>
          <w:p w14:paraId="25AA88D9">
            <w:pPr>
              <w:spacing w:before="20" w:after="20"/>
              <w:jc w:val="center"/>
              <w:rPr>
                <w:rFonts w:ascii="Times New Roman" w:hAnsi="Times New Roman" w:cs="Times New Roman"/>
              </w:rPr>
            </w:pPr>
            <w:r>
              <w:rPr>
                <w:rFonts w:ascii="Times New Roman" w:hAnsi="Times New Roman" w:eastAsia="Times New Roman" w:cs="Times New Roman"/>
                <w:sz w:val="20"/>
                <w:szCs w:val="20"/>
              </w:rPr>
              <w:t>4.946***</w:t>
            </w:r>
          </w:p>
        </w:tc>
        <w:tc>
          <w:tcPr>
            <w:tcW w:w="1400" w:type="dxa"/>
            <w:tcBorders>
              <w:top w:val="nil"/>
              <w:left w:val="nil"/>
              <w:bottom w:val="nil"/>
              <w:right w:val="nil"/>
            </w:tcBorders>
            <w:tcMar>
              <w:top w:w="0" w:type="dxa"/>
              <w:left w:w="0" w:type="dxa"/>
              <w:bottom w:w="0" w:type="dxa"/>
              <w:right w:w="0" w:type="dxa"/>
            </w:tcMar>
            <w:vAlign w:val="center"/>
          </w:tcPr>
          <w:p w14:paraId="0AD065C2">
            <w:pPr>
              <w:spacing w:before="20" w:after="20"/>
              <w:jc w:val="center"/>
              <w:rPr>
                <w:rFonts w:ascii="Times New Roman" w:hAnsi="Times New Roman" w:cs="Times New Roman"/>
              </w:rPr>
            </w:pPr>
            <w:r>
              <w:rPr>
                <w:rFonts w:ascii="Times New Roman" w:hAnsi="Times New Roman" w:eastAsia="Times New Roman" w:cs="Times New Roman"/>
                <w:sz w:val="20"/>
                <w:szCs w:val="20"/>
              </w:rPr>
              <w:t>4.698***</w:t>
            </w:r>
          </w:p>
        </w:tc>
        <w:tc>
          <w:tcPr>
            <w:tcW w:w="2989" w:type="dxa"/>
            <w:tcBorders>
              <w:top w:val="nil"/>
              <w:left w:val="nil"/>
              <w:bottom w:val="nil"/>
              <w:right w:val="nil"/>
            </w:tcBorders>
            <w:tcMar>
              <w:top w:w="0" w:type="dxa"/>
              <w:left w:w="0" w:type="dxa"/>
              <w:bottom w:w="0" w:type="dxa"/>
              <w:right w:w="0" w:type="dxa"/>
            </w:tcMar>
            <w:vAlign w:val="center"/>
          </w:tcPr>
          <w:p w14:paraId="72CE9CF0">
            <w:pPr>
              <w:spacing w:before="20" w:after="20"/>
              <w:jc w:val="center"/>
              <w:rPr>
                <w:rFonts w:ascii="Times New Roman" w:hAnsi="Times New Roman" w:cs="Times New Roman"/>
              </w:rPr>
            </w:pPr>
            <w:r>
              <w:rPr>
                <w:rFonts w:ascii="Times New Roman" w:hAnsi="Times New Roman" w:eastAsia="Times New Roman" w:cs="Times New Roman"/>
                <w:sz w:val="20"/>
                <w:szCs w:val="20"/>
              </w:rPr>
              <w:t>4.499***</w:t>
            </w:r>
          </w:p>
        </w:tc>
      </w:tr>
      <w:tr w14:paraId="53AB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228ABC7C">
            <w:pPr>
              <w:spacing w:before="20" w:after="20"/>
              <w:jc w:val="center"/>
              <w:rPr>
                <w:rFonts w:ascii="Times New Roman" w:hAnsi="Times New Roman" w:cs="Times New Roman"/>
              </w:rPr>
            </w:pPr>
          </w:p>
        </w:tc>
        <w:tc>
          <w:tcPr>
            <w:tcW w:w="1400" w:type="dxa"/>
            <w:tcBorders>
              <w:top w:val="nil"/>
              <w:left w:val="nil"/>
              <w:bottom w:val="nil"/>
              <w:right w:val="nil"/>
            </w:tcBorders>
            <w:tcMar>
              <w:top w:w="0" w:type="dxa"/>
              <w:left w:w="0" w:type="dxa"/>
              <w:bottom w:w="0" w:type="dxa"/>
              <w:right w:w="0" w:type="dxa"/>
            </w:tcMar>
            <w:vAlign w:val="center"/>
          </w:tcPr>
          <w:p w14:paraId="7E02A15E">
            <w:pPr>
              <w:spacing w:before="20" w:after="20"/>
              <w:jc w:val="center"/>
              <w:rPr>
                <w:rFonts w:ascii="Times New Roman" w:hAnsi="Times New Roman" w:cs="Times New Roman"/>
              </w:rPr>
            </w:pPr>
            <w:r>
              <w:rPr>
                <w:rFonts w:ascii="Times New Roman" w:hAnsi="Times New Roman" w:eastAsia="Times New Roman" w:cs="Times New Roman"/>
                <w:sz w:val="20"/>
                <w:szCs w:val="20"/>
              </w:rPr>
              <w:t>(3.895)</w:t>
            </w:r>
          </w:p>
        </w:tc>
        <w:tc>
          <w:tcPr>
            <w:tcW w:w="1400" w:type="dxa"/>
            <w:tcBorders>
              <w:top w:val="nil"/>
              <w:left w:val="nil"/>
              <w:bottom w:val="nil"/>
              <w:right w:val="nil"/>
            </w:tcBorders>
            <w:tcMar>
              <w:top w:w="0" w:type="dxa"/>
              <w:left w:w="0" w:type="dxa"/>
              <w:bottom w:w="0" w:type="dxa"/>
              <w:right w:w="0" w:type="dxa"/>
            </w:tcMar>
            <w:vAlign w:val="center"/>
          </w:tcPr>
          <w:p w14:paraId="45EE67C2">
            <w:pPr>
              <w:spacing w:before="20" w:after="20"/>
              <w:jc w:val="center"/>
              <w:rPr>
                <w:rFonts w:ascii="Times New Roman" w:hAnsi="Times New Roman" w:cs="Times New Roman"/>
              </w:rPr>
            </w:pPr>
            <w:r>
              <w:rPr>
                <w:rFonts w:ascii="Times New Roman" w:hAnsi="Times New Roman" w:eastAsia="Times New Roman" w:cs="Times New Roman"/>
                <w:sz w:val="20"/>
                <w:szCs w:val="20"/>
              </w:rPr>
              <w:t>(11.920)</w:t>
            </w:r>
          </w:p>
        </w:tc>
        <w:tc>
          <w:tcPr>
            <w:tcW w:w="1400" w:type="dxa"/>
            <w:tcBorders>
              <w:top w:val="nil"/>
              <w:left w:val="nil"/>
              <w:bottom w:val="nil"/>
              <w:right w:val="nil"/>
            </w:tcBorders>
            <w:tcMar>
              <w:top w:w="0" w:type="dxa"/>
              <w:left w:w="0" w:type="dxa"/>
              <w:bottom w:w="0" w:type="dxa"/>
              <w:right w:w="0" w:type="dxa"/>
            </w:tcMar>
            <w:vAlign w:val="center"/>
          </w:tcPr>
          <w:p w14:paraId="03BF782B">
            <w:pPr>
              <w:spacing w:before="20" w:after="20"/>
              <w:jc w:val="center"/>
              <w:rPr>
                <w:rFonts w:ascii="Times New Roman" w:hAnsi="Times New Roman" w:cs="Times New Roman"/>
              </w:rPr>
            </w:pPr>
            <w:r>
              <w:rPr>
                <w:rFonts w:ascii="Times New Roman" w:hAnsi="Times New Roman" w:eastAsia="Times New Roman" w:cs="Times New Roman"/>
                <w:sz w:val="20"/>
                <w:szCs w:val="20"/>
              </w:rPr>
              <w:t>(4.009)</w:t>
            </w:r>
          </w:p>
        </w:tc>
        <w:tc>
          <w:tcPr>
            <w:tcW w:w="2989" w:type="dxa"/>
            <w:tcBorders>
              <w:top w:val="nil"/>
              <w:left w:val="nil"/>
              <w:bottom w:val="nil"/>
              <w:right w:val="nil"/>
            </w:tcBorders>
            <w:tcMar>
              <w:top w:w="0" w:type="dxa"/>
              <w:left w:w="0" w:type="dxa"/>
              <w:bottom w:w="0" w:type="dxa"/>
              <w:right w:w="0" w:type="dxa"/>
            </w:tcMar>
            <w:vAlign w:val="center"/>
          </w:tcPr>
          <w:p w14:paraId="6EC181CB">
            <w:pPr>
              <w:spacing w:before="20" w:after="20"/>
              <w:jc w:val="center"/>
              <w:rPr>
                <w:rFonts w:ascii="Times New Roman" w:hAnsi="Times New Roman" w:cs="Times New Roman"/>
              </w:rPr>
            </w:pPr>
            <w:r>
              <w:rPr>
                <w:rFonts w:ascii="Times New Roman" w:hAnsi="Times New Roman" w:eastAsia="Times New Roman" w:cs="Times New Roman"/>
                <w:sz w:val="20"/>
                <w:szCs w:val="20"/>
              </w:rPr>
              <w:t>(6.488)</w:t>
            </w:r>
          </w:p>
        </w:tc>
      </w:tr>
      <w:tr w14:paraId="15F8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75A23337">
            <w:pPr>
              <w:spacing w:before="20" w:after="20"/>
              <w:jc w:val="center"/>
              <w:rPr>
                <w:rFonts w:ascii="Times New Roman" w:hAnsi="Times New Roman" w:cs="Times New Roman"/>
              </w:rPr>
            </w:pPr>
            <w:r>
              <w:rPr>
                <w:rFonts w:ascii="Times New Roman" w:hAnsi="Times New Roman" w:eastAsia="Times New Roman" w:cs="Times New Roman"/>
                <w:sz w:val="20"/>
                <w:szCs w:val="20"/>
              </w:rPr>
              <w:t>ln_view</w:t>
            </w:r>
          </w:p>
        </w:tc>
        <w:tc>
          <w:tcPr>
            <w:tcW w:w="1400" w:type="dxa"/>
            <w:tcBorders>
              <w:top w:val="nil"/>
              <w:left w:val="nil"/>
              <w:bottom w:val="nil"/>
              <w:right w:val="nil"/>
            </w:tcBorders>
            <w:tcMar>
              <w:top w:w="0" w:type="dxa"/>
              <w:left w:w="0" w:type="dxa"/>
              <w:bottom w:w="0" w:type="dxa"/>
              <w:right w:w="0" w:type="dxa"/>
            </w:tcMar>
            <w:vAlign w:val="center"/>
          </w:tcPr>
          <w:p w14:paraId="0C9529E2">
            <w:pPr>
              <w:spacing w:before="20" w:after="20"/>
              <w:jc w:val="center"/>
              <w:rPr>
                <w:rFonts w:ascii="Times New Roman" w:hAnsi="Times New Roman" w:cs="Times New Roman"/>
              </w:rPr>
            </w:pPr>
            <w:r>
              <w:rPr>
                <w:rFonts w:ascii="Times New Roman" w:hAnsi="Times New Roman" w:eastAsia="Times New Roman" w:cs="Times New Roman"/>
                <w:sz w:val="20"/>
                <w:szCs w:val="20"/>
              </w:rPr>
              <w:t>0.293</w:t>
            </w:r>
          </w:p>
        </w:tc>
        <w:tc>
          <w:tcPr>
            <w:tcW w:w="1400" w:type="dxa"/>
            <w:tcBorders>
              <w:top w:val="nil"/>
              <w:left w:val="nil"/>
              <w:bottom w:val="nil"/>
              <w:right w:val="nil"/>
            </w:tcBorders>
            <w:tcMar>
              <w:top w:w="0" w:type="dxa"/>
              <w:left w:w="0" w:type="dxa"/>
              <w:bottom w:w="0" w:type="dxa"/>
              <w:right w:w="0" w:type="dxa"/>
            </w:tcMar>
            <w:vAlign w:val="center"/>
          </w:tcPr>
          <w:p w14:paraId="5AF18C0E">
            <w:pPr>
              <w:spacing w:before="20" w:after="20"/>
              <w:jc w:val="center"/>
              <w:rPr>
                <w:rFonts w:ascii="Times New Roman" w:hAnsi="Times New Roman" w:cs="Times New Roman"/>
              </w:rPr>
            </w:pPr>
            <w:r>
              <w:rPr>
                <w:rFonts w:ascii="Times New Roman" w:hAnsi="Times New Roman" w:eastAsia="Times New Roman" w:cs="Times New Roman"/>
                <w:sz w:val="20"/>
                <w:szCs w:val="20"/>
              </w:rPr>
              <w:t>-1.084***</w:t>
            </w:r>
          </w:p>
        </w:tc>
        <w:tc>
          <w:tcPr>
            <w:tcW w:w="1400" w:type="dxa"/>
            <w:tcBorders>
              <w:top w:val="nil"/>
              <w:left w:val="nil"/>
              <w:bottom w:val="nil"/>
              <w:right w:val="nil"/>
            </w:tcBorders>
            <w:tcMar>
              <w:top w:w="0" w:type="dxa"/>
              <w:left w:w="0" w:type="dxa"/>
              <w:bottom w:w="0" w:type="dxa"/>
              <w:right w:w="0" w:type="dxa"/>
            </w:tcMar>
            <w:vAlign w:val="center"/>
          </w:tcPr>
          <w:p w14:paraId="1313C706">
            <w:pPr>
              <w:spacing w:before="20" w:after="20"/>
              <w:jc w:val="center"/>
              <w:rPr>
                <w:rFonts w:ascii="Times New Roman" w:hAnsi="Times New Roman" w:cs="Times New Roman"/>
              </w:rPr>
            </w:pPr>
            <w:r>
              <w:rPr>
                <w:rFonts w:ascii="Times New Roman" w:hAnsi="Times New Roman" w:eastAsia="Times New Roman" w:cs="Times New Roman"/>
                <w:sz w:val="20"/>
                <w:szCs w:val="20"/>
              </w:rPr>
              <w:t>0.136</w:t>
            </w:r>
          </w:p>
        </w:tc>
        <w:tc>
          <w:tcPr>
            <w:tcW w:w="2989" w:type="dxa"/>
            <w:tcBorders>
              <w:top w:val="nil"/>
              <w:left w:val="nil"/>
              <w:bottom w:val="nil"/>
              <w:right w:val="nil"/>
            </w:tcBorders>
            <w:tcMar>
              <w:top w:w="0" w:type="dxa"/>
              <w:left w:w="0" w:type="dxa"/>
              <w:bottom w:w="0" w:type="dxa"/>
              <w:right w:w="0" w:type="dxa"/>
            </w:tcMar>
            <w:vAlign w:val="center"/>
          </w:tcPr>
          <w:p w14:paraId="70638246">
            <w:pPr>
              <w:spacing w:before="20" w:after="20"/>
              <w:jc w:val="center"/>
              <w:rPr>
                <w:rFonts w:ascii="Times New Roman" w:hAnsi="Times New Roman" w:cs="Times New Roman"/>
              </w:rPr>
            </w:pPr>
            <w:r>
              <w:rPr>
                <w:rFonts w:ascii="Times New Roman" w:hAnsi="Times New Roman" w:eastAsia="Times New Roman" w:cs="Times New Roman"/>
                <w:sz w:val="20"/>
                <w:szCs w:val="20"/>
              </w:rPr>
              <w:t>-0.929***</w:t>
            </w:r>
          </w:p>
        </w:tc>
      </w:tr>
      <w:tr w14:paraId="5DA9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3E1438AB">
            <w:pPr>
              <w:spacing w:before="20" w:after="20"/>
              <w:jc w:val="center"/>
              <w:rPr>
                <w:rFonts w:ascii="Times New Roman" w:hAnsi="Times New Roman" w:cs="Times New Roman"/>
              </w:rPr>
            </w:pPr>
          </w:p>
        </w:tc>
        <w:tc>
          <w:tcPr>
            <w:tcW w:w="1400" w:type="dxa"/>
            <w:tcBorders>
              <w:top w:val="nil"/>
              <w:left w:val="nil"/>
              <w:bottom w:val="nil"/>
              <w:right w:val="nil"/>
            </w:tcBorders>
            <w:tcMar>
              <w:top w:w="0" w:type="dxa"/>
              <w:left w:w="0" w:type="dxa"/>
              <w:bottom w:w="0" w:type="dxa"/>
              <w:right w:w="0" w:type="dxa"/>
            </w:tcMar>
            <w:vAlign w:val="center"/>
          </w:tcPr>
          <w:p w14:paraId="2216FF67">
            <w:pPr>
              <w:spacing w:before="20" w:after="20"/>
              <w:jc w:val="center"/>
              <w:rPr>
                <w:rFonts w:ascii="Times New Roman" w:hAnsi="Times New Roman" w:cs="Times New Roman"/>
              </w:rPr>
            </w:pPr>
            <w:r>
              <w:rPr>
                <w:rFonts w:ascii="Times New Roman" w:hAnsi="Times New Roman" w:eastAsia="Times New Roman" w:cs="Times New Roman"/>
                <w:sz w:val="20"/>
                <w:szCs w:val="20"/>
              </w:rPr>
              <w:t>(0.490)</w:t>
            </w:r>
          </w:p>
        </w:tc>
        <w:tc>
          <w:tcPr>
            <w:tcW w:w="1400" w:type="dxa"/>
            <w:tcBorders>
              <w:top w:val="nil"/>
              <w:left w:val="nil"/>
              <w:bottom w:val="nil"/>
              <w:right w:val="nil"/>
            </w:tcBorders>
            <w:tcMar>
              <w:top w:w="0" w:type="dxa"/>
              <w:left w:w="0" w:type="dxa"/>
              <w:bottom w:w="0" w:type="dxa"/>
              <w:right w:w="0" w:type="dxa"/>
            </w:tcMar>
            <w:vAlign w:val="center"/>
          </w:tcPr>
          <w:p w14:paraId="04F7C5E4">
            <w:pPr>
              <w:spacing w:before="20" w:after="20"/>
              <w:jc w:val="center"/>
              <w:rPr>
                <w:rFonts w:ascii="Times New Roman" w:hAnsi="Times New Roman" w:cs="Times New Roman"/>
              </w:rPr>
            </w:pPr>
            <w:r>
              <w:rPr>
                <w:rFonts w:ascii="Times New Roman" w:hAnsi="Times New Roman" w:eastAsia="Times New Roman" w:cs="Times New Roman"/>
                <w:sz w:val="20"/>
                <w:szCs w:val="20"/>
              </w:rPr>
              <w:t>(-3.614)</w:t>
            </w:r>
          </w:p>
        </w:tc>
        <w:tc>
          <w:tcPr>
            <w:tcW w:w="1400" w:type="dxa"/>
            <w:tcBorders>
              <w:top w:val="nil"/>
              <w:left w:val="nil"/>
              <w:bottom w:val="nil"/>
              <w:right w:val="nil"/>
            </w:tcBorders>
            <w:tcMar>
              <w:top w:w="0" w:type="dxa"/>
              <w:left w:w="0" w:type="dxa"/>
              <w:bottom w:w="0" w:type="dxa"/>
              <w:right w:w="0" w:type="dxa"/>
            </w:tcMar>
            <w:vAlign w:val="center"/>
          </w:tcPr>
          <w:p w14:paraId="69666030">
            <w:pPr>
              <w:spacing w:before="20" w:after="20"/>
              <w:jc w:val="center"/>
              <w:rPr>
                <w:rFonts w:ascii="Times New Roman" w:hAnsi="Times New Roman" w:cs="Times New Roman"/>
              </w:rPr>
            </w:pPr>
            <w:r>
              <w:rPr>
                <w:rFonts w:ascii="Times New Roman" w:hAnsi="Times New Roman" w:eastAsia="Times New Roman" w:cs="Times New Roman"/>
                <w:sz w:val="20"/>
                <w:szCs w:val="20"/>
              </w:rPr>
              <w:t>(0.206)</w:t>
            </w:r>
          </w:p>
        </w:tc>
        <w:tc>
          <w:tcPr>
            <w:tcW w:w="2989" w:type="dxa"/>
            <w:tcBorders>
              <w:top w:val="nil"/>
              <w:left w:val="nil"/>
              <w:bottom w:val="nil"/>
              <w:right w:val="nil"/>
            </w:tcBorders>
            <w:tcMar>
              <w:top w:w="0" w:type="dxa"/>
              <w:left w:w="0" w:type="dxa"/>
              <w:bottom w:w="0" w:type="dxa"/>
              <w:right w:w="0" w:type="dxa"/>
            </w:tcMar>
            <w:vAlign w:val="center"/>
          </w:tcPr>
          <w:p w14:paraId="4CADBDDA">
            <w:pPr>
              <w:spacing w:before="20" w:after="20"/>
              <w:jc w:val="center"/>
              <w:rPr>
                <w:rFonts w:ascii="Times New Roman" w:hAnsi="Times New Roman" w:cs="Times New Roman"/>
              </w:rPr>
            </w:pPr>
            <w:r>
              <w:rPr>
                <w:rFonts w:ascii="Times New Roman" w:hAnsi="Times New Roman" w:eastAsia="Times New Roman" w:cs="Times New Roman"/>
                <w:sz w:val="20"/>
                <w:szCs w:val="20"/>
              </w:rPr>
              <w:t>(-3.489)</w:t>
            </w:r>
          </w:p>
        </w:tc>
      </w:tr>
      <w:tr w14:paraId="1F05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68F5D48E">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年份/月份固定效应</w:t>
            </w:r>
          </w:p>
        </w:tc>
        <w:tc>
          <w:tcPr>
            <w:tcW w:w="1400" w:type="dxa"/>
            <w:tcBorders>
              <w:top w:val="nil"/>
              <w:left w:val="nil"/>
              <w:bottom w:val="nil"/>
              <w:right w:val="nil"/>
            </w:tcBorders>
            <w:tcMar>
              <w:top w:w="0" w:type="dxa"/>
              <w:left w:w="0" w:type="dxa"/>
              <w:bottom w:w="0" w:type="dxa"/>
              <w:right w:w="0" w:type="dxa"/>
            </w:tcMar>
            <w:vAlign w:val="center"/>
          </w:tcPr>
          <w:p w14:paraId="5AB77829">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400" w:type="dxa"/>
            <w:tcBorders>
              <w:top w:val="nil"/>
              <w:left w:val="nil"/>
              <w:bottom w:val="nil"/>
              <w:right w:val="nil"/>
            </w:tcBorders>
            <w:tcMar>
              <w:top w:w="0" w:type="dxa"/>
              <w:left w:w="0" w:type="dxa"/>
              <w:bottom w:w="0" w:type="dxa"/>
              <w:right w:w="0" w:type="dxa"/>
            </w:tcMar>
            <w:vAlign w:val="center"/>
          </w:tcPr>
          <w:p w14:paraId="2CA92443">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400" w:type="dxa"/>
            <w:tcBorders>
              <w:top w:val="nil"/>
              <w:left w:val="nil"/>
              <w:bottom w:val="nil"/>
              <w:right w:val="nil"/>
            </w:tcBorders>
            <w:tcMar>
              <w:top w:w="0" w:type="dxa"/>
              <w:left w:w="0" w:type="dxa"/>
              <w:bottom w:w="0" w:type="dxa"/>
              <w:right w:w="0" w:type="dxa"/>
            </w:tcMar>
            <w:vAlign w:val="center"/>
          </w:tcPr>
          <w:p w14:paraId="56E9EC1E">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2989" w:type="dxa"/>
            <w:tcBorders>
              <w:top w:val="nil"/>
              <w:left w:val="nil"/>
              <w:bottom w:val="nil"/>
              <w:right w:val="nil"/>
            </w:tcBorders>
            <w:tcMar>
              <w:top w:w="0" w:type="dxa"/>
              <w:left w:w="0" w:type="dxa"/>
              <w:bottom w:w="0" w:type="dxa"/>
              <w:right w:w="0" w:type="dxa"/>
            </w:tcMar>
            <w:vAlign w:val="center"/>
          </w:tcPr>
          <w:p w14:paraId="72CA5063">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7D38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68C33927">
            <w:pPr>
              <w:spacing w:before="20" w:after="20"/>
              <w:jc w:val="center"/>
              <w:rPr>
                <w:rFonts w:ascii="Times New Roman" w:hAnsi="Times New Roman" w:cs="Times New Roman"/>
              </w:rPr>
            </w:pPr>
            <w:r>
              <w:rPr>
                <w:rFonts w:ascii="Times New Roman" w:hAnsi="Times New Roman" w:eastAsia="Times New Roman" w:cs="Times New Roman"/>
                <w:sz w:val="20"/>
                <w:szCs w:val="20"/>
              </w:rPr>
              <w:t>个体固定效应</w:t>
            </w:r>
          </w:p>
        </w:tc>
        <w:tc>
          <w:tcPr>
            <w:tcW w:w="1400" w:type="dxa"/>
            <w:tcBorders>
              <w:top w:val="nil"/>
              <w:left w:val="nil"/>
              <w:bottom w:val="nil"/>
              <w:right w:val="nil"/>
            </w:tcBorders>
            <w:tcMar>
              <w:top w:w="0" w:type="dxa"/>
              <w:left w:w="0" w:type="dxa"/>
              <w:bottom w:w="0" w:type="dxa"/>
              <w:right w:w="0" w:type="dxa"/>
            </w:tcMar>
            <w:vAlign w:val="center"/>
          </w:tcPr>
          <w:p w14:paraId="720BEAB5">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400" w:type="dxa"/>
            <w:tcBorders>
              <w:top w:val="nil"/>
              <w:left w:val="nil"/>
              <w:bottom w:val="nil"/>
              <w:right w:val="nil"/>
            </w:tcBorders>
            <w:tcMar>
              <w:top w:w="0" w:type="dxa"/>
              <w:left w:w="0" w:type="dxa"/>
              <w:bottom w:w="0" w:type="dxa"/>
              <w:right w:w="0" w:type="dxa"/>
            </w:tcMar>
            <w:vAlign w:val="center"/>
          </w:tcPr>
          <w:p w14:paraId="308A2881">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400" w:type="dxa"/>
            <w:tcBorders>
              <w:top w:val="nil"/>
              <w:left w:val="nil"/>
              <w:bottom w:val="nil"/>
              <w:right w:val="nil"/>
            </w:tcBorders>
            <w:tcMar>
              <w:top w:w="0" w:type="dxa"/>
              <w:left w:w="0" w:type="dxa"/>
              <w:bottom w:w="0" w:type="dxa"/>
              <w:right w:w="0" w:type="dxa"/>
            </w:tcMar>
            <w:vAlign w:val="center"/>
          </w:tcPr>
          <w:p w14:paraId="2868E81B">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2989" w:type="dxa"/>
            <w:tcBorders>
              <w:top w:val="nil"/>
              <w:left w:val="nil"/>
              <w:bottom w:val="nil"/>
              <w:right w:val="nil"/>
            </w:tcBorders>
            <w:tcMar>
              <w:top w:w="0" w:type="dxa"/>
              <w:left w:w="0" w:type="dxa"/>
              <w:bottom w:w="0" w:type="dxa"/>
              <w:right w:w="0" w:type="dxa"/>
            </w:tcMar>
            <w:vAlign w:val="center"/>
          </w:tcPr>
          <w:p w14:paraId="0C7B6961">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0EC5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06EF6C79">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1400" w:type="dxa"/>
            <w:tcBorders>
              <w:top w:val="nil"/>
              <w:left w:val="nil"/>
              <w:bottom w:val="nil"/>
              <w:right w:val="nil"/>
            </w:tcBorders>
            <w:tcMar>
              <w:top w:w="0" w:type="dxa"/>
              <w:left w:w="0" w:type="dxa"/>
              <w:bottom w:w="0" w:type="dxa"/>
              <w:right w:w="0" w:type="dxa"/>
            </w:tcMar>
            <w:vAlign w:val="center"/>
          </w:tcPr>
          <w:p w14:paraId="49BD8929">
            <w:pPr>
              <w:spacing w:before="20" w:after="20"/>
              <w:jc w:val="center"/>
              <w:rPr>
                <w:rFonts w:ascii="Times New Roman" w:hAnsi="Times New Roman" w:cs="Times New Roman"/>
              </w:rPr>
            </w:pPr>
            <w:r>
              <w:rPr>
                <w:rFonts w:ascii="Times New Roman" w:hAnsi="Times New Roman" w:eastAsia="Times New Roman" w:cs="Times New Roman"/>
                <w:sz w:val="20"/>
                <w:szCs w:val="20"/>
              </w:rPr>
              <w:t>3,188</w:t>
            </w:r>
          </w:p>
        </w:tc>
        <w:tc>
          <w:tcPr>
            <w:tcW w:w="1400" w:type="dxa"/>
            <w:tcBorders>
              <w:top w:val="nil"/>
              <w:left w:val="nil"/>
              <w:bottom w:val="nil"/>
              <w:right w:val="nil"/>
            </w:tcBorders>
            <w:tcMar>
              <w:top w:w="0" w:type="dxa"/>
              <w:left w:w="0" w:type="dxa"/>
              <w:bottom w:w="0" w:type="dxa"/>
              <w:right w:w="0" w:type="dxa"/>
            </w:tcMar>
            <w:vAlign w:val="center"/>
          </w:tcPr>
          <w:p w14:paraId="69C135C4">
            <w:pPr>
              <w:spacing w:before="20" w:after="20"/>
              <w:jc w:val="center"/>
              <w:rPr>
                <w:rFonts w:ascii="Times New Roman" w:hAnsi="Times New Roman" w:cs="Times New Roman"/>
              </w:rPr>
            </w:pPr>
            <w:r>
              <w:rPr>
                <w:rFonts w:ascii="Times New Roman" w:hAnsi="Times New Roman" w:eastAsia="Times New Roman" w:cs="Times New Roman"/>
                <w:sz w:val="20"/>
                <w:szCs w:val="20"/>
              </w:rPr>
              <w:t>3,707</w:t>
            </w:r>
          </w:p>
        </w:tc>
        <w:tc>
          <w:tcPr>
            <w:tcW w:w="1400" w:type="dxa"/>
            <w:tcBorders>
              <w:top w:val="nil"/>
              <w:left w:val="nil"/>
              <w:bottom w:val="nil"/>
              <w:right w:val="nil"/>
            </w:tcBorders>
            <w:tcMar>
              <w:top w:w="0" w:type="dxa"/>
              <w:left w:w="0" w:type="dxa"/>
              <w:bottom w:w="0" w:type="dxa"/>
              <w:right w:w="0" w:type="dxa"/>
            </w:tcMar>
            <w:vAlign w:val="center"/>
          </w:tcPr>
          <w:p w14:paraId="78F491FC">
            <w:pPr>
              <w:spacing w:before="20" w:after="20"/>
              <w:jc w:val="center"/>
              <w:rPr>
                <w:rFonts w:ascii="Times New Roman" w:hAnsi="Times New Roman" w:cs="Times New Roman"/>
              </w:rPr>
            </w:pPr>
            <w:r>
              <w:rPr>
                <w:rFonts w:ascii="Times New Roman" w:hAnsi="Times New Roman" w:eastAsia="Times New Roman" w:cs="Times New Roman"/>
                <w:sz w:val="20"/>
                <w:szCs w:val="20"/>
              </w:rPr>
              <w:t>1,795</w:t>
            </w:r>
          </w:p>
        </w:tc>
        <w:tc>
          <w:tcPr>
            <w:tcW w:w="2989" w:type="dxa"/>
            <w:tcBorders>
              <w:top w:val="nil"/>
              <w:left w:val="nil"/>
              <w:bottom w:val="nil"/>
              <w:right w:val="nil"/>
            </w:tcBorders>
            <w:tcMar>
              <w:top w:w="0" w:type="dxa"/>
              <w:left w:w="0" w:type="dxa"/>
              <w:bottom w:w="0" w:type="dxa"/>
              <w:right w:w="0" w:type="dxa"/>
            </w:tcMar>
            <w:vAlign w:val="center"/>
          </w:tcPr>
          <w:p w14:paraId="5951FC93">
            <w:pPr>
              <w:spacing w:before="20" w:after="20"/>
              <w:jc w:val="center"/>
              <w:rPr>
                <w:rFonts w:ascii="Times New Roman" w:hAnsi="Times New Roman" w:cs="Times New Roman"/>
              </w:rPr>
            </w:pPr>
            <w:r>
              <w:rPr>
                <w:rFonts w:ascii="Times New Roman" w:hAnsi="Times New Roman" w:eastAsia="Times New Roman" w:cs="Times New Roman"/>
                <w:sz w:val="20"/>
                <w:szCs w:val="20"/>
              </w:rPr>
              <w:t>5,100</w:t>
            </w:r>
          </w:p>
        </w:tc>
      </w:tr>
      <w:tr w14:paraId="1D0E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0" w:type="dxa"/>
              <w:left w:w="0" w:type="dxa"/>
              <w:bottom w:w="0" w:type="dxa"/>
              <w:right w:w="0" w:type="dxa"/>
            </w:tcMar>
            <w:vAlign w:val="center"/>
          </w:tcPr>
          <w:p w14:paraId="0A18AA93">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1400" w:type="dxa"/>
            <w:tcBorders>
              <w:top w:val="nil"/>
              <w:left w:val="nil"/>
              <w:bottom w:val="nil"/>
              <w:right w:val="nil"/>
            </w:tcBorders>
            <w:tcMar>
              <w:top w:w="0" w:type="dxa"/>
              <w:left w:w="0" w:type="dxa"/>
              <w:bottom w:w="0" w:type="dxa"/>
              <w:right w:w="0" w:type="dxa"/>
            </w:tcMar>
            <w:vAlign w:val="center"/>
          </w:tcPr>
          <w:p w14:paraId="52A76E00">
            <w:pPr>
              <w:spacing w:before="20" w:after="20"/>
              <w:jc w:val="center"/>
              <w:rPr>
                <w:rFonts w:ascii="Times New Roman" w:hAnsi="Times New Roman" w:cs="Times New Roman"/>
              </w:rPr>
            </w:pPr>
            <w:r>
              <w:rPr>
                <w:rFonts w:ascii="Times New Roman" w:hAnsi="Times New Roman" w:eastAsia="Times New Roman" w:cs="Times New Roman"/>
                <w:sz w:val="20"/>
                <w:szCs w:val="20"/>
              </w:rPr>
              <w:t>0.129</w:t>
            </w:r>
          </w:p>
        </w:tc>
        <w:tc>
          <w:tcPr>
            <w:tcW w:w="1400" w:type="dxa"/>
            <w:tcBorders>
              <w:top w:val="nil"/>
              <w:left w:val="nil"/>
              <w:bottom w:val="nil"/>
              <w:right w:val="nil"/>
            </w:tcBorders>
            <w:tcMar>
              <w:top w:w="0" w:type="dxa"/>
              <w:left w:w="0" w:type="dxa"/>
              <w:bottom w:w="0" w:type="dxa"/>
              <w:right w:w="0" w:type="dxa"/>
            </w:tcMar>
            <w:vAlign w:val="center"/>
          </w:tcPr>
          <w:p w14:paraId="28795EA7">
            <w:pPr>
              <w:spacing w:before="20" w:after="20"/>
              <w:jc w:val="center"/>
              <w:rPr>
                <w:rFonts w:ascii="Times New Roman" w:hAnsi="Times New Roman" w:cs="Times New Roman"/>
              </w:rPr>
            </w:pPr>
            <w:r>
              <w:rPr>
                <w:rFonts w:ascii="Times New Roman" w:hAnsi="Times New Roman" w:eastAsia="Times New Roman" w:cs="Times New Roman"/>
                <w:sz w:val="20"/>
                <w:szCs w:val="20"/>
              </w:rPr>
              <w:t>0.226</w:t>
            </w:r>
          </w:p>
        </w:tc>
        <w:tc>
          <w:tcPr>
            <w:tcW w:w="1400" w:type="dxa"/>
            <w:tcBorders>
              <w:top w:val="nil"/>
              <w:left w:val="nil"/>
              <w:bottom w:val="nil"/>
              <w:right w:val="nil"/>
            </w:tcBorders>
            <w:tcMar>
              <w:top w:w="0" w:type="dxa"/>
              <w:left w:w="0" w:type="dxa"/>
              <w:bottom w:w="0" w:type="dxa"/>
              <w:right w:w="0" w:type="dxa"/>
            </w:tcMar>
            <w:vAlign w:val="center"/>
          </w:tcPr>
          <w:p w14:paraId="012C5EF5">
            <w:pPr>
              <w:spacing w:before="20" w:after="20"/>
              <w:jc w:val="center"/>
              <w:rPr>
                <w:rFonts w:ascii="Times New Roman" w:hAnsi="Times New Roman" w:cs="Times New Roman"/>
              </w:rPr>
            </w:pPr>
            <w:r>
              <w:rPr>
                <w:rFonts w:ascii="Times New Roman" w:hAnsi="Times New Roman" w:eastAsia="Times New Roman" w:cs="Times New Roman"/>
                <w:sz w:val="20"/>
                <w:szCs w:val="20"/>
              </w:rPr>
              <w:t>0.150</w:t>
            </w:r>
          </w:p>
        </w:tc>
        <w:tc>
          <w:tcPr>
            <w:tcW w:w="2989" w:type="dxa"/>
            <w:tcBorders>
              <w:top w:val="nil"/>
              <w:left w:val="nil"/>
              <w:bottom w:val="nil"/>
              <w:right w:val="nil"/>
            </w:tcBorders>
            <w:tcMar>
              <w:top w:w="0" w:type="dxa"/>
              <w:left w:w="0" w:type="dxa"/>
              <w:bottom w:w="0" w:type="dxa"/>
              <w:right w:w="0" w:type="dxa"/>
            </w:tcMar>
            <w:vAlign w:val="center"/>
          </w:tcPr>
          <w:p w14:paraId="61606C04">
            <w:pPr>
              <w:spacing w:before="20" w:after="20"/>
              <w:jc w:val="center"/>
              <w:rPr>
                <w:rFonts w:ascii="Times New Roman" w:hAnsi="Times New Roman" w:cs="Times New Roman"/>
              </w:rPr>
            </w:pPr>
            <w:r>
              <w:rPr>
                <w:rFonts w:ascii="Times New Roman" w:hAnsi="Times New Roman" w:eastAsia="Times New Roman" w:cs="Times New Roman"/>
                <w:sz w:val="20"/>
                <w:szCs w:val="20"/>
              </w:rPr>
              <w:t>0.118</w:t>
            </w:r>
          </w:p>
        </w:tc>
      </w:tr>
      <w:tr w14:paraId="6379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single" w:color="000000" w:sz="10" w:space="0"/>
              <w:right w:val="nil"/>
            </w:tcBorders>
            <w:tcMar>
              <w:top w:w="0" w:type="dxa"/>
              <w:left w:w="0" w:type="dxa"/>
              <w:bottom w:w="0" w:type="dxa"/>
              <w:right w:w="0" w:type="dxa"/>
            </w:tcMar>
            <w:vAlign w:val="center"/>
          </w:tcPr>
          <w:p w14:paraId="1ED276FB">
            <w:pPr>
              <w:spacing w:before="20" w:after="20"/>
              <w:jc w:val="center"/>
              <w:rPr>
                <w:rFonts w:ascii="Times New Roman" w:hAnsi="Times New Roman" w:cs="Times New Roman"/>
              </w:rPr>
            </w:pPr>
            <w:r>
              <w:rPr>
                <w:rFonts w:ascii="Times New Roman" w:hAnsi="Times New Roman" w:eastAsia="Times New Roman" w:cs="Times New Roman"/>
                <w:sz w:val="20"/>
                <w:szCs w:val="20"/>
              </w:rPr>
              <w:t>UP主数量</w:t>
            </w:r>
          </w:p>
        </w:tc>
        <w:tc>
          <w:tcPr>
            <w:tcW w:w="1400" w:type="dxa"/>
            <w:tcBorders>
              <w:top w:val="nil"/>
              <w:left w:val="nil"/>
              <w:bottom w:val="single" w:color="000000" w:sz="10" w:space="0"/>
              <w:right w:val="nil"/>
            </w:tcBorders>
            <w:tcMar>
              <w:top w:w="0" w:type="dxa"/>
              <w:left w:w="0" w:type="dxa"/>
              <w:bottom w:w="0" w:type="dxa"/>
              <w:right w:w="0" w:type="dxa"/>
            </w:tcMar>
            <w:vAlign w:val="center"/>
          </w:tcPr>
          <w:p w14:paraId="37576976">
            <w:pPr>
              <w:spacing w:before="20" w:after="20"/>
              <w:jc w:val="center"/>
              <w:rPr>
                <w:rFonts w:ascii="Times New Roman" w:hAnsi="Times New Roman" w:cs="Times New Roman"/>
              </w:rPr>
            </w:pPr>
            <w:commentRangeStart w:id="13"/>
            <w:r>
              <w:rPr>
                <w:rFonts w:ascii="Times New Roman" w:hAnsi="Times New Roman" w:eastAsia="Times New Roman" w:cs="Times New Roman"/>
                <w:sz w:val="20"/>
                <w:szCs w:val="20"/>
              </w:rPr>
              <w:t>30</w:t>
            </w:r>
            <w:commentRangeEnd w:id="13"/>
            <w:r>
              <w:rPr>
                <w:rStyle w:val="23"/>
              </w:rPr>
              <w:commentReference w:id="13"/>
            </w:r>
          </w:p>
        </w:tc>
        <w:tc>
          <w:tcPr>
            <w:tcW w:w="1400" w:type="dxa"/>
            <w:tcBorders>
              <w:top w:val="nil"/>
              <w:left w:val="nil"/>
              <w:bottom w:val="single" w:color="000000" w:sz="10" w:space="0"/>
              <w:right w:val="nil"/>
            </w:tcBorders>
            <w:tcMar>
              <w:top w:w="0" w:type="dxa"/>
              <w:left w:w="0" w:type="dxa"/>
              <w:bottom w:w="0" w:type="dxa"/>
              <w:right w:w="0" w:type="dxa"/>
            </w:tcMar>
            <w:vAlign w:val="center"/>
          </w:tcPr>
          <w:p w14:paraId="09AE0C81">
            <w:pPr>
              <w:spacing w:before="20" w:after="20"/>
              <w:jc w:val="center"/>
              <w:rPr>
                <w:rFonts w:ascii="Times New Roman" w:hAnsi="Times New Roman" w:cs="Times New Roman"/>
              </w:rPr>
            </w:pPr>
            <w:r>
              <w:rPr>
                <w:rFonts w:ascii="Times New Roman" w:hAnsi="Times New Roman" w:eastAsia="Times New Roman" w:cs="Times New Roman"/>
                <w:sz w:val="20"/>
                <w:szCs w:val="20"/>
              </w:rPr>
              <w:t>42</w:t>
            </w:r>
          </w:p>
        </w:tc>
        <w:tc>
          <w:tcPr>
            <w:tcW w:w="1400" w:type="dxa"/>
            <w:tcBorders>
              <w:top w:val="nil"/>
              <w:left w:val="nil"/>
              <w:bottom w:val="single" w:color="000000" w:sz="10" w:space="0"/>
              <w:right w:val="nil"/>
            </w:tcBorders>
            <w:tcMar>
              <w:top w:w="0" w:type="dxa"/>
              <w:left w:w="0" w:type="dxa"/>
              <w:bottom w:w="0" w:type="dxa"/>
              <w:right w:w="0" w:type="dxa"/>
            </w:tcMar>
            <w:vAlign w:val="center"/>
          </w:tcPr>
          <w:p w14:paraId="7873040B">
            <w:pPr>
              <w:spacing w:before="20" w:after="20"/>
              <w:jc w:val="center"/>
              <w:rPr>
                <w:rFonts w:ascii="Times New Roman" w:hAnsi="Times New Roman" w:cs="Times New Roman"/>
              </w:rPr>
            </w:pPr>
            <w:r>
              <w:rPr>
                <w:rFonts w:ascii="Times New Roman" w:hAnsi="Times New Roman" w:eastAsia="Times New Roman" w:cs="Times New Roman"/>
                <w:sz w:val="20"/>
                <w:szCs w:val="20"/>
              </w:rPr>
              <w:t>40</w:t>
            </w:r>
          </w:p>
        </w:tc>
        <w:tc>
          <w:tcPr>
            <w:tcW w:w="2989" w:type="dxa"/>
            <w:tcBorders>
              <w:top w:val="nil"/>
              <w:left w:val="nil"/>
              <w:bottom w:val="single" w:color="000000" w:sz="10" w:space="0"/>
              <w:right w:val="nil"/>
            </w:tcBorders>
            <w:tcMar>
              <w:top w:w="0" w:type="dxa"/>
              <w:left w:w="0" w:type="dxa"/>
              <w:bottom w:w="0" w:type="dxa"/>
              <w:right w:w="0" w:type="dxa"/>
            </w:tcMar>
            <w:vAlign w:val="center"/>
          </w:tcPr>
          <w:p w14:paraId="5F880E3D">
            <w:pPr>
              <w:spacing w:before="20" w:after="20"/>
              <w:jc w:val="center"/>
              <w:rPr>
                <w:rFonts w:ascii="Times New Roman" w:hAnsi="Times New Roman" w:cs="Times New Roman"/>
              </w:rPr>
            </w:pPr>
            <w:r>
              <w:rPr>
                <w:rFonts w:ascii="Times New Roman" w:hAnsi="Times New Roman" w:eastAsia="Times New Roman" w:cs="Times New Roman"/>
                <w:sz w:val="20"/>
                <w:szCs w:val="20"/>
              </w:rPr>
              <w:t>70</w:t>
            </w:r>
          </w:p>
        </w:tc>
      </w:tr>
    </w:tbl>
    <w:p w14:paraId="6539E203">
      <w:pPr>
        <w:spacing w:before="60" w:after="120"/>
        <w:jc w:val="left"/>
        <w:rPr>
          <w:rFonts w:ascii="Times New Roman" w:hAnsi="Times New Roman" w:cs="Times New Roman"/>
        </w:rPr>
      </w:pPr>
      <w:r>
        <w:rPr>
          <w:rFonts w:ascii="Times New Roman" w:hAnsi="Times New Roman" w:cs="Times New Roman"/>
          <w:sz w:val="18"/>
          <w:szCs w:val="18"/>
        </w:rPr>
        <w:t>注：头部UP主以粉丝数≥100万为界；长视频以时长≥15分钟（900秒）为界。括号内为聚类稳健t统计量。***p&lt;0.01，**p&lt;0.05，*p&lt;0.1。</w:t>
      </w:r>
    </w:p>
    <w:p w14:paraId="00859F68">
      <w:pPr>
        <w:spacing w:before="200" w:after="100"/>
        <w:outlineLvl w:val="2"/>
        <w:rPr>
          <w:rFonts w:ascii="Times New Roman" w:hAnsi="Times New Roman" w:eastAsia="黑体" w:cs="Times New Roman"/>
          <w:b/>
          <w:bCs/>
        </w:rPr>
      </w:pPr>
      <w:bookmarkStart w:id="70" w:name="_Toc237"/>
      <w:r>
        <w:rPr>
          <w:rFonts w:ascii="Times New Roman" w:hAnsi="Times New Roman" w:eastAsia="黑体" w:cs="Times New Roman"/>
          <w:b/>
          <w:bCs/>
        </w:rPr>
        <w:t>5.4.2  非线性检验效应</w:t>
      </w:r>
      <w:bookmarkEnd w:id="70"/>
    </w:p>
    <w:p w14:paraId="35330A6A">
      <w:pPr>
        <w:spacing w:line="288" w:lineRule="auto"/>
        <w:ind w:firstLine="480"/>
        <w:rPr>
          <w:rFonts w:ascii="Times New Roman" w:hAnsi="Times New Roman" w:cs="Times New Roman"/>
        </w:rPr>
      </w:pPr>
      <w:r>
        <w:rPr>
          <w:rFonts w:ascii="Times New Roman" w:hAnsi="Times New Roman" w:cs="Times New Roman"/>
        </w:rPr>
        <w:t>为检验投币激励对内容质量的影响是否存在递增或递减的非线性特征，在基准模型（M4）的基础上加入投币数对数的平方项（L2_ln_coin_sq）。如表8所示，L2_ln_coin的系数为1.272（t=2.191，p&lt;0.05），方向与基准回归一致；L2_ln_coin_sq系数为0.010（t=0.359），在统计上不显著，表明投币激励对内容质量的影响未呈现出显著的非线性规律。这一结果意味着，在本样本的观测范围内，投币激励与内容质量之间基本维持线性正向关系，投币量由低至高的激励效应未出现明显的加速或饱和衰减。从直觉上看，这与知识区创作者受众黏性较强、投币量分布相对集中的特点相符——样本内投币量的分布尚未触及可能导致边际效应非线性衰变的阈值区间。</w:t>
      </w:r>
    </w:p>
    <w:p w14:paraId="2568D14F">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t xml:space="preserve"> 非线性效应检验与交互效应检验</w:t>
      </w:r>
    </w:p>
    <w:tbl>
      <w:tblPr>
        <w:tblStyle w:val="19"/>
        <w:tblW w:w="95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50"/>
        <w:gridCol w:w="1550"/>
        <w:gridCol w:w="1550"/>
        <w:gridCol w:w="2483"/>
      </w:tblGrid>
      <w:tr w14:paraId="6577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30CCBA0B">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155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646B771">
            <w:pPr>
              <w:spacing w:before="20" w:after="20"/>
              <w:jc w:val="center"/>
              <w:rPr>
                <w:rFonts w:ascii="Times New Roman" w:hAnsi="Times New Roman" w:cs="Times New Roman"/>
              </w:rPr>
            </w:pPr>
            <w:r>
              <w:rPr>
                <w:rFonts w:ascii="Times New Roman" w:hAnsi="Times New Roman" w:eastAsia="Times New Roman" w:cs="Times New Roman"/>
                <w:b/>
                <w:bCs/>
                <w:sz w:val="20"/>
                <w:szCs w:val="20"/>
              </w:rPr>
              <w:t>M4（基准）</w:t>
            </w:r>
          </w:p>
        </w:tc>
        <w:tc>
          <w:tcPr>
            <w:tcW w:w="155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583D6A96">
            <w:pPr>
              <w:spacing w:before="20" w:after="20"/>
              <w:jc w:val="center"/>
              <w:rPr>
                <w:rFonts w:ascii="Times New Roman" w:hAnsi="Times New Roman" w:cs="Times New Roman"/>
              </w:rPr>
            </w:pPr>
            <w:r>
              <w:rPr>
                <w:rFonts w:ascii="Times New Roman" w:hAnsi="Times New Roman" w:eastAsia="Times New Roman" w:cs="Times New Roman"/>
                <w:b/>
                <w:bCs/>
                <w:sz w:val="20"/>
                <w:szCs w:val="20"/>
              </w:rPr>
              <w:t>非线性模型</w:t>
            </w:r>
          </w:p>
        </w:tc>
        <w:tc>
          <w:tcPr>
            <w:tcW w:w="155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9039178">
            <w:pPr>
              <w:spacing w:before="20" w:after="20"/>
              <w:jc w:val="center"/>
              <w:rPr>
                <w:rFonts w:ascii="Times New Roman" w:hAnsi="Times New Roman" w:cs="Times New Roman"/>
              </w:rPr>
            </w:pPr>
            <w:r>
              <w:rPr>
                <w:rFonts w:ascii="Times New Roman" w:hAnsi="Times New Roman" w:eastAsia="Times New Roman" w:cs="Times New Roman"/>
                <w:b/>
                <w:bCs/>
                <w:sz w:val="20"/>
                <w:szCs w:val="20"/>
              </w:rPr>
              <w:t>M4（基准）</w:t>
            </w:r>
          </w:p>
        </w:tc>
        <w:tc>
          <w:tcPr>
            <w:tcW w:w="2483" w:type="dxa"/>
            <w:tcBorders>
              <w:top w:val="single" w:color="000000" w:sz="10" w:space="0"/>
              <w:left w:val="nil"/>
              <w:bottom w:val="single" w:color="000000" w:sz="10" w:space="0"/>
              <w:right w:val="nil"/>
            </w:tcBorders>
            <w:tcMar>
              <w:top w:w="0" w:type="dxa"/>
              <w:left w:w="0" w:type="dxa"/>
              <w:bottom w:w="0" w:type="dxa"/>
              <w:right w:w="0" w:type="dxa"/>
            </w:tcMar>
            <w:vAlign w:val="center"/>
          </w:tcPr>
          <w:p w14:paraId="60E74B44">
            <w:pPr>
              <w:spacing w:before="20" w:after="20"/>
              <w:jc w:val="center"/>
              <w:rPr>
                <w:rFonts w:ascii="Times New Roman" w:hAnsi="Times New Roman" w:cs="Times New Roman"/>
              </w:rPr>
            </w:pPr>
            <w:r>
              <w:rPr>
                <w:rFonts w:ascii="Times New Roman" w:hAnsi="Times New Roman" w:eastAsia="Times New Roman" w:cs="Times New Roman"/>
                <w:b/>
                <w:bCs/>
                <w:sz w:val="20"/>
                <w:szCs w:val="20"/>
              </w:rPr>
              <w:t>交互效应模型</w:t>
            </w:r>
          </w:p>
        </w:tc>
      </w:tr>
      <w:tr w14:paraId="6E45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3F8522BD">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w:t>
            </w:r>
          </w:p>
        </w:tc>
        <w:tc>
          <w:tcPr>
            <w:tcW w:w="1550" w:type="dxa"/>
            <w:tcBorders>
              <w:top w:val="nil"/>
              <w:left w:val="nil"/>
              <w:bottom w:val="nil"/>
              <w:right w:val="nil"/>
            </w:tcBorders>
            <w:tcMar>
              <w:top w:w="0" w:type="dxa"/>
              <w:left w:w="0" w:type="dxa"/>
              <w:bottom w:w="0" w:type="dxa"/>
              <w:right w:w="0" w:type="dxa"/>
            </w:tcMar>
            <w:vAlign w:val="center"/>
          </w:tcPr>
          <w:p w14:paraId="7B5C5294">
            <w:pPr>
              <w:spacing w:before="20" w:after="20"/>
              <w:jc w:val="center"/>
              <w:rPr>
                <w:rFonts w:ascii="Times New Roman" w:hAnsi="Times New Roman" w:cs="Times New Roman"/>
              </w:rPr>
            </w:pPr>
            <w:r>
              <w:rPr>
                <w:rFonts w:ascii="Times New Roman" w:hAnsi="Times New Roman" w:eastAsia="Times New Roman" w:cs="Times New Roman"/>
                <w:sz w:val="20"/>
                <w:szCs w:val="20"/>
              </w:rPr>
              <w:t>1.428***</w:t>
            </w:r>
          </w:p>
        </w:tc>
        <w:tc>
          <w:tcPr>
            <w:tcW w:w="1550" w:type="dxa"/>
            <w:tcBorders>
              <w:top w:val="nil"/>
              <w:left w:val="nil"/>
              <w:bottom w:val="nil"/>
              <w:right w:val="nil"/>
            </w:tcBorders>
            <w:tcMar>
              <w:top w:w="0" w:type="dxa"/>
              <w:left w:w="0" w:type="dxa"/>
              <w:bottom w:w="0" w:type="dxa"/>
              <w:right w:w="0" w:type="dxa"/>
            </w:tcMar>
            <w:vAlign w:val="center"/>
          </w:tcPr>
          <w:p w14:paraId="3A85C8A7">
            <w:pPr>
              <w:spacing w:before="20" w:after="20"/>
              <w:jc w:val="center"/>
              <w:rPr>
                <w:rFonts w:ascii="Times New Roman" w:hAnsi="Times New Roman" w:cs="Times New Roman"/>
              </w:rPr>
            </w:pPr>
            <w:r>
              <w:rPr>
                <w:rFonts w:ascii="Times New Roman" w:hAnsi="Times New Roman" w:eastAsia="Times New Roman" w:cs="Times New Roman"/>
                <w:sz w:val="20"/>
                <w:szCs w:val="20"/>
              </w:rPr>
              <w:t>1.272**</w:t>
            </w:r>
          </w:p>
        </w:tc>
        <w:tc>
          <w:tcPr>
            <w:tcW w:w="1550" w:type="dxa"/>
            <w:tcBorders>
              <w:top w:val="nil"/>
              <w:left w:val="nil"/>
              <w:bottom w:val="nil"/>
              <w:right w:val="nil"/>
            </w:tcBorders>
            <w:tcMar>
              <w:top w:w="0" w:type="dxa"/>
              <w:left w:w="0" w:type="dxa"/>
              <w:bottom w:w="0" w:type="dxa"/>
              <w:right w:w="0" w:type="dxa"/>
            </w:tcMar>
            <w:vAlign w:val="center"/>
          </w:tcPr>
          <w:p w14:paraId="6C2F41DF">
            <w:pPr>
              <w:spacing w:before="20" w:after="20"/>
              <w:jc w:val="center"/>
              <w:rPr>
                <w:rFonts w:ascii="Times New Roman" w:hAnsi="Times New Roman" w:cs="Times New Roman"/>
              </w:rPr>
            </w:pPr>
            <w:r>
              <w:rPr>
                <w:rFonts w:ascii="Times New Roman" w:hAnsi="Times New Roman" w:eastAsia="Times New Roman" w:cs="Times New Roman"/>
                <w:sz w:val="20"/>
                <w:szCs w:val="20"/>
              </w:rPr>
              <w:t>1.428***</w:t>
            </w:r>
          </w:p>
        </w:tc>
        <w:tc>
          <w:tcPr>
            <w:tcW w:w="2483" w:type="dxa"/>
            <w:tcBorders>
              <w:top w:val="nil"/>
              <w:left w:val="nil"/>
              <w:bottom w:val="nil"/>
              <w:right w:val="nil"/>
            </w:tcBorders>
            <w:tcMar>
              <w:top w:w="0" w:type="dxa"/>
              <w:left w:w="0" w:type="dxa"/>
              <w:bottom w:w="0" w:type="dxa"/>
              <w:right w:w="0" w:type="dxa"/>
            </w:tcMar>
            <w:vAlign w:val="center"/>
          </w:tcPr>
          <w:p w14:paraId="6B8EAD35">
            <w:pPr>
              <w:spacing w:before="20" w:after="20"/>
              <w:jc w:val="center"/>
              <w:rPr>
                <w:rFonts w:ascii="Times New Roman" w:hAnsi="Times New Roman" w:cs="Times New Roman"/>
              </w:rPr>
            </w:pPr>
            <w:r>
              <w:rPr>
                <w:rFonts w:ascii="Times New Roman" w:hAnsi="Times New Roman" w:eastAsia="Times New Roman" w:cs="Times New Roman"/>
                <w:sz w:val="20"/>
                <w:szCs w:val="20"/>
              </w:rPr>
              <w:t>1.668**</w:t>
            </w:r>
          </w:p>
        </w:tc>
      </w:tr>
      <w:tr w14:paraId="76D8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62B403EB">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1F2BB49B">
            <w:pPr>
              <w:spacing w:before="20" w:after="20"/>
              <w:jc w:val="center"/>
              <w:rPr>
                <w:rFonts w:ascii="Times New Roman" w:hAnsi="Times New Roman" w:cs="Times New Roman"/>
              </w:rPr>
            </w:pPr>
            <w:r>
              <w:rPr>
                <w:rFonts w:ascii="Times New Roman" w:hAnsi="Times New Roman" w:eastAsia="Times New Roman" w:cs="Times New Roman"/>
                <w:sz w:val="20"/>
                <w:szCs w:val="20"/>
              </w:rPr>
              <w:t>(4.611)</w:t>
            </w:r>
          </w:p>
        </w:tc>
        <w:tc>
          <w:tcPr>
            <w:tcW w:w="1550" w:type="dxa"/>
            <w:tcBorders>
              <w:top w:val="nil"/>
              <w:left w:val="nil"/>
              <w:bottom w:val="nil"/>
              <w:right w:val="nil"/>
            </w:tcBorders>
            <w:tcMar>
              <w:top w:w="0" w:type="dxa"/>
              <w:left w:w="0" w:type="dxa"/>
              <w:bottom w:w="0" w:type="dxa"/>
              <w:right w:w="0" w:type="dxa"/>
            </w:tcMar>
            <w:vAlign w:val="center"/>
          </w:tcPr>
          <w:p w14:paraId="72CC5C15">
            <w:pPr>
              <w:spacing w:before="20" w:after="20"/>
              <w:jc w:val="center"/>
              <w:rPr>
                <w:rFonts w:ascii="Times New Roman" w:hAnsi="Times New Roman" w:cs="Times New Roman"/>
              </w:rPr>
            </w:pPr>
            <w:r>
              <w:rPr>
                <w:rFonts w:ascii="Times New Roman" w:hAnsi="Times New Roman" w:eastAsia="Times New Roman" w:cs="Times New Roman"/>
                <w:sz w:val="20"/>
                <w:szCs w:val="20"/>
              </w:rPr>
              <w:t>(2.191)</w:t>
            </w:r>
          </w:p>
        </w:tc>
        <w:tc>
          <w:tcPr>
            <w:tcW w:w="1550" w:type="dxa"/>
            <w:tcBorders>
              <w:top w:val="nil"/>
              <w:left w:val="nil"/>
              <w:bottom w:val="nil"/>
              <w:right w:val="nil"/>
            </w:tcBorders>
            <w:tcMar>
              <w:top w:w="0" w:type="dxa"/>
              <w:left w:w="0" w:type="dxa"/>
              <w:bottom w:w="0" w:type="dxa"/>
              <w:right w:w="0" w:type="dxa"/>
            </w:tcMar>
            <w:vAlign w:val="center"/>
          </w:tcPr>
          <w:p w14:paraId="67EB52F2">
            <w:pPr>
              <w:spacing w:before="20" w:after="20"/>
              <w:jc w:val="center"/>
              <w:rPr>
                <w:rFonts w:ascii="Times New Roman" w:hAnsi="Times New Roman" w:cs="Times New Roman"/>
              </w:rPr>
            </w:pPr>
            <w:r>
              <w:rPr>
                <w:rFonts w:ascii="Times New Roman" w:hAnsi="Times New Roman" w:eastAsia="Times New Roman" w:cs="Times New Roman"/>
                <w:sz w:val="20"/>
                <w:szCs w:val="20"/>
              </w:rPr>
              <w:t>(4.611)</w:t>
            </w:r>
          </w:p>
        </w:tc>
        <w:tc>
          <w:tcPr>
            <w:tcW w:w="2483" w:type="dxa"/>
            <w:tcBorders>
              <w:top w:val="nil"/>
              <w:left w:val="nil"/>
              <w:bottom w:val="nil"/>
              <w:right w:val="nil"/>
            </w:tcBorders>
            <w:tcMar>
              <w:top w:w="0" w:type="dxa"/>
              <w:left w:w="0" w:type="dxa"/>
              <w:bottom w:w="0" w:type="dxa"/>
              <w:right w:w="0" w:type="dxa"/>
            </w:tcMar>
            <w:vAlign w:val="center"/>
          </w:tcPr>
          <w:p w14:paraId="71910CAE">
            <w:pPr>
              <w:spacing w:before="20" w:after="20"/>
              <w:jc w:val="center"/>
              <w:rPr>
                <w:rFonts w:ascii="Times New Roman" w:hAnsi="Times New Roman" w:cs="Times New Roman"/>
              </w:rPr>
            </w:pPr>
            <w:r>
              <w:rPr>
                <w:rFonts w:ascii="Times New Roman" w:hAnsi="Times New Roman" w:eastAsia="Times New Roman" w:cs="Times New Roman"/>
                <w:sz w:val="20"/>
                <w:szCs w:val="20"/>
              </w:rPr>
              <w:t>(2.638)</w:t>
            </w:r>
          </w:p>
        </w:tc>
      </w:tr>
      <w:tr w14:paraId="57B4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3C7CF366">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L2_ln_coin_sq</w:t>
            </w:r>
          </w:p>
        </w:tc>
        <w:tc>
          <w:tcPr>
            <w:tcW w:w="1550" w:type="dxa"/>
            <w:tcBorders>
              <w:top w:val="nil"/>
              <w:left w:val="nil"/>
              <w:bottom w:val="nil"/>
              <w:right w:val="nil"/>
            </w:tcBorders>
            <w:tcMar>
              <w:top w:w="0" w:type="dxa"/>
              <w:left w:w="0" w:type="dxa"/>
              <w:bottom w:w="0" w:type="dxa"/>
              <w:right w:w="0" w:type="dxa"/>
            </w:tcMar>
            <w:vAlign w:val="center"/>
          </w:tcPr>
          <w:p w14:paraId="2E945BD7">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1AAC8C11">
            <w:pPr>
              <w:spacing w:before="20" w:after="20"/>
              <w:jc w:val="center"/>
              <w:rPr>
                <w:rFonts w:ascii="Times New Roman" w:hAnsi="Times New Roman" w:cs="Times New Roman"/>
              </w:rPr>
            </w:pPr>
            <w:r>
              <w:rPr>
                <w:rFonts w:ascii="Times New Roman" w:hAnsi="Times New Roman" w:eastAsia="Times New Roman" w:cs="Times New Roman"/>
                <w:sz w:val="20"/>
                <w:szCs w:val="20"/>
              </w:rPr>
              <w:t>0.010</w:t>
            </w:r>
          </w:p>
        </w:tc>
        <w:tc>
          <w:tcPr>
            <w:tcW w:w="1550" w:type="dxa"/>
            <w:tcBorders>
              <w:top w:val="nil"/>
              <w:left w:val="nil"/>
              <w:bottom w:val="nil"/>
              <w:right w:val="nil"/>
            </w:tcBorders>
            <w:tcMar>
              <w:top w:w="0" w:type="dxa"/>
              <w:left w:w="0" w:type="dxa"/>
              <w:bottom w:w="0" w:type="dxa"/>
              <w:right w:w="0" w:type="dxa"/>
            </w:tcMar>
            <w:vAlign w:val="center"/>
          </w:tcPr>
          <w:p w14:paraId="30F6458B">
            <w:pPr>
              <w:spacing w:before="20" w:after="20"/>
              <w:jc w:val="center"/>
              <w:rPr>
                <w:rFonts w:ascii="Times New Roman" w:hAnsi="Times New Roman" w:cs="Times New Roman"/>
              </w:rPr>
            </w:pPr>
          </w:p>
        </w:tc>
        <w:tc>
          <w:tcPr>
            <w:tcW w:w="2483" w:type="dxa"/>
            <w:tcBorders>
              <w:top w:val="nil"/>
              <w:left w:val="nil"/>
              <w:bottom w:val="nil"/>
              <w:right w:val="nil"/>
            </w:tcBorders>
            <w:tcMar>
              <w:top w:w="0" w:type="dxa"/>
              <w:left w:w="0" w:type="dxa"/>
              <w:bottom w:w="0" w:type="dxa"/>
              <w:right w:w="0" w:type="dxa"/>
            </w:tcMar>
            <w:vAlign w:val="center"/>
          </w:tcPr>
          <w:p w14:paraId="76EFEC87">
            <w:pPr>
              <w:spacing w:before="20" w:after="20"/>
              <w:jc w:val="center"/>
              <w:rPr>
                <w:rFonts w:ascii="Times New Roman" w:hAnsi="Times New Roman" w:cs="Times New Roman"/>
              </w:rPr>
            </w:pPr>
          </w:p>
        </w:tc>
      </w:tr>
      <w:tr w14:paraId="22E1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6E0F9B9C">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38B45DCE">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5A44BC5C">
            <w:pPr>
              <w:spacing w:before="20" w:after="20"/>
              <w:jc w:val="center"/>
              <w:rPr>
                <w:rFonts w:ascii="Times New Roman" w:hAnsi="Times New Roman" w:cs="Times New Roman"/>
              </w:rPr>
            </w:pPr>
            <w:r>
              <w:rPr>
                <w:rFonts w:ascii="Times New Roman" w:hAnsi="Times New Roman" w:eastAsia="Times New Roman" w:cs="Times New Roman"/>
                <w:sz w:val="20"/>
                <w:szCs w:val="20"/>
              </w:rPr>
              <w:t>(0.359)</w:t>
            </w:r>
          </w:p>
        </w:tc>
        <w:tc>
          <w:tcPr>
            <w:tcW w:w="1550" w:type="dxa"/>
            <w:tcBorders>
              <w:top w:val="nil"/>
              <w:left w:val="nil"/>
              <w:bottom w:val="nil"/>
              <w:right w:val="nil"/>
            </w:tcBorders>
            <w:tcMar>
              <w:top w:w="0" w:type="dxa"/>
              <w:left w:w="0" w:type="dxa"/>
              <w:bottom w:w="0" w:type="dxa"/>
              <w:right w:w="0" w:type="dxa"/>
            </w:tcMar>
            <w:vAlign w:val="center"/>
          </w:tcPr>
          <w:p w14:paraId="5CE7B1AC">
            <w:pPr>
              <w:spacing w:before="20" w:after="20"/>
              <w:jc w:val="center"/>
              <w:rPr>
                <w:rFonts w:ascii="Times New Roman" w:hAnsi="Times New Roman" w:cs="Times New Roman"/>
              </w:rPr>
            </w:pPr>
          </w:p>
        </w:tc>
        <w:tc>
          <w:tcPr>
            <w:tcW w:w="2483" w:type="dxa"/>
            <w:tcBorders>
              <w:top w:val="nil"/>
              <w:left w:val="nil"/>
              <w:bottom w:val="nil"/>
              <w:right w:val="nil"/>
            </w:tcBorders>
            <w:tcMar>
              <w:top w:w="0" w:type="dxa"/>
              <w:left w:w="0" w:type="dxa"/>
              <w:bottom w:w="0" w:type="dxa"/>
              <w:right w:w="0" w:type="dxa"/>
            </w:tcMar>
            <w:vAlign w:val="center"/>
          </w:tcPr>
          <w:p w14:paraId="47E42014">
            <w:pPr>
              <w:spacing w:before="20" w:after="20"/>
              <w:jc w:val="center"/>
              <w:rPr>
                <w:rFonts w:ascii="Times New Roman" w:hAnsi="Times New Roman" w:cs="Times New Roman"/>
              </w:rPr>
            </w:pPr>
          </w:p>
        </w:tc>
      </w:tr>
      <w:tr w14:paraId="430A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5CFCF940">
            <w:pPr>
              <w:spacing w:before="20" w:after="20"/>
              <w:jc w:val="center"/>
              <w:rPr>
                <w:rFonts w:ascii="Times New Roman" w:hAnsi="Times New Roman" w:cs="Times New Roman"/>
              </w:rPr>
            </w:pPr>
            <w:r>
              <w:rPr>
                <w:rFonts w:ascii="Times New Roman" w:hAnsi="Times New Roman" w:eastAsia="Times New Roman" w:cs="Times New Roman"/>
                <w:sz w:val="20"/>
                <w:szCs w:val="20"/>
              </w:rPr>
              <w:t>coin_like_inter（投币×点赞）</w:t>
            </w:r>
          </w:p>
        </w:tc>
        <w:tc>
          <w:tcPr>
            <w:tcW w:w="1550" w:type="dxa"/>
            <w:tcBorders>
              <w:top w:val="nil"/>
              <w:left w:val="nil"/>
              <w:bottom w:val="nil"/>
              <w:right w:val="nil"/>
            </w:tcBorders>
            <w:tcMar>
              <w:top w:w="0" w:type="dxa"/>
              <w:left w:w="0" w:type="dxa"/>
              <w:bottom w:w="0" w:type="dxa"/>
              <w:right w:w="0" w:type="dxa"/>
            </w:tcMar>
            <w:vAlign w:val="center"/>
          </w:tcPr>
          <w:p w14:paraId="7C774169">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5BED9ADE">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7C1BBF53">
            <w:pPr>
              <w:spacing w:before="20" w:after="20"/>
              <w:jc w:val="center"/>
              <w:rPr>
                <w:rFonts w:ascii="Times New Roman" w:hAnsi="Times New Roman" w:cs="Times New Roman"/>
              </w:rPr>
            </w:pPr>
          </w:p>
        </w:tc>
        <w:tc>
          <w:tcPr>
            <w:tcW w:w="2483" w:type="dxa"/>
            <w:tcBorders>
              <w:top w:val="nil"/>
              <w:left w:val="nil"/>
              <w:bottom w:val="nil"/>
              <w:right w:val="nil"/>
            </w:tcBorders>
            <w:tcMar>
              <w:top w:w="0" w:type="dxa"/>
              <w:left w:w="0" w:type="dxa"/>
              <w:bottom w:w="0" w:type="dxa"/>
              <w:right w:w="0" w:type="dxa"/>
            </w:tcMar>
            <w:vAlign w:val="center"/>
          </w:tcPr>
          <w:p w14:paraId="37E52D88">
            <w:pPr>
              <w:spacing w:before="20" w:after="20"/>
              <w:jc w:val="center"/>
              <w:rPr>
                <w:rFonts w:ascii="Times New Roman" w:hAnsi="Times New Roman" w:cs="Times New Roman"/>
              </w:rPr>
            </w:pPr>
            <w:r>
              <w:rPr>
                <w:rFonts w:ascii="Times New Roman" w:hAnsi="Times New Roman" w:eastAsia="Times New Roman" w:cs="Times New Roman"/>
                <w:sz w:val="20"/>
                <w:szCs w:val="20"/>
              </w:rPr>
              <w:t>-0.022</w:t>
            </w:r>
          </w:p>
        </w:tc>
      </w:tr>
      <w:tr w14:paraId="5ABE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7583B8EA">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6E7A8CA5">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48CD1F00">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4EE089D7">
            <w:pPr>
              <w:spacing w:before="20" w:after="20"/>
              <w:jc w:val="center"/>
              <w:rPr>
                <w:rFonts w:ascii="Times New Roman" w:hAnsi="Times New Roman" w:cs="Times New Roman"/>
              </w:rPr>
            </w:pPr>
          </w:p>
        </w:tc>
        <w:tc>
          <w:tcPr>
            <w:tcW w:w="2483" w:type="dxa"/>
            <w:tcBorders>
              <w:top w:val="nil"/>
              <w:left w:val="nil"/>
              <w:bottom w:val="nil"/>
              <w:right w:val="nil"/>
            </w:tcBorders>
            <w:tcMar>
              <w:top w:w="0" w:type="dxa"/>
              <w:left w:w="0" w:type="dxa"/>
              <w:bottom w:w="0" w:type="dxa"/>
              <w:right w:w="0" w:type="dxa"/>
            </w:tcMar>
            <w:vAlign w:val="center"/>
          </w:tcPr>
          <w:p w14:paraId="6FA38A82">
            <w:pPr>
              <w:spacing w:before="20" w:after="20"/>
              <w:jc w:val="center"/>
              <w:rPr>
                <w:rFonts w:ascii="Times New Roman" w:hAnsi="Times New Roman" w:cs="Times New Roman"/>
              </w:rPr>
            </w:pPr>
            <w:r>
              <w:rPr>
                <w:rFonts w:ascii="Times New Roman" w:hAnsi="Times New Roman" w:eastAsia="Times New Roman" w:cs="Times New Roman"/>
                <w:sz w:val="20"/>
                <w:szCs w:val="20"/>
              </w:rPr>
              <w:t>(-0.533)</w:t>
            </w:r>
          </w:p>
        </w:tc>
      </w:tr>
      <w:tr w14:paraId="32EB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1052BEFD">
            <w:pPr>
              <w:spacing w:before="20" w:after="20"/>
              <w:jc w:val="center"/>
              <w:rPr>
                <w:rFonts w:ascii="Times New Roman" w:hAnsi="Times New Roman" w:cs="Times New Roman"/>
              </w:rPr>
            </w:pPr>
            <w:r>
              <w:rPr>
                <w:rFonts w:ascii="Times New Roman" w:hAnsi="Times New Roman" w:eastAsia="Times New Roman" w:cs="Times New Roman"/>
                <w:sz w:val="20"/>
                <w:szCs w:val="20"/>
              </w:rPr>
              <w:t>L2_ln_like</w:t>
            </w:r>
          </w:p>
        </w:tc>
        <w:tc>
          <w:tcPr>
            <w:tcW w:w="1550" w:type="dxa"/>
            <w:tcBorders>
              <w:top w:val="nil"/>
              <w:left w:val="nil"/>
              <w:bottom w:val="nil"/>
              <w:right w:val="nil"/>
            </w:tcBorders>
            <w:tcMar>
              <w:top w:w="0" w:type="dxa"/>
              <w:left w:w="0" w:type="dxa"/>
              <w:bottom w:w="0" w:type="dxa"/>
              <w:right w:w="0" w:type="dxa"/>
            </w:tcMar>
            <w:vAlign w:val="center"/>
          </w:tcPr>
          <w:p w14:paraId="07D6681F">
            <w:pPr>
              <w:spacing w:before="20" w:after="20"/>
              <w:jc w:val="center"/>
              <w:rPr>
                <w:rFonts w:ascii="Times New Roman" w:hAnsi="Times New Roman" w:cs="Times New Roman"/>
              </w:rPr>
            </w:pPr>
            <w:r>
              <w:rPr>
                <w:rFonts w:ascii="Times New Roman" w:hAnsi="Times New Roman" w:eastAsia="Times New Roman" w:cs="Times New Roman"/>
                <w:sz w:val="20"/>
                <w:szCs w:val="20"/>
              </w:rPr>
              <w:t>0.640</w:t>
            </w:r>
          </w:p>
        </w:tc>
        <w:tc>
          <w:tcPr>
            <w:tcW w:w="1550" w:type="dxa"/>
            <w:tcBorders>
              <w:top w:val="nil"/>
              <w:left w:val="nil"/>
              <w:bottom w:val="nil"/>
              <w:right w:val="nil"/>
            </w:tcBorders>
            <w:tcMar>
              <w:top w:w="0" w:type="dxa"/>
              <w:left w:w="0" w:type="dxa"/>
              <w:bottom w:w="0" w:type="dxa"/>
              <w:right w:w="0" w:type="dxa"/>
            </w:tcMar>
            <w:vAlign w:val="center"/>
          </w:tcPr>
          <w:p w14:paraId="00E53384">
            <w:pPr>
              <w:spacing w:before="20" w:after="20"/>
              <w:jc w:val="center"/>
              <w:rPr>
                <w:rFonts w:ascii="Times New Roman" w:hAnsi="Times New Roman" w:cs="Times New Roman"/>
              </w:rPr>
            </w:pPr>
            <w:r>
              <w:rPr>
                <w:rFonts w:ascii="Times New Roman" w:hAnsi="Times New Roman" w:eastAsia="Times New Roman" w:cs="Times New Roman"/>
                <w:sz w:val="20"/>
                <w:szCs w:val="20"/>
              </w:rPr>
              <w:t>0.667</w:t>
            </w:r>
          </w:p>
        </w:tc>
        <w:tc>
          <w:tcPr>
            <w:tcW w:w="1550" w:type="dxa"/>
            <w:tcBorders>
              <w:top w:val="nil"/>
              <w:left w:val="nil"/>
              <w:bottom w:val="nil"/>
              <w:right w:val="nil"/>
            </w:tcBorders>
            <w:tcMar>
              <w:top w:w="0" w:type="dxa"/>
              <w:left w:w="0" w:type="dxa"/>
              <w:bottom w:w="0" w:type="dxa"/>
              <w:right w:w="0" w:type="dxa"/>
            </w:tcMar>
            <w:vAlign w:val="center"/>
          </w:tcPr>
          <w:p w14:paraId="3AAE138C">
            <w:pPr>
              <w:spacing w:before="20" w:after="20"/>
              <w:jc w:val="center"/>
              <w:rPr>
                <w:rFonts w:ascii="Times New Roman" w:hAnsi="Times New Roman" w:cs="Times New Roman"/>
              </w:rPr>
            </w:pPr>
            <w:r>
              <w:rPr>
                <w:rFonts w:ascii="Times New Roman" w:hAnsi="Times New Roman" w:eastAsia="Times New Roman" w:cs="Times New Roman"/>
                <w:sz w:val="20"/>
                <w:szCs w:val="20"/>
              </w:rPr>
              <w:t>0.640</w:t>
            </w:r>
          </w:p>
        </w:tc>
        <w:tc>
          <w:tcPr>
            <w:tcW w:w="2483" w:type="dxa"/>
            <w:tcBorders>
              <w:top w:val="nil"/>
              <w:left w:val="nil"/>
              <w:bottom w:val="nil"/>
              <w:right w:val="nil"/>
            </w:tcBorders>
            <w:tcMar>
              <w:top w:w="0" w:type="dxa"/>
              <w:left w:w="0" w:type="dxa"/>
              <w:bottom w:w="0" w:type="dxa"/>
              <w:right w:w="0" w:type="dxa"/>
            </w:tcMar>
            <w:vAlign w:val="center"/>
          </w:tcPr>
          <w:p w14:paraId="3C0D04E5">
            <w:pPr>
              <w:spacing w:before="20" w:after="20"/>
              <w:jc w:val="center"/>
              <w:rPr>
                <w:rFonts w:ascii="Times New Roman" w:hAnsi="Times New Roman" w:cs="Times New Roman"/>
              </w:rPr>
            </w:pPr>
            <w:r>
              <w:rPr>
                <w:rFonts w:ascii="Times New Roman" w:hAnsi="Times New Roman" w:eastAsia="Times New Roman" w:cs="Times New Roman"/>
                <w:sz w:val="20"/>
                <w:szCs w:val="20"/>
              </w:rPr>
              <w:t>0.719</w:t>
            </w:r>
          </w:p>
        </w:tc>
      </w:tr>
      <w:tr w14:paraId="029B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03F965CB">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173F13C6">
            <w:pPr>
              <w:spacing w:before="20" w:after="20"/>
              <w:jc w:val="center"/>
              <w:rPr>
                <w:rFonts w:ascii="Times New Roman" w:hAnsi="Times New Roman" w:cs="Times New Roman"/>
              </w:rPr>
            </w:pPr>
            <w:r>
              <w:rPr>
                <w:rFonts w:ascii="Times New Roman" w:hAnsi="Times New Roman" w:eastAsia="Times New Roman" w:cs="Times New Roman"/>
                <w:sz w:val="20"/>
                <w:szCs w:val="20"/>
              </w:rPr>
              <w:t>(1.501)</w:t>
            </w:r>
          </w:p>
        </w:tc>
        <w:tc>
          <w:tcPr>
            <w:tcW w:w="1550" w:type="dxa"/>
            <w:tcBorders>
              <w:top w:val="nil"/>
              <w:left w:val="nil"/>
              <w:bottom w:val="nil"/>
              <w:right w:val="nil"/>
            </w:tcBorders>
            <w:tcMar>
              <w:top w:w="0" w:type="dxa"/>
              <w:left w:w="0" w:type="dxa"/>
              <w:bottom w:w="0" w:type="dxa"/>
              <w:right w:w="0" w:type="dxa"/>
            </w:tcMar>
            <w:vAlign w:val="center"/>
          </w:tcPr>
          <w:p w14:paraId="5447C6D8">
            <w:pPr>
              <w:spacing w:before="20" w:after="20"/>
              <w:jc w:val="center"/>
              <w:rPr>
                <w:rFonts w:ascii="Times New Roman" w:hAnsi="Times New Roman" w:cs="Times New Roman"/>
              </w:rPr>
            </w:pPr>
            <w:r>
              <w:rPr>
                <w:rFonts w:ascii="Times New Roman" w:hAnsi="Times New Roman" w:eastAsia="Times New Roman" w:cs="Times New Roman"/>
                <w:sz w:val="20"/>
                <w:szCs w:val="20"/>
              </w:rPr>
              <w:t>(1.623)</w:t>
            </w:r>
          </w:p>
        </w:tc>
        <w:tc>
          <w:tcPr>
            <w:tcW w:w="1550" w:type="dxa"/>
            <w:tcBorders>
              <w:top w:val="nil"/>
              <w:left w:val="nil"/>
              <w:bottom w:val="nil"/>
              <w:right w:val="nil"/>
            </w:tcBorders>
            <w:tcMar>
              <w:top w:w="0" w:type="dxa"/>
              <w:left w:w="0" w:type="dxa"/>
              <w:bottom w:w="0" w:type="dxa"/>
              <w:right w:w="0" w:type="dxa"/>
            </w:tcMar>
            <w:vAlign w:val="center"/>
          </w:tcPr>
          <w:p w14:paraId="34321A18">
            <w:pPr>
              <w:spacing w:before="20" w:after="20"/>
              <w:jc w:val="center"/>
              <w:rPr>
                <w:rFonts w:ascii="Times New Roman" w:hAnsi="Times New Roman" w:cs="Times New Roman"/>
              </w:rPr>
            </w:pPr>
            <w:r>
              <w:rPr>
                <w:rFonts w:ascii="Times New Roman" w:hAnsi="Times New Roman" w:eastAsia="Times New Roman" w:cs="Times New Roman"/>
                <w:sz w:val="20"/>
                <w:szCs w:val="20"/>
              </w:rPr>
              <w:t>(1.501)</w:t>
            </w:r>
          </w:p>
        </w:tc>
        <w:tc>
          <w:tcPr>
            <w:tcW w:w="2483" w:type="dxa"/>
            <w:tcBorders>
              <w:top w:val="nil"/>
              <w:left w:val="nil"/>
              <w:bottom w:val="nil"/>
              <w:right w:val="nil"/>
            </w:tcBorders>
            <w:tcMar>
              <w:top w:w="0" w:type="dxa"/>
              <w:left w:w="0" w:type="dxa"/>
              <w:bottom w:w="0" w:type="dxa"/>
              <w:right w:w="0" w:type="dxa"/>
            </w:tcMar>
            <w:vAlign w:val="center"/>
          </w:tcPr>
          <w:p w14:paraId="35B62018">
            <w:pPr>
              <w:spacing w:before="20" w:after="20"/>
              <w:jc w:val="center"/>
              <w:rPr>
                <w:rFonts w:ascii="Times New Roman" w:hAnsi="Times New Roman" w:cs="Times New Roman"/>
              </w:rPr>
            </w:pPr>
            <w:r>
              <w:rPr>
                <w:rFonts w:ascii="Times New Roman" w:hAnsi="Times New Roman" w:eastAsia="Times New Roman" w:cs="Times New Roman"/>
                <w:sz w:val="20"/>
                <w:szCs w:val="20"/>
              </w:rPr>
              <w:t>(1.421)</w:t>
            </w:r>
          </w:p>
        </w:tc>
      </w:tr>
      <w:tr w14:paraId="073D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24C98605">
            <w:pPr>
              <w:spacing w:before="20" w:after="20"/>
              <w:jc w:val="center"/>
              <w:rPr>
                <w:rFonts w:ascii="Times New Roman" w:hAnsi="Times New Roman" w:cs="Times New Roman"/>
              </w:rPr>
            </w:pPr>
            <w:r>
              <w:rPr>
                <w:rFonts w:ascii="Times New Roman" w:hAnsi="Times New Roman" w:eastAsia="Times New Roman" w:cs="Times New Roman"/>
                <w:sz w:val="20"/>
                <w:szCs w:val="20"/>
              </w:rPr>
              <w:t>L2_ln_fav</w:t>
            </w:r>
          </w:p>
        </w:tc>
        <w:tc>
          <w:tcPr>
            <w:tcW w:w="1550" w:type="dxa"/>
            <w:tcBorders>
              <w:top w:val="nil"/>
              <w:left w:val="nil"/>
              <w:bottom w:val="nil"/>
              <w:right w:val="nil"/>
            </w:tcBorders>
            <w:tcMar>
              <w:top w:w="0" w:type="dxa"/>
              <w:left w:w="0" w:type="dxa"/>
              <w:bottom w:w="0" w:type="dxa"/>
              <w:right w:w="0" w:type="dxa"/>
            </w:tcMar>
            <w:vAlign w:val="center"/>
          </w:tcPr>
          <w:p w14:paraId="25BC1B48">
            <w:pPr>
              <w:spacing w:before="20" w:after="20"/>
              <w:jc w:val="center"/>
              <w:rPr>
                <w:rFonts w:ascii="Times New Roman" w:hAnsi="Times New Roman" w:cs="Times New Roman"/>
              </w:rPr>
            </w:pPr>
            <w:r>
              <w:rPr>
                <w:rFonts w:ascii="Times New Roman" w:hAnsi="Times New Roman" w:eastAsia="Times New Roman" w:cs="Times New Roman"/>
                <w:sz w:val="20"/>
                <w:szCs w:val="20"/>
              </w:rPr>
              <w:t>-1.422***</w:t>
            </w:r>
          </w:p>
        </w:tc>
        <w:tc>
          <w:tcPr>
            <w:tcW w:w="1550" w:type="dxa"/>
            <w:tcBorders>
              <w:top w:val="nil"/>
              <w:left w:val="nil"/>
              <w:bottom w:val="nil"/>
              <w:right w:val="nil"/>
            </w:tcBorders>
            <w:tcMar>
              <w:top w:w="0" w:type="dxa"/>
              <w:left w:w="0" w:type="dxa"/>
              <w:bottom w:w="0" w:type="dxa"/>
              <w:right w:w="0" w:type="dxa"/>
            </w:tcMar>
            <w:vAlign w:val="center"/>
          </w:tcPr>
          <w:p w14:paraId="3921AE1A">
            <w:pPr>
              <w:spacing w:before="20" w:after="20"/>
              <w:jc w:val="center"/>
              <w:rPr>
                <w:rFonts w:ascii="Times New Roman" w:hAnsi="Times New Roman" w:cs="Times New Roman"/>
              </w:rPr>
            </w:pPr>
            <w:r>
              <w:rPr>
                <w:rFonts w:ascii="Times New Roman" w:hAnsi="Times New Roman" w:eastAsia="Times New Roman" w:cs="Times New Roman"/>
                <w:sz w:val="20"/>
                <w:szCs w:val="20"/>
              </w:rPr>
              <w:t>-1.416***</w:t>
            </w:r>
          </w:p>
        </w:tc>
        <w:tc>
          <w:tcPr>
            <w:tcW w:w="1550" w:type="dxa"/>
            <w:tcBorders>
              <w:top w:val="nil"/>
              <w:left w:val="nil"/>
              <w:bottom w:val="nil"/>
              <w:right w:val="nil"/>
            </w:tcBorders>
            <w:tcMar>
              <w:top w:w="0" w:type="dxa"/>
              <w:left w:w="0" w:type="dxa"/>
              <w:bottom w:w="0" w:type="dxa"/>
              <w:right w:w="0" w:type="dxa"/>
            </w:tcMar>
            <w:vAlign w:val="center"/>
          </w:tcPr>
          <w:p w14:paraId="2598570F">
            <w:pPr>
              <w:spacing w:before="20" w:after="20"/>
              <w:jc w:val="center"/>
              <w:rPr>
                <w:rFonts w:ascii="Times New Roman" w:hAnsi="Times New Roman" w:cs="Times New Roman"/>
              </w:rPr>
            </w:pPr>
            <w:r>
              <w:rPr>
                <w:rFonts w:ascii="Times New Roman" w:hAnsi="Times New Roman" w:eastAsia="Times New Roman" w:cs="Times New Roman"/>
                <w:sz w:val="20"/>
                <w:szCs w:val="20"/>
              </w:rPr>
              <w:t>-1.422***</w:t>
            </w:r>
          </w:p>
        </w:tc>
        <w:tc>
          <w:tcPr>
            <w:tcW w:w="2483" w:type="dxa"/>
            <w:tcBorders>
              <w:top w:val="nil"/>
              <w:left w:val="nil"/>
              <w:bottom w:val="nil"/>
              <w:right w:val="nil"/>
            </w:tcBorders>
            <w:tcMar>
              <w:top w:w="0" w:type="dxa"/>
              <w:left w:w="0" w:type="dxa"/>
              <w:bottom w:w="0" w:type="dxa"/>
              <w:right w:w="0" w:type="dxa"/>
            </w:tcMar>
            <w:vAlign w:val="center"/>
          </w:tcPr>
          <w:p w14:paraId="27ECCD04">
            <w:pPr>
              <w:spacing w:before="20" w:after="20"/>
              <w:jc w:val="center"/>
              <w:rPr>
                <w:rFonts w:ascii="Times New Roman" w:hAnsi="Times New Roman" w:cs="Times New Roman"/>
              </w:rPr>
            </w:pPr>
            <w:r>
              <w:rPr>
                <w:rFonts w:ascii="Times New Roman" w:hAnsi="Times New Roman" w:eastAsia="Times New Roman" w:cs="Times New Roman"/>
                <w:sz w:val="20"/>
                <w:szCs w:val="20"/>
              </w:rPr>
              <w:t>-1.429***</w:t>
            </w:r>
          </w:p>
        </w:tc>
      </w:tr>
      <w:tr w14:paraId="579B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1B238C53">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0205746A">
            <w:pPr>
              <w:spacing w:before="20" w:after="20"/>
              <w:jc w:val="center"/>
              <w:rPr>
                <w:rFonts w:ascii="Times New Roman" w:hAnsi="Times New Roman" w:cs="Times New Roman"/>
              </w:rPr>
            </w:pPr>
            <w:r>
              <w:rPr>
                <w:rFonts w:ascii="Times New Roman" w:hAnsi="Times New Roman" w:eastAsia="Times New Roman" w:cs="Times New Roman"/>
                <w:sz w:val="20"/>
                <w:szCs w:val="20"/>
              </w:rPr>
              <w:t>(-2.928)</w:t>
            </w:r>
          </w:p>
        </w:tc>
        <w:tc>
          <w:tcPr>
            <w:tcW w:w="1550" w:type="dxa"/>
            <w:tcBorders>
              <w:top w:val="nil"/>
              <w:left w:val="nil"/>
              <w:bottom w:val="nil"/>
              <w:right w:val="nil"/>
            </w:tcBorders>
            <w:tcMar>
              <w:top w:w="0" w:type="dxa"/>
              <w:left w:w="0" w:type="dxa"/>
              <w:bottom w:w="0" w:type="dxa"/>
              <w:right w:w="0" w:type="dxa"/>
            </w:tcMar>
            <w:vAlign w:val="center"/>
          </w:tcPr>
          <w:p w14:paraId="1DA0CC64">
            <w:pPr>
              <w:spacing w:before="20" w:after="20"/>
              <w:jc w:val="center"/>
              <w:rPr>
                <w:rFonts w:ascii="Times New Roman" w:hAnsi="Times New Roman" w:cs="Times New Roman"/>
              </w:rPr>
            </w:pPr>
            <w:r>
              <w:rPr>
                <w:rFonts w:ascii="Times New Roman" w:hAnsi="Times New Roman" w:eastAsia="Times New Roman" w:cs="Times New Roman"/>
                <w:sz w:val="20"/>
                <w:szCs w:val="20"/>
              </w:rPr>
              <w:t>(-2.888)</w:t>
            </w:r>
          </w:p>
        </w:tc>
        <w:tc>
          <w:tcPr>
            <w:tcW w:w="1550" w:type="dxa"/>
            <w:tcBorders>
              <w:top w:val="nil"/>
              <w:left w:val="nil"/>
              <w:bottom w:val="nil"/>
              <w:right w:val="nil"/>
            </w:tcBorders>
            <w:tcMar>
              <w:top w:w="0" w:type="dxa"/>
              <w:left w:w="0" w:type="dxa"/>
              <w:bottom w:w="0" w:type="dxa"/>
              <w:right w:w="0" w:type="dxa"/>
            </w:tcMar>
            <w:vAlign w:val="center"/>
          </w:tcPr>
          <w:p w14:paraId="471A21ED">
            <w:pPr>
              <w:spacing w:before="20" w:after="20"/>
              <w:jc w:val="center"/>
              <w:rPr>
                <w:rFonts w:ascii="Times New Roman" w:hAnsi="Times New Roman" w:cs="Times New Roman"/>
              </w:rPr>
            </w:pPr>
            <w:r>
              <w:rPr>
                <w:rFonts w:ascii="Times New Roman" w:hAnsi="Times New Roman" w:eastAsia="Times New Roman" w:cs="Times New Roman"/>
                <w:sz w:val="20"/>
                <w:szCs w:val="20"/>
              </w:rPr>
              <w:t>(-2.928)</w:t>
            </w:r>
          </w:p>
        </w:tc>
        <w:tc>
          <w:tcPr>
            <w:tcW w:w="2483" w:type="dxa"/>
            <w:tcBorders>
              <w:top w:val="nil"/>
              <w:left w:val="nil"/>
              <w:bottom w:val="nil"/>
              <w:right w:val="nil"/>
            </w:tcBorders>
            <w:tcMar>
              <w:top w:w="0" w:type="dxa"/>
              <w:left w:w="0" w:type="dxa"/>
              <w:bottom w:w="0" w:type="dxa"/>
              <w:right w:w="0" w:type="dxa"/>
            </w:tcMar>
            <w:vAlign w:val="center"/>
          </w:tcPr>
          <w:p w14:paraId="34D49D30">
            <w:pPr>
              <w:spacing w:before="20" w:after="20"/>
              <w:jc w:val="center"/>
              <w:rPr>
                <w:rFonts w:ascii="Times New Roman" w:hAnsi="Times New Roman" w:cs="Times New Roman"/>
              </w:rPr>
            </w:pPr>
            <w:r>
              <w:rPr>
                <w:rFonts w:ascii="Times New Roman" w:hAnsi="Times New Roman" w:eastAsia="Times New Roman" w:cs="Times New Roman"/>
                <w:sz w:val="20"/>
                <w:szCs w:val="20"/>
              </w:rPr>
              <w:t>(-2.914)</w:t>
            </w:r>
          </w:p>
        </w:tc>
      </w:tr>
      <w:tr w14:paraId="3E36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65686B17">
            <w:pPr>
              <w:spacing w:before="20" w:after="20"/>
              <w:jc w:val="center"/>
              <w:rPr>
                <w:rFonts w:ascii="Times New Roman" w:hAnsi="Times New Roman" w:cs="Times New Roman"/>
              </w:rPr>
            </w:pPr>
            <w:r>
              <w:rPr>
                <w:rFonts w:ascii="Times New Roman" w:hAnsi="Times New Roman" w:eastAsia="Times New Roman" w:cs="Times New Roman"/>
                <w:sz w:val="20"/>
                <w:szCs w:val="20"/>
              </w:rPr>
              <w:t>ln_duration</w:t>
            </w:r>
          </w:p>
        </w:tc>
        <w:tc>
          <w:tcPr>
            <w:tcW w:w="1550" w:type="dxa"/>
            <w:tcBorders>
              <w:top w:val="nil"/>
              <w:left w:val="nil"/>
              <w:bottom w:val="nil"/>
              <w:right w:val="nil"/>
            </w:tcBorders>
            <w:tcMar>
              <w:top w:w="0" w:type="dxa"/>
              <w:left w:w="0" w:type="dxa"/>
              <w:bottom w:w="0" w:type="dxa"/>
              <w:right w:w="0" w:type="dxa"/>
            </w:tcMar>
            <w:vAlign w:val="center"/>
          </w:tcPr>
          <w:p w14:paraId="41223800">
            <w:pPr>
              <w:spacing w:before="20" w:after="20"/>
              <w:jc w:val="center"/>
              <w:rPr>
                <w:rFonts w:ascii="Times New Roman" w:hAnsi="Times New Roman" w:cs="Times New Roman"/>
              </w:rPr>
            </w:pPr>
            <w:r>
              <w:rPr>
                <w:rFonts w:ascii="Times New Roman" w:hAnsi="Times New Roman" w:eastAsia="Times New Roman" w:cs="Times New Roman"/>
                <w:sz w:val="20"/>
                <w:szCs w:val="20"/>
              </w:rPr>
              <w:t>4.596***</w:t>
            </w:r>
          </w:p>
        </w:tc>
        <w:tc>
          <w:tcPr>
            <w:tcW w:w="1550" w:type="dxa"/>
            <w:tcBorders>
              <w:top w:val="nil"/>
              <w:left w:val="nil"/>
              <w:bottom w:val="nil"/>
              <w:right w:val="nil"/>
            </w:tcBorders>
            <w:tcMar>
              <w:top w:w="0" w:type="dxa"/>
              <w:left w:w="0" w:type="dxa"/>
              <w:bottom w:w="0" w:type="dxa"/>
              <w:right w:w="0" w:type="dxa"/>
            </w:tcMar>
            <w:vAlign w:val="center"/>
          </w:tcPr>
          <w:p w14:paraId="64019001">
            <w:pPr>
              <w:spacing w:before="20" w:after="20"/>
              <w:jc w:val="center"/>
              <w:rPr>
                <w:rFonts w:ascii="Times New Roman" w:hAnsi="Times New Roman" w:cs="Times New Roman"/>
              </w:rPr>
            </w:pPr>
            <w:r>
              <w:rPr>
                <w:rFonts w:ascii="Times New Roman" w:hAnsi="Times New Roman" w:eastAsia="Times New Roman" w:cs="Times New Roman"/>
                <w:sz w:val="20"/>
                <w:szCs w:val="20"/>
              </w:rPr>
              <w:t>4.600***</w:t>
            </w:r>
          </w:p>
        </w:tc>
        <w:tc>
          <w:tcPr>
            <w:tcW w:w="1550" w:type="dxa"/>
            <w:tcBorders>
              <w:top w:val="nil"/>
              <w:left w:val="nil"/>
              <w:bottom w:val="nil"/>
              <w:right w:val="nil"/>
            </w:tcBorders>
            <w:tcMar>
              <w:top w:w="0" w:type="dxa"/>
              <w:left w:w="0" w:type="dxa"/>
              <w:bottom w:w="0" w:type="dxa"/>
              <w:right w:w="0" w:type="dxa"/>
            </w:tcMar>
            <w:vAlign w:val="center"/>
          </w:tcPr>
          <w:p w14:paraId="79A96264">
            <w:pPr>
              <w:spacing w:before="20" w:after="20"/>
              <w:jc w:val="center"/>
              <w:rPr>
                <w:rFonts w:ascii="Times New Roman" w:hAnsi="Times New Roman" w:cs="Times New Roman"/>
              </w:rPr>
            </w:pPr>
            <w:r>
              <w:rPr>
                <w:rFonts w:ascii="Times New Roman" w:hAnsi="Times New Roman" w:eastAsia="Times New Roman" w:cs="Times New Roman"/>
                <w:sz w:val="20"/>
                <w:szCs w:val="20"/>
              </w:rPr>
              <w:t>4.596***</w:t>
            </w:r>
          </w:p>
        </w:tc>
        <w:tc>
          <w:tcPr>
            <w:tcW w:w="2483" w:type="dxa"/>
            <w:tcBorders>
              <w:top w:val="nil"/>
              <w:left w:val="nil"/>
              <w:bottom w:val="nil"/>
              <w:right w:val="nil"/>
            </w:tcBorders>
            <w:tcMar>
              <w:top w:w="0" w:type="dxa"/>
              <w:left w:w="0" w:type="dxa"/>
              <w:bottom w:w="0" w:type="dxa"/>
              <w:right w:w="0" w:type="dxa"/>
            </w:tcMar>
            <w:vAlign w:val="center"/>
          </w:tcPr>
          <w:p w14:paraId="6D316E11">
            <w:pPr>
              <w:spacing w:before="20" w:after="20"/>
              <w:jc w:val="center"/>
              <w:rPr>
                <w:rFonts w:ascii="Times New Roman" w:hAnsi="Times New Roman" w:cs="Times New Roman"/>
              </w:rPr>
            </w:pPr>
            <w:r>
              <w:rPr>
                <w:rFonts w:ascii="Times New Roman" w:hAnsi="Times New Roman" w:eastAsia="Times New Roman" w:cs="Times New Roman"/>
                <w:sz w:val="20"/>
                <w:szCs w:val="20"/>
              </w:rPr>
              <w:t>4.589***</w:t>
            </w:r>
          </w:p>
        </w:tc>
      </w:tr>
      <w:tr w14:paraId="60C4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41C5B245">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415A9A21">
            <w:pPr>
              <w:spacing w:before="20" w:after="20"/>
              <w:jc w:val="center"/>
              <w:rPr>
                <w:rFonts w:ascii="Times New Roman" w:hAnsi="Times New Roman" w:cs="Times New Roman"/>
              </w:rPr>
            </w:pPr>
            <w:r>
              <w:rPr>
                <w:rFonts w:ascii="Times New Roman" w:hAnsi="Times New Roman" w:eastAsia="Times New Roman" w:cs="Times New Roman"/>
                <w:sz w:val="20"/>
                <w:szCs w:val="20"/>
              </w:rPr>
              <w:t>(9.383)</w:t>
            </w:r>
          </w:p>
        </w:tc>
        <w:tc>
          <w:tcPr>
            <w:tcW w:w="1550" w:type="dxa"/>
            <w:tcBorders>
              <w:top w:val="nil"/>
              <w:left w:val="nil"/>
              <w:bottom w:val="nil"/>
              <w:right w:val="nil"/>
            </w:tcBorders>
            <w:tcMar>
              <w:top w:w="0" w:type="dxa"/>
              <w:left w:w="0" w:type="dxa"/>
              <w:bottom w:w="0" w:type="dxa"/>
              <w:right w:w="0" w:type="dxa"/>
            </w:tcMar>
            <w:vAlign w:val="center"/>
          </w:tcPr>
          <w:p w14:paraId="0C4EF5E2">
            <w:pPr>
              <w:spacing w:before="20" w:after="20"/>
              <w:jc w:val="center"/>
              <w:rPr>
                <w:rFonts w:ascii="Times New Roman" w:hAnsi="Times New Roman" w:cs="Times New Roman"/>
              </w:rPr>
            </w:pPr>
            <w:r>
              <w:rPr>
                <w:rFonts w:ascii="Times New Roman" w:hAnsi="Times New Roman" w:eastAsia="Times New Roman" w:cs="Times New Roman"/>
                <w:sz w:val="20"/>
                <w:szCs w:val="20"/>
              </w:rPr>
              <w:t>(9.381)</w:t>
            </w:r>
          </w:p>
        </w:tc>
        <w:tc>
          <w:tcPr>
            <w:tcW w:w="1550" w:type="dxa"/>
            <w:tcBorders>
              <w:top w:val="nil"/>
              <w:left w:val="nil"/>
              <w:bottom w:val="nil"/>
              <w:right w:val="nil"/>
            </w:tcBorders>
            <w:tcMar>
              <w:top w:w="0" w:type="dxa"/>
              <w:left w:w="0" w:type="dxa"/>
              <w:bottom w:w="0" w:type="dxa"/>
              <w:right w:w="0" w:type="dxa"/>
            </w:tcMar>
            <w:vAlign w:val="center"/>
          </w:tcPr>
          <w:p w14:paraId="6AA1F152">
            <w:pPr>
              <w:spacing w:before="20" w:after="20"/>
              <w:jc w:val="center"/>
              <w:rPr>
                <w:rFonts w:ascii="Times New Roman" w:hAnsi="Times New Roman" w:cs="Times New Roman"/>
              </w:rPr>
            </w:pPr>
            <w:r>
              <w:rPr>
                <w:rFonts w:ascii="Times New Roman" w:hAnsi="Times New Roman" w:eastAsia="Times New Roman" w:cs="Times New Roman"/>
                <w:sz w:val="20"/>
                <w:szCs w:val="20"/>
              </w:rPr>
              <w:t>(9.383)</w:t>
            </w:r>
          </w:p>
        </w:tc>
        <w:tc>
          <w:tcPr>
            <w:tcW w:w="2483" w:type="dxa"/>
            <w:tcBorders>
              <w:top w:val="nil"/>
              <w:left w:val="nil"/>
              <w:bottom w:val="nil"/>
              <w:right w:val="nil"/>
            </w:tcBorders>
            <w:tcMar>
              <w:top w:w="0" w:type="dxa"/>
              <w:left w:w="0" w:type="dxa"/>
              <w:bottom w:w="0" w:type="dxa"/>
              <w:right w:w="0" w:type="dxa"/>
            </w:tcMar>
            <w:vAlign w:val="center"/>
          </w:tcPr>
          <w:p w14:paraId="72C79075">
            <w:pPr>
              <w:spacing w:before="20" w:after="20"/>
              <w:jc w:val="center"/>
              <w:rPr>
                <w:rFonts w:ascii="Times New Roman" w:hAnsi="Times New Roman" w:cs="Times New Roman"/>
              </w:rPr>
            </w:pPr>
            <w:r>
              <w:rPr>
                <w:rFonts w:ascii="Times New Roman" w:hAnsi="Times New Roman" w:eastAsia="Times New Roman" w:cs="Times New Roman"/>
                <w:sz w:val="20"/>
                <w:szCs w:val="20"/>
              </w:rPr>
              <w:t>(9.298)</w:t>
            </w:r>
          </w:p>
        </w:tc>
      </w:tr>
      <w:tr w14:paraId="17A6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307A3D54">
            <w:pPr>
              <w:spacing w:before="20" w:after="20"/>
              <w:jc w:val="center"/>
              <w:rPr>
                <w:rFonts w:ascii="Times New Roman" w:hAnsi="Times New Roman" w:cs="Times New Roman"/>
              </w:rPr>
            </w:pPr>
            <w:r>
              <w:rPr>
                <w:rFonts w:ascii="Times New Roman" w:hAnsi="Times New Roman" w:eastAsia="Times New Roman" w:cs="Times New Roman"/>
                <w:sz w:val="20"/>
                <w:szCs w:val="20"/>
              </w:rPr>
              <w:t>ln_view</w:t>
            </w:r>
          </w:p>
        </w:tc>
        <w:tc>
          <w:tcPr>
            <w:tcW w:w="1550" w:type="dxa"/>
            <w:tcBorders>
              <w:top w:val="nil"/>
              <w:left w:val="nil"/>
              <w:bottom w:val="nil"/>
              <w:right w:val="nil"/>
            </w:tcBorders>
            <w:tcMar>
              <w:top w:w="0" w:type="dxa"/>
              <w:left w:w="0" w:type="dxa"/>
              <w:bottom w:w="0" w:type="dxa"/>
              <w:right w:w="0" w:type="dxa"/>
            </w:tcMar>
            <w:vAlign w:val="center"/>
          </w:tcPr>
          <w:p w14:paraId="7840A8B8">
            <w:pPr>
              <w:spacing w:before="20" w:after="20"/>
              <w:jc w:val="center"/>
              <w:rPr>
                <w:rFonts w:ascii="Times New Roman" w:hAnsi="Times New Roman" w:cs="Times New Roman"/>
              </w:rPr>
            </w:pPr>
            <w:r>
              <w:rPr>
                <w:rFonts w:ascii="Times New Roman" w:hAnsi="Times New Roman" w:eastAsia="Times New Roman" w:cs="Times New Roman"/>
                <w:sz w:val="20"/>
                <w:szCs w:val="20"/>
              </w:rPr>
              <w:t>-0.763***</w:t>
            </w:r>
          </w:p>
        </w:tc>
        <w:tc>
          <w:tcPr>
            <w:tcW w:w="1550" w:type="dxa"/>
            <w:tcBorders>
              <w:top w:val="nil"/>
              <w:left w:val="nil"/>
              <w:bottom w:val="nil"/>
              <w:right w:val="nil"/>
            </w:tcBorders>
            <w:tcMar>
              <w:top w:w="0" w:type="dxa"/>
              <w:left w:w="0" w:type="dxa"/>
              <w:bottom w:w="0" w:type="dxa"/>
              <w:right w:w="0" w:type="dxa"/>
            </w:tcMar>
            <w:vAlign w:val="center"/>
          </w:tcPr>
          <w:p w14:paraId="524855AB">
            <w:pPr>
              <w:spacing w:before="20" w:after="20"/>
              <w:jc w:val="center"/>
              <w:rPr>
                <w:rFonts w:ascii="Times New Roman" w:hAnsi="Times New Roman" w:cs="Times New Roman"/>
              </w:rPr>
            </w:pPr>
            <w:r>
              <w:rPr>
                <w:rFonts w:ascii="Times New Roman" w:hAnsi="Times New Roman" w:eastAsia="Times New Roman" w:cs="Times New Roman"/>
                <w:sz w:val="20"/>
                <w:szCs w:val="20"/>
              </w:rPr>
              <w:t>-0.763***</w:t>
            </w:r>
          </w:p>
        </w:tc>
        <w:tc>
          <w:tcPr>
            <w:tcW w:w="1550" w:type="dxa"/>
            <w:tcBorders>
              <w:top w:val="nil"/>
              <w:left w:val="nil"/>
              <w:bottom w:val="nil"/>
              <w:right w:val="nil"/>
            </w:tcBorders>
            <w:tcMar>
              <w:top w:w="0" w:type="dxa"/>
              <w:left w:w="0" w:type="dxa"/>
              <w:bottom w:w="0" w:type="dxa"/>
              <w:right w:w="0" w:type="dxa"/>
            </w:tcMar>
            <w:vAlign w:val="center"/>
          </w:tcPr>
          <w:p w14:paraId="0BC5F817">
            <w:pPr>
              <w:spacing w:before="20" w:after="20"/>
              <w:jc w:val="center"/>
              <w:rPr>
                <w:rFonts w:ascii="Times New Roman" w:hAnsi="Times New Roman" w:cs="Times New Roman"/>
              </w:rPr>
            </w:pPr>
            <w:r>
              <w:rPr>
                <w:rFonts w:ascii="Times New Roman" w:hAnsi="Times New Roman" w:eastAsia="Times New Roman" w:cs="Times New Roman"/>
                <w:sz w:val="20"/>
                <w:szCs w:val="20"/>
              </w:rPr>
              <w:t>-0.763***</w:t>
            </w:r>
          </w:p>
        </w:tc>
        <w:tc>
          <w:tcPr>
            <w:tcW w:w="2483" w:type="dxa"/>
            <w:tcBorders>
              <w:top w:val="nil"/>
              <w:left w:val="nil"/>
              <w:bottom w:val="nil"/>
              <w:right w:val="nil"/>
            </w:tcBorders>
            <w:tcMar>
              <w:top w:w="0" w:type="dxa"/>
              <w:left w:w="0" w:type="dxa"/>
              <w:bottom w:w="0" w:type="dxa"/>
              <w:right w:w="0" w:type="dxa"/>
            </w:tcMar>
            <w:vAlign w:val="center"/>
          </w:tcPr>
          <w:p w14:paraId="7C6F3919">
            <w:pPr>
              <w:spacing w:before="20" w:after="20"/>
              <w:jc w:val="center"/>
              <w:rPr>
                <w:rFonts w:ascii="Times New Roman" w:hAnsi="Times New Roman" w:cs="Times New Roman"/>
              </w:rPr>
            </w:pPr>
            <w:r>
              <w:rPr>
                <w:rFonts w:ascii="Times New Roman" w:hAnsi="Times New Roman" w:eastAsia="Times New Roman" w:cs="Times New Roman"/>
                <w:sz w:val="20"/>
                <w:szCs w:val="20"/>
              </w:rPr>
              <w:t>-0.765***</w:t>
            </w:r>
          </w:p>
        </w:tc>
      </w:tr>
      <w:tr w14:paraId="1316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2150BD47">
            <w:pPr>
              <w:spacing w:before="20" w:after="20"/>
              <w:jc w:val="center"/>
              <w:rPr>
                <w:rFonts w:ascii="Times New Roman" w:hAnsi="Times New Roman" w:cs="Times New Roman"/>
              </w:rPr>
            </w:pPr>
          </w:p>
        </w:tc>
        <w:tc>
          <w:tcPr>
            <w:tcW w:w="1550" w:type="dxa"/>
            <w:tcBorders>
              <w:top w:val="nil"/>
              <w:left w:val="nil"/>
              <w:bottom w:val="nil"/>
              <w:right w:val="nil"/>
            </w:tcBorders>
            <w:tcMar>
              <w:top w:w="0" w:type="dxa"/>
              <w:left w:w="0" w:type="dxa"/>
              <w:bottom w:w="0" w:type="dxa"/>
              <w:right w:w="0" w:type="dxa"/>
            </w:tcMar>
            <w:vAlign w:val="center"/>
          </w:tcPr>
          <w:p w14:paraId="222168F8">
            <w:pPr>
              <w:spacing w:before="20" w:after="20"/>
              <w:jc w:val="center"/>
              <w:rPr>
                <w:rFonts w:ascii="Times New Roman" w:hAnsi="Times New Roman" w:cs="Times New Roman"/>
              </w:rPr>
            </w:pPr>
            <w:r>
              <w:rPr>
                <w:rFonts w:ascii="Times New Roman" w:hAnsi="Times New Roman" w:eastAsia="Times New Roman" w:cs="Times New Roman"/>
                <w:sz w:val="20"/>
                <w:szCs w:val="20"/>
              </w:rPr>
              <w:t>(-2.823)</w:t>
            </w:r>
          </w:p>
        </w:tc>
        <w:tc>
          <w:tcPr>
            <w:tcW w:w="1550" w:type="dxa"/>
            <w:tcBorders>
              <w:top w:val="nil"/>
              <w:left w:val="nil"/>
              <w:bottom w:val="nil"/>
              <w:right w:val="nil"/>
            </w:tcBorders>
            <w:tcMar>
              <w:top w:w="0" w:type="dxa"/>
              <w:left w:w="0" w:type="dxa"/>
              <w:bottom w:w="0" w:type="dxa"/>
              <w:right w:w="0" w:type="dxa"/>
            </w:tcMar>
            <w:vAlign w:val="center"/>
          </w:tcPr>
          <w:p w14:paraId="36B5EA9A">
            <w:pPr>
              <w:spacing w:before="20" w:after="20"/>
              <w:jc w:val="center"/>
              <w:rPr>
                <w:rFonts w:ascii="Times New Roman" w:hAnsi="Times New Roman" w:cs="Times New Roman"/>
              </w:rPr>
            </w:pPr>
            <w:r>
              <w:rPr>
                <w:rFonts w:ascii="Times New Roman" w:hAnsi="Times New Roman" w:eastAsia="Times New Roman" w:cs="Times New Roman"/>
                <w:sz w:val="20"/>
                <w:szCs w:val="20"/>
              </w:rPr>
              <w:t>(-2.819)</w:t>
            </w:r>
          </w:p>
        </w:tc>
        <w:tc>
          <w:tcPr>
            <w:tcW w:w="1550" w:type="dxa"/>
            <w:tcBorders>
              <w:top w:val="nil"/>
              <w:left w:val="nil"/>
              <w:bottom w:val="nil"/>
              <w:right w:val="nil"/>
            </w:tcBorders>
            <w:tcMar>
              <w:top w:w="0" w:type="dxa"/>
              <w:left w:w="0" w:type="dxa"/>
              <w:bottom w:w="0" w:type="dxa"/>
              <w:right w:w="0" w:type="dxa"/>
            </w:tcMar>
            <w:vAlign w:val="center"/>
          </w:tcPr>
          <w:p w14:paraId="138C335D">
            <w:pPr>
              <w:spacing w:before="20" w:after="20"/>
              <w:jc w:val="center"/>
              <w:rPr>
                <w:rFonts w:ascii="Times New Roman" w:hAnsi="Times New Roman" w:cs="Times New Roman"/>
              </w:rPr>
            </w:pPr>
            <w:r>
              <w:rPr>
                <w:rFonts w:ascii="Times New Roman" w:hAnsi="Times New Roman" w:eastAsia="Times New Roman" w:cs="Times New Roman"/>
                <w:sz w:val="20"/>
                <w:szCs w:val="20"/>
              </w:rPr>
              <w:t>(-2.823)</w:t>
            </w:r>
          </w:p>
        </w:tc>
        <w:tc>
          <w:tcPr>
            <w:tcW w:w="2483" w:type="dxa"/>
            <w:tcBorders>
              <w:top w:val="nil"/>
              <w:left w:val="nil"/>
              <w:bottom w:val="nil"/>
              <w:right w:val="nil"/>
            </w:tcBorders>
            <w:tcMar>
              <w:top w:w="0" w:type="dxa"/>
              <w:left w:w="0" w:type="dxa"/>
              <w:bottom w:w="0" w:type="dxa"/>
              <w:right w:w="0" w:type="dxa"/>
            </w:tcMar>
            <w:vAlign w:val="center"/>
          </w:tcPr>
          <w:p w14:paraId="55B66C6F">
            <w:pPr>
              <w:spacing w:before="20" w:after="20"/>
              <w:jc w:val="center"/>
              <w:rPr>
                <w:rFonts w:ascii="Times New Roman" w:hAnsi="Times New Roman" w:cs="Times New Roman"/>
              </w:rPr>
            </w:pPr>
            <w:r>
              <w:rPr>
                <w:rFonts w:ascii="Times New Roman" w:hAnsi="Times New Roman" w:eastAsia="Times New Roman" w:cs="Times New Roman"/>
                <w:sz w:val="20"/>
                <w:szCs w:val="20"/>
              </w:rPr>
              <w:t>(-2.825)</w:t>
            </w:r>
          </w:p>
        </w:tc>
      </w:tr>
      <w:tr w14:paraId="203A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1BD035A2">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年份/月份固定效应</w:t>
            </w:r>
          </w:p>
        </w:tc>
        <w:tc>
          <w:tcPr>
            <w:tcW w:w="1550" w:type="dxa"/>
            <w:tcBorders>
              <w:top w:val="nil"/>
              <w:left w:val="nil"/>
              <w:bottom w:val="nil"/>
              <w:right w:val="nil"/>
            </w:tcBorders>
            <w:tcMar>
              <w:top w:w="0" w:type="dxa"/>
              <w:left w:w="0" w:type="dxa"/>
              <w:bottom w:w="0" w:type="dxa"/>
              <w:right w:w="0" w:type="dxa"/>
            </w:tcMar>
            <w:vAlign w:val="center"/>
          </w:tcPr>
          <w:p w14:paraId="3763A643">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550" w:type="dxa"/>
            <w:tcBorders>
              <w:top w:val="nil"/>
              <w:left w:val="nil"/>
              <w:bottom w:val="nil"/>
              <w:right w:val="nil"/>
            </w:tcBorders>
            <w:tcMar>
              <w:top w:w="0" w:type="dxa"/>
              <w:left w:w="0" w:type="dxa"/>
              <w:bottom w:w="0" w:type="dxa"/>
              <w:right w:w="0" w:type="dxa"/>
            </w:tcMar>
            <w:vAlign w:val="center"/>
          </w:tcPr>
          <w:p w14:paraId="09C7390C">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550" w:type="dxa"/>
            <w:tcBorders>
              <w:top w:val="nil"/>
              <w:left w:val="nil"/>
              <w:bottom w:val="nil"/>
              <w:right w:val="nil"/>
            </w:tcBorders>
            <w:tcMar>
              <w:top w:w="0" w:type="dxa"/>
              <w:left w:w="0" w:type="dxa"/>
              <w:bottom w:w="0" w:type="dxa"/>
              <w:right w:w="0" w:type="dxa"/>
            </w:tcMar>
            <w:vAlign w:val="center"/>
          </w:tcPr>
          <w:p w14:paraId="7BEE62EB">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2483" w:type="dxa"/>
            <w:tcBorders>
              <w:top w:val="nil"/>
              <w:left w:val="nil"/>
              <w:bottom w:val="nil"/>
              <w:right w:val="nil"/>
            </w:tcBorders>
            <w:tcMar>
              <w:top w:w="0" w:type="dxa"/>
              <w:left w:w="0" w:type="dxa"/>
              <w:bottom w:w="0" w:type="dxa"/>
              <w:right w:w="0" w:type="dxa"/>
            </w:tcMar>
            <w:vAlign w:val="center"/>
          </w:tcPr>
          <w:p w14:paraId="7CC0295C">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130E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0" w:type="dxa"/>
              <w:left w:w="0" w:type="dxa"/>
              <w:bottom w:w="0" w:type="dxa"/>
              <w:right w:w="0" w:type="dxa"/>
            </w:tcMar>
            <w:vAlign w:val="center"/>
          </w:tcPr>
          <w:p w14:paraId="4F78CF96">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1550" w:type="dxa"/>
            <w:tcBorders>
              <w:top w:val="nil"/>
              <w:left w:val="nil"/>
              <w:bottom w:val="nil"/>
              <w:right w:val="nil"/>
            </w:tcBorders>
            <w:tcMar>
              <w:top w:w="0" w:type="dxa"/>
              <w:left w:w="0" w:type="dxa"/>
              <w:bottom w:w="0" w:type="dxa"/>
              <w:right w:w="0" w:type="dxa"/>
            </w:tcMar>
            <w:vAlign w:val="center"/>
          </w:tcPr>
          <w:p w14:paraId="567B2E0B">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550" w:type="dxa"/>
            <w:tcBorders>
              <w:top w:val="nil"/>
              <w:left w:val="nil"/>
              <w:bottom w:val="nil"/>
              <w:right w:val="nil"/>
            </w:tcBorders>
            <w:tcMar>
              <w:top w:w="0" w:type="dxa"/>
              <w:left w:w="0" w:type="dxa"/>
              <w:bottom w:w="0" w:type="dxa"/>
              <w:right w:w="0" w:type="dxa"/>
            </w:tcMar>
            <w:vAlign w:val="center"/>
          </w:tcPr>
          <w:p w14:paraId="4D2AC2B4">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550" w:type="dxa"/>
            <w:tcBorders>
              <w:top w:val="nil"/>
              <w:left w:val="nil"/>
              <w:bottom w:val="nil"/>
              <w:right w:val="nil"/>
            </w:tcBorders>
            <w:tcMar>
              <w:top w:w="0" w:type="dxa"/>
              <w:left w:w="0" w:type="dxa"/>
              <w:bottom w:w="0" w:type="dxa"/>
              <w:right w:w="0" w:type="dxa"/>
            </w:tcMar>
            <w:vAlign w:val="center"/>
          </w:tcPr>
          <w:p w14:paraId="2D6384D9">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2483" w:type="dxa"/>
            <w:tcBorders>
              <w:top w:val="nil"/>
              <w:left w:val="nil"/>
              <w:bottom w:val="nil"/>
              <w:right w:val="nil"/>
            </w:tcBorders>
            <w:tcMar>
              <w:top w:w="0" w:type="dxa"/>
              <w:left w:w="0" w:type="dxa"/>
              <w:bottom w:w="0" w:type="dxa"/>
              <w:right w:w="0" w:type="dxa"/>
            </w:tcMar>
            <w:vAlign w:val="center"/>
          </w:tcPr>
          <w:p w14:paraId="6B30A20B">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r>
      <w:tr w14:paraId="236F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single" w:color="000000" w:sz="10" w:space="0"/>
              <w:right w:val="nil"/>
            </w:tcBorders>
            <w:tcMar>
              <w:top w:w="0" w:type="dxa"/>
              <w:left w:w="0" w:type="dxa"/>
              <w:bottom w:w="0" w:type="dxa"/>
              <w:right w:w="0" w:type="dxa"/>
            </w:tcMar>
            <w:vAlign w:val="center"/>
          </w:tcPr>
          <w:p w14:paraId="04D3843A">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1550" w:type="dxa"/>
            <w:tcBorders>
              <w:top w:val="nil"/>
              <w:left w:val="nil"/>
              <w:bottom w:val="single" w:color="000000" w:sz="10" w:space="0"/>
              <w:right w:val="nil"/>
            </w:tcBorders>
            <w:tcMar>
              <w:top w:w="0" w:type="dxa"/>
              <w:left w:w="0" w:type="dxa"/>
              <w:bottom w:w="0" w:type="dxa"/>
              <w:right w:w="0" w:type="dxa"/>
            </w:tcMar>
            <w:vAlign w:val="center"/>
          </w:tcPr>
          <w:p w14:paraId="1DC59777">
            <w:pPr>
              <w:spacing w:before="20" w:after="20"/>
              <w:jc w:val="center"/>
              <w:rPr>
                <w:rFonts w:ascii="Times New Roman" w:hAnsi="Times New Roman" w:cs="Times New Roman"/>
              </w:rPr>
            </w:pPr>
            <w:r>
              <w:rPr>
                <w:rFonts w:ascii="Times New Roman" w:hAnsi="Times New Roman" w:eastAsia="Times New Roman" w:cs="Times New Roman"/>
                <w:sz w:val="20"/>
                <w:szCs w:val="20"/>
              </w:rPr>
              <w:t>0.164</w:t>
            </w:r>
          </w:p>
        </w:tc>
        <w:tc>
          <w:tcPr>
            <w:tcW w:w="1550" w:type="dxa"/>
            <w:tcBorders>
              <w:top w:val="nil"/>
              <w:left w:val="nil"/>
              <w:bottom w:val="single" w:color="000000" w:sz="10" w:space="0"/>
              <w:right w:val="nil"/>
            </w:tcBorders>
            <w:tcMar>
              <w:top w:w="0" w:type="dxa"/>
              <w:left w:w="0" w:type="dxa"/>
              <w:bottom w:w="0" w:type="dxa"/>
              <w:right w:w="0" w:type="dxa"/>
            </w:tcMar>
            <w:vAlign w:val="center"/>
          </w:tcPr>
          <w:p w14:paraId="38DB2932">
            <w:pPr>
              <w:spacing w:before="20" w:after="20"/>
              <w:jc w:val="center"/>
              <w:rPr>
                <w:rFonts w:ascii="Times New Roman" w:hAnsi="Times New Roman" w:cs="Times New Roman"/>
              </w:rPr>
            </w:pPr>
            <w:r>
              <w:rPr>
                <w:rFonts w:ascii="Times New Roman" w:hAnsi="Times New Roman" w:eastAsia="Times New Roman" w:cs="Times New Roman"/>
                <w:sz w:val="20"/>
                <w:szCs w:val="20"/>
              </w:rPr>
              <w:t>0.164</w:t>
            </w:r>
          </w:p>
        </w:tc>
        <w:tc>
          <w:tcPr>
            <w:tcW w:w="1550" w:type="dxa"/>
            <w:tcBorders>
              <w:top w:val="nil"/>
              <w:left w:val="nil"/>
              <w:bottom w:val="single" w:color="000000" w:sz="10" w:space="0"/>
              <w:right w:val="nil"/>
            </w:tcBorders>
            <w:tcMar>
              <w:top w:w="0" w:type="dxa"/>
              <w:left w:w="0" w:type="dxa"/>
              <w:bottom w:w="0" w:type="dxa"/>
              <w:right w:w="0" w:type="dxa"/>
            </w:tcMar>
            <w:vAlign w:val="center"/>
          </w:tcPr>
          <w:p w14:paraId="41FD6C8F">
            <w:pPr>
              <w:spacing w:before="20" w:after="20"/>
              <w:jc w:val="center"/>
              <w:rPr>
                <w:rFonts w:ascii="Times New Roman" w:hAnsi="Times New Roman" w:cs="Times New Roman"/>
              </w:rPr>
            </w:pPr>
            <w:r>
              <w:rPr>
                <w:rFonts w:ascii="Times New Roman" w:hAnsi="Times New Roman" w:eastAsia="Times New Roman" w:cs="Times New Roman"/>
                <w:sz w:val="20"/>
                <w:szCs w:val="20"/>
              </w:rPr>
              <w:t>0.164</w:t>
            </w:r>
          </w:p>
        </w:tc>
        <w:tc>
          <w:tcPr>
            <w:tcW w:w="2483" w:type="dxa"/>
            <w:tcBorders>
              <w:top w:val="nil"/>
              <w:left w:val="nil"/>
              <w:bottom w:val="single" w:color="000000" w:sz="10" w:space="0"/>
              <w:right w:val="nil"/>
            </w:tcBorders>
            <w:tcMar>
              <w:top w:w="0" w:type="dxa"/>
              <w:left w:w="0" w:type="dxa"/>
              <w:bottom w:w="0" w:type="dxa"/>
              <w:right w:w="0" w:type="dxa"/>
            </w:tcMar>
            <w:vAlign w:val="center"/>
          </w:tcPr>
          <w:p w14:paraId="3A2BD44D">
            <w:pPr>
              <w:spacing w:before="20" w:after="20"/>
              <w:jc w:val="center"/>
              <w:rPr>
                <w:rFonts w:ascii="Times New Roman" w:hAnsi="Times New Roman" w:cs="Times New Roman"/>
              </w:rPr>
            </w:pPr>
            <w:r>
              <w:rPr>
                <w:rFonts w:ascii="Times New Roman" w:hAnsi="Times New Roman" w:eastAsia="Times New Roman" w:cs="Times New Roman"/>
                <w:sz w:val="20"/>
                <w:szCs w:val="20"/>
              </w:rPr>
              <w:t>0.164</w:t>
            </w:r>
          </w:p>
        </w:tc>
      </w:tr>
    </w:tbl>
    <w:p w14:paraId="60F6C437">
      <w:pPr>
        <w:spacing w:before="60" w:after="120"/>
        <w:jc w:val="left"/>
        <w:rPr>
          <w:rFonts w:ascii="Times New Roman" w:hAnsi="Times New Roman" w:cs="Times New Roman"/>
        </w:rPr>
      </w:pPr>
      <w:r>
        <w:rPr>
          <w:rFonts w:ascii="Times New Roman" w:hAnsi="Times New Roman" w:cs="Times New Roman"/>
          <w:sz w:val="18"/>
          <w:szCs w:val="18"/>
        </w:rPr>
        <w:t>注：括号内为聚类稳健t统计量。***p&lt;0.01，**p&lt;0.05，*p&lt;0.1。coin_like_inter为L2_ln_coin与L2_ln_like的交互项。</w:t>
      </w:r>
    </w:p>
    <w:p w14:paraId="252C09EE">
      <w:pPr>
        <w:spacing w:before="200" w:after="100"/>
        <w:outlineLvl w:val="2"/>
        <w:rPr>
          <w:rFonts w:ascii="Times New Roman" w:hAnsi="Times New Roman" w:eastAsia="黑体" w:cs="Times New Roman"/>
          <w:b/>
          <w:bCs/>
        </w:rPr>
      </w:pPr>
      <w:bookmarkStart w:id="71" w:name="_Toc131"/>
      <w:r>
        <w:rPr>
          <w:rFonts w:ascii="Times New Roman" w:hAnsi="Times New Roman" w:eastAsia="黑体" w:cs="Times New Roman"/>
          <w:b/>
          <w:bCs/>
        </w:rPr>
        <w:t xml:space="preserve">5.4.3  </w:t>
      </w:r>
      <w:r>
        <w:rPr>
          <w:rFonts w:ascii="Times New Roman" w:hAnsi="Times New Roman" w:eastAsia="黑体" w:cs="Times New Roman"/>
          <w:b/>
          <w:bCs/>
          <w:sz w:val="26"/>
          <w:szCs w:val="26"/>
        </w:rPr>
        <w:t>投币与点赞的交互效应检验</w:t>
      </w:r>
      <w:bookmarkEnd w:id="71"/>
    </w:p>
    <w:p w14:paraId="54EBDDA6">
      <w:pPr>
        <w:spacing w:line="288" w:lineRule="auto"/>
        <w:ind w:firstLine="480"/>
        <w:rPr>
          <w:rFonts w:ascii="Times New Roman" w:hAnsi="Times New Roman" w:cs="Times New Roman"/>
        </w:rPr>
      </w:pPr>
      <w:r>
        <w:rPr>
          <w:rFonts w:ascii="Times New Roman" w:hAnsi="Times New Roman" w:cs="Times New Roman"/>
        </w:rPr>
        <w:t>在稀缺性激励的理论框架下，本文进一步检验高成本互动（投币）与低成本互动（点赞）之间是否存在相互强化或相互替代的调节关系。如表8右侧两列所示，引入投币数与点赞数的交互项（coin_like_inter）后，交互项系数为-0.022（t=-0.533），在统计上不显著，说明点赞对投币激励效应的调节作用并不突出。这一结果具有重要的理论含义：投币激励对内容质量的正向影响是独立于点赞行为存在的，两种互动形式在激励机制上各自独立运作，高投币与高点赞并不额外产生质量提升的乘数效应。这进一步支持了本文关于“稀缺性是投币激励核心属性”的判断——投币的激励价值来源于其成本的不可替代性，而非对其他互动行为的组合放大效应。</w:t>
      </w:r>
    </w:p>
    <w:p w14:paraId="46432769">
      <w:pPr>
        <w:spacing w:before="300" w:after="150"/>
        <w:outlineLvl w:val="2"/>
        <w:rPr>
          <w:rFonts w:ascii="Times New Roman" w:hAnsi="Times New Roman" w:eastAsia="黑体" w:cs="Times New Roman"/>
          <w:b/>
          <w:bCs/>
          <w:sz w:val="28"/>
          <w:szCs w:val="28"/>
        </w:rPr>
      </w:pPr>
      <w:commentRangeStart w:id="14"/>
      <w:bookmarkStart w:id="72" w:name="_Toc15168"/>
      <w:r>
        <w:rPr>
          <w:rFonts w:ascii="Times New Roman" w:hAnsi="Times New Roman" w:eastAsia="黑体" w:cs="Times New Roman"/>
          <w:b/>
          <w:bCs/>
          <w:sz w:val="28"/>
          <w:szCs w:val="28"/>
        </w:rPr>
        <w:t>5.5  机制分析</w:t>
      </w:r>
      <w:bookmarkEnd w:id="72"/>
      <w:commentRangeEnd w:id="14"/>
      <w:r>
        <w:rPr>
          <w:rStyle w:val="23"/>
        </w:rPr>
        <w:commentReference w:id="14"/>
      </w:r>
    </w:p>
    <w:p w14:paraId="317CA119">
      <w:pPr>
        <w:spacing w:line="288" w:lineRule="auto"/>
        <w:ind w:firstLine="480"/>
        <w:rPr>
          <w:rFonts w:ascii="Times New Roman" w:hAnsi="Times New Roman" w:cs="Times New Roman"/>
        </w:rPr>
      </w:pPr>
      <w:r>
        <w:rPr>
          <w:rFonts w:ascii="Times New Roman" w:hAnsi="Times New Roman" w:cs="Times New Roman"/>
        </w:rPr>
        <w:t>本节检验投币激励影响内容质量的两条预设路径：以打磨周期为中介的投入互惠机制（H2）和以评论互动深度为中介的深度反馈机制（H3），以及流量传播路径的证伪检验（H4）。机制检验采用两步法：第一步估计投币激励对中介变量的影响（a路径），第二步在控制中介变量后同时估计中介变量对内容质量的影响（b路径）和投币的直接效应（c'路径）。</w:t>
      </w:r>
    </w:p>
    <w:p w14:paraId="17F2BEDC">
      <w:pPr>
        <w:spacing w:before="200" w:after="100"/>
        <w:outlineLvl w:val="2"/>
        <w:rPr>
          <w:rFonts w:ascii="Times New Roman" w:hAnsi="Times New Roman" w:eastAsia="黑体" w:cs="Times New Roman"/>
          <w:b/>
          <w:bCs/>
        </w:rPr>
      </w:pPr>
      <w:bookmarkStart w:id="73" w:name="_Toc10812"/>
      <w:r>
        <w:rPr>
          <w:rFonts w:ascii="Times New Roman" w:hAnsi="Times New Roman" w:eastAsia="黑体" w:cs="Times New Roman"/>
          <w:b/>
          <w:bCs/>
        </w:rPr>
        <w:t>5.5.1  机制一：投入互惠机制（打磨周期中介检验）</w:t>
      </w:r>
      <w:bookmarkEnd w:id="73"/>
    </w:p>
    <w:p w14:paraId="3E7F1E6E">
      <w:pPr>
        <w:spacing w:line="288" w:lineRule="auto"/>
        <w:ind w:firstLine="480"/>
        <w:rPr>
          <w:rFonts w:ascii="Times New Roman" w:hAnsi="Times New Roman" w:cs="Times New Roman"/>
        </w:rPr>
      </w:pPr>
      <w:r>
        <w:rPr>
          <w:rFonts w:ascii="Times New Roman" w:hAnsi="Times New Roman" w:cs="Times New Roman"/>
        </w:rPr>
        <w:t>表9左侧两列报告了以内容打磨周期（ln_interval，相邻视频发布间隔天数对数值）为中介变量的检验结果。</w:t>
      </w:r>
    </w:p>
    <w:p w14:paraId="410FB59E">
      <w:pPr>
        <w:spacing w:line="288" w:lineRule="auto"/>
        <w:ind w:firstLine="480"/>
        <w:rPr>
          <w:rFonts w:ascii="Times New Roman" w:hAnsi="Times New Roman" w:cs="Times New Roman"/>
        </w:rPr>
      </w:pPr>
      <w:r>
        <w:rPr>
          <w:rFonts w:ascii="Times New Roman" w:hAnsi="Times New Roman" w:cs="Times New Roman"/>
        </w:rPr>
        <w:t>a路径检验（第一列）显示：L2_ln_coin对ln_interval的系数为0.077（t=3.570，p&lt;0.01），在1%水平显著为正，表明创作者获得的投币激励越多，下一条视频的发布时间间隔越长，即投币激励显著促使创作者延长内容打磨周期，H2a得到支持。从系数量级上看，投币数每增加1%，打磨周期的对数值平均上升约0.077个单位，在以天为单位的原始尺度上意味着创作者明显推迟了下一条视频的发布节奏，将更多时间用于内容制作与精修。</w:t>
      </w:r>
    </w:p>
    <w:p w14:paraId="2C177CF9">
      <w:pPr>
        <w:spacing w:line="288" w:lineRule="auto"/>
        <w:ind w:firstLine="480"/>
        <w:rPr>
          <w:rFonts w:ascii="Times New Roman" w:hAnsi="Times New Roman" w:cs="Times New Roman"/>
        </w:rPr>
      </w:pPr>
      <w:r>
        <w:rPr>
          <w:rFonts w:ascii="Times New Roman" w:hAnsi="Times New Roman" w:cs="Times New Roman"/>
        </w:rPr>
        <w:t>b/c'路径检验（第二列）中，ln_interval对Quality_Index的系数为0.532（t=1.959，p&lt;0.10），达到10%显著水平，说明打磨周期的延长确实正向影响内容质量，H2b得到支持。与此同时，在控制打磨周期后，L2_ln_coin的直接效应系数为0.699（t=3.745，p&lt;0.01），依然高度显著，表明投币激励除通过延长打磨周期提升质量外，还存在其他直接路径（如心理激励、动机增强等）。综合来看，H2所提出的投入互惠机制得到了两步检验的共同支持：投币激励→延长打磨周期→内容质量提升，这一传导链条成立，验证了互惠规范驱动创作者时间投入行为的理论预期。</w:t>
      </w:r>
    </w:p>
    <w:p w14:paraId="0057760D">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t xml:space="preserve"> 机制检验结果（投入互惠机制与深度反馈机制）</w:t>
      </w:r>
    </w:p>
    <w:tbl>
      <w:tblPr>
        <w:tblStyle w:val="19"/>
        <w:tblW w:w="95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66"/>
        <w:gridCol w:w="1445"/>
        <w:gridCol w:w="1766"/>
        <w:gridCol w:w="1745"/>
        <w:gridCol w:w="2144"/>
      </w:tblGrid>
      <w:tr w14:paraId="6BCF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single" w:color="000000" w:sz="10" w:space="0"/>
              <w:left w:val="nil"/>
              <w:bottom w:val="single" w:color="000000" w:sz="10" w:space="0"/>
              <w:right w:val="nil"/>
            </w:tcBorders>
            <w:tcMar>
              <w:top w:w="0" w:type="dxa"/>
              <w:left w:w="0" w:type="dxa"/>
              <w:bottom w:w="0" w:type="dxa"/>
              <w:right w:w="0" w:type="dxa"/>
            </w:tcMar>
            <w:vAlign w:val="center"/>
          </w:tcPr>
          <w:p w14:paraId="027346D7">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1445" w:type="dxa"/>
            <w:tcBorders>
              <w:top w:val="single" w:color="000000" w:sz="10" w:space="0"/>
              <w:left w:val="nil"/>
              <w:bottom w:val="single" w:color="000000" w:sz="10" w:space="0"/>
              <w:right w:val="nil"/>
            </w:tcBorders>
            <w:tcMar>
              <w:top w:w="0" w:type="dxa"/>
              <w:left w:w="0" w:type="dxa"/>
              <w:bottom w:w="0" w:type="dxa"/>
              <w:right w:w="0" w:type="dxa"/>
            </w:tcMar>
            <w:vAlign w:val="center"/>
          </w:tcPr>
          <w:p w14:paraId="6CF22C89">
            <w:pPr>
              <w:spacing w:before="20" w:after="20"/>
              <w:jc w:val="center"/>
              <w:rPr>
                <w:rFonts w:ascii="Times New Roman" w:hAnsi="Times New Roman" w:cs="Times New Roman"/>
              </w:rPr>
            </w:pPr>
            <w:r>
              <w:rPr>
                <w:rFonts w:ascii="Times New Roman" w:hAnsi="Times New Roman" w:eastAsia="Times New Roman" w:cs="Times New Roman"/>
                <w:b/>
                <w:bCs/>
                <w:sz w:val="20"/>
                <w:szCs w:val="20"/>
              </w:rPr>
              <w:t>a路径（ln_interval）</w:t>
            </w:r>
          </w:p>
        </w:tc>
        <w:tc>
          <w:tcPr>
            <w:tcW w:w="1766" w:type="dxa"/>
            <w:tcBorders>
              <w:top w:val="single" w:color="000000" w:sz="10" w:space="0"/>
              <w:left w:val="nil"/>
              <w:bottom w:val="single" w:color="000000" w:sz="10" w:space="0"/>
              <w:right w:val="nil"/>
            </w:tcBorders>
            <w:tcMar>
              <w:top w:w="0" w:type="dxa"/>
              <w:left w:w="0" w:type="dxa"/>
              <w:bottom w:w="0" w:type="dxa"/>
              <w:right w:w="0" w:type="dxa"/>
            </w:tcMar>
            <w:vAlign w:val="center"/>
          </w:tcPr>
          <w:p w14:paraId="68D436E0">
            <w:pPr>
              <w:spacing w:before="20" w:after="20"/>
              <w:jc w:val="center"/>
              <w:rPr>
                <w:rFonts w:ascii="Times New Roman" w:hAnsi="Times New Roman" w:cs="Times New Roman"/>
              </w:rPr>
            </w:pPr>
            <w:r>
              <w:rPr>
                <w:rFonts w:ascii="Times New Roman" w:hAnsi="Times New Roman" w:eastAsia="Times New Roman" w:cs="Times New Roman"/>
                <w:b/>
                <w:bCs/>
                <w:sz w:val="20"/>
                <w:szCs w:val="20"/>
              </w:rPr>
              <w:t>b/c'路径（Quality_Index）</w:t>
            </w:r>
          </w:p>
        </w:tc>
        <w:tc>
          <w:tcPr>
            <w:tcW w:w="1745"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5FB531D">
            <w:pPr>
              <w:spacing w:before="20" w:after="20"/>
              <w:jc w:val="center"/>
              <w:rPr>
                <w:rFonts w:ascii="Times New Roman" w:hAnsi="Times New Roman" w:cs="Times New Roman"/>
              </w:rPr>
            </w:pPr>
            <w:r>
              <w:rPr>
                <w:rFonts w:ascii="Times New Roman" w:hAnsi="Times New Roman" w:eastAsia="Times New Roman" w:cs="Times New Roman"/>
                <w:b/>
                <w:bCs/>
                <w:sz w:val="20"/>
                <w:szCs w:val="20"/>
              </w:rPr>
              <w:t>a路径（ln_comment）</w:t>
            </w:r>
          </w:p>
        </w:tc>
        <w:tc>
          <w:tcPr>
            <w:tcW w:w="2144" w:type="dxa"/>
            <w:tcBorders>
              <w:top w:val="single" w:color="000000" w:sz="10" w:space="0"/>
              <w:left w:val="nil"/>
              <w:bottom w:val="single" w:color="000000" w:sz="10" w:space="0"/>
              <w:right w:val="nil"/>
            </w:tcBorders>
            <w:tcMar>
              <w:top w:w="0" w:type="dxa"/>
              <w:left w:w="0" w:type="dxa"/>
              <w:bottom w:w="0" w:type="dxa"/>
              <w:right w:w="0" w:type="dxa"/>
            </w:tcMar>
            <w:vAlign w:val="center"/>
          </w:tcPr>
          <w:p w14:paraId="29580C6D">
            <w:pPr>
              <w:spacing w:before="20" w:after="20"/>
              <w:jc w:val="center"/>
              <w:rPr>
                <w:rFonts w:ascii="Times New Roman" w:hAnsi="Times New Roman" w:cs="Times New Roman"/>
              </w:rPr>
            </w:pPr>
            <w:r>
              <w:rPr>
                <w:rFonts w:ascii="Times New Roman" w:hAnsi="Times New Roman" w:eastAsia="Times New Roman" w:cs="Times New Roman"/>
                <w:b/>
                <w:bCs/>
                <w:sz w:val="20"/>
                <w:szCs w:val="20"/>
              </w:rPr>
              <w:t>b/c'路径（Quality_Index）</w:t>
            </w:r>
          </w:p>
        </w:tc>
      </w:tr>
      <w:tr w14:paraId="739F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7F2725BA">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w:t>
            </w:r>
          </w:p>
        </w:tc>
        <w:tc>
          <w:tcPr>
            <w:tcW w:w="1445" w:type="dxa"/>
            <w:tcBorders>
              <w:top w:val="nil"/>
              <w:left w:val="nil"/>
              <w:bottom w:val="nil"/>
              <w:right w:val="nil"/>
            </w:tcBorders>
            <w:tcMar>
              <w:top w:w="0" w:type="dxa"/>
              <w:left w:w="0" w:type="dxa"/>
              <w:bottom w:w="0" w:type="dxa"/>
              <w:right w:w="0" w:type="dxa"/>
            </w:tcMar>
            <w:vAlign w:val="center"/>
          </w:tcPr>
          <w:p w14:paraId="7AE9C938">
            <w:pPr>
              <w:spacing w:before="20" w:after="20"/>
              <w:jc w:val="center"/>
              <w:rPr>
                <w:rFonts w:ascii="Times New Roman" w:hAnsi="Times New Roman" w:cs="Times New Roman"/>
              </w:rPr>
            </w:pPr>
            <w:r>
              <w:rPr>
                <w:rFonts w:ascii="Times New Roman" w:hAnsi="Times New Roman" w:eastAsia="Times New Roman" w:cs="Times New Roman"/>
                <w:sz w:val="20"/>
                <w:szCs w:val="20"/>
              </w:rPr>
              <w:t>0.077***</w:t>
            </w:r>
          </w:p>
        </w:tc>
        <w:tc>
          <w:tcPr>
            <w:tcW w:w="1766" w:type="dxa"/>
            <w:tcBorders>
              <w:top w:val="nil"/>
              <w:left w:val="nil"/>
              <w:bottom w:val="nil"/>
              <w:right w:val="nil"/>
            </w:tcBorders>
            <w:tcMar>
              <w:top w:w="0" w:type="dxa"/>
              <w:left w:w="0" w:type="dxa"/>
              <w:bottom w:w="0" w:type="dxa"/>
              <w:right w:w="0" w:type="dxa"/>
            </w:tcMar>
            <w:vAlign w:val="center"/>
          </w:tcPr>
          <w:p w14:paraId="553D34F9">
            <w:pPr>
              <w:spacing w:before="20" w:after="20"/>
              <w:jc w:val="center"/>
              <w:rPr>
                <w:rFonts w:ascii="Times New Roman" w:hAnsi="Times New Roman" w:cs="Times New Roman"/>
              </w:rPr>
            </w:pPr>
            <w:r>
              <w:rPr>
                <w:rFonts w:ascii="Times New Roman" w:hAnsi="Times New Roman" w:eastAsia="Times New Roman" w:cs="Times New Roman"/>
                <w:sz w:val="20"/>
                <w:szCs w:val="20"/>
              </w:rPr>
              <w:t>0.699***</w:t>
            </w:r>
          </w:p>
        </w:tc>
        <w:tc>
          <w:tcPr>
            <w:tcW w:w="1745" w:type="dxa"/>
            <w:tcBorders>
              <w:top w:val="nil"/>
              <w:left w:val="nil"/>
              <w:bottom w:val="nil"/>
              <w:right w:val="nil"/>
            </w:tcBorders>
            <w:tcMar>
              <w:top w:w="0" w:type="dxa"/>
              <w:left w:w="0" w:type="dxa"/>
              <w:bottom w:w="0" w:type="dxa"/>
              <w:right w:w="0" w:type="dxa"/>
            </w:tcMar>
            <w:vAlign w:val="center"/>
          </w:tcPr>
          <w:p w14:paraId="19DBF808">
            <w:pPr>
              <w:spacing w:before="20" w:after="20"/>
              <w:jc w:val="center"/>
              <w:rPr>
                <w:rFonts w:ascii="Times New Roman" w:hAnsi="Times New Roman" w:cs="Times New Roman"/>
              </w:rPr>
            </w:pPr>
            <w:r>
              <w:rPr>
                <w:rFonts w:ascii="Times New Roman" w:hAnsi="Times New Roman" w:eastAsia="Times New Roman" w:cs="Times New Roman"/>
                <w:sz w:val="20"/>
                <w:szCs w:val="20"/>
              </w:rPr>
              <w:t>-0.014</w:t>
            </w:r>
          </w:p>
        </w:tc>
        <w:tc>
          <w:tcPr>
            <w:tcW w:w="2144" w:type="dxa"/>
            <w:tcBorders>
              <w:top w:val="nil"/>
              <w:left w:val="nil"/>
              <w:bottom w:val="nil"/>
              <w:right w:val="nil"/>
            </w:tcBorders>
            <w:tcMar>
              <w:top w:w="0" w:type="dxa"/>
              <w:left w:w="0" w:type="dxa"/>
              <w:bottom w:w="0" w:type="dxa"/>
              <w:right w:w="0" w:type="dxa"/>
            </w:tcMar>
            <w:vAlign w:val="center"/>
          </w:tcPr>
          <w:p w14:paraId="2842534E">
            <w:pPr>
              <w:spacing w:before="20" w:after="20"/>
              <w:jc w:val="center"/>
              <w:rPr>
                <w:rFonts w:ascii="Times New Roman" w:hAnsi="Times New Roman" w:cs="Times New Roman"/>
              </w:rPr>
            </w:pPr>
            <w:r>
              <w:rPr>
                <w:rFonts w:ascii="Times New Roman" w:hAnsi="Times New Roman" w:eastAsia="Times New Roman" w:cs="Times New Roman"/>
                <w:sz w:val="20"/>
                <w:szCs w:val="20"/>
              </w:rPr>
              <w:t>0.786***</w:t>
            </w:r>
          </w:p>
        </w:tc>
      </w:tr>
      <w:tr w14:paraId="725D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29868CFE">
            <w:pPr>
              <w:spacing w:before="20" w:after="20"/>
              <w:jc w:val="center"/>
              <w:rPr>
                <w:rFonts w:ascii="Times New Roman" w:hAnsi="Times New Roman" w:cs="Times New Roman"/>
              </w:rPr>
            </w:pPr>
          </w:p>
        </w:tc>
        <w:tc>
          <w:tcPr>
            <w:tcW w:w="1445" w:type="dxa"/>
            <w:tcBorders>
              <w:top w:val="nil"/>
              <w:left w:val="nil"/>
              <w:bottom w:val="nil"/>
              <w:right w:val="nil"/>
            </w:tcBorders>
            <w:tcMar>
              <w:top w:w="0" w:type="dxa"/>
              <w:left w:w="0" w:type="dxa"/>
              <w:bottom w:w="0" w:type="dxa"/>
              <w:right w:w="0" w:type="dxa"/>
            </w:tcMar>
            <w:vAlign w:val="center"/>
          </w:tcPr>
          <w:p w14:paraId="253B8312">
            <w:pPr>
              <w:spacing w:before="20" w:after="20"/>
              <w:jc w:val="center"/>
              <w:rPr>
                <w:rFonts w:ascii="Times New Roman" w:hAnsi="Times New Roman" w:cs="Times New Roman"/>
              </w:rPr>
            </w:pPr>
            <w:r>
              <w:rPr>
                <w:rFonts w:ascii="Times New Roman" w:hAnsi="Times New Roman" w:eastAsia="Times New Roman" w:cs="Times New Roman"/>
                <w:sz w:val="20"/>
                <w:szCs w:val="20"/>
              </w:rPr>
              <w:t>(3.570)</w:t>
            </w:r>
          </w:p>
        </w:tc>
        <w:tc>
          <w:tcPr>
            <w:tcW w:w="1766" w:type="dxa"/>
            <w:tcBorders>
              <w:top w:val="nil"/>
              <w:left w:val="nil"/>
              <w:bottom w:val="nil"/>
              <w:right w:val="nil"/>
            </w:tcBorders>
            <w:tcMar>
              <w:top w:w="0" w:type="dxa"/>
              <w:left w:w="0" w:type="dxa"/>
              <w:bottom w:w="0" w:type="dxa"/>
              <w:right w:w="0" w:type="dxa"/>
            </w:tcMar>
            <w:vAlign w:val="center"/>
          </w:tcPr>
          <w:p w14:paraId="3D23E8C8">
            <w:pPr>
              <w:spacing w:before="20" w:after="20"/>
              <w:jc w:val="center"/>
              <w:rPr>
                <w:rFonts w:ascii="Times New Roman" w:hAnsi="Times New Roman" w:cs="Times New Roman"/>
              </w:rPr>
            </w:pPr>
            <w:r>
              <w:rPr>
                <w:rFonts w:ascii="Times New Roman" w:hAnsi="Times New Roman" w:eastAsia="Times New Roman" w:cs="Times New Roman"/>
                <w:sz w:val="20"/>
                <w:szCs w:val="20"/>
              </w:rPr>
              <w:t>(3.745)</w:t>
            </w:r>
          </w:p>
        </w:tc>
        <w:tc>
          <w:tcPr>
            <w:tcW w:w="1745" w:type="dxa"/>
            <w:tcBorders>
              <w:top w:val="nil"/>
              <w:left w:val="nil"/>
              <w:bottom w:val="nil"/>
              <w:right w:val="nil"/>
            </w:tcBorders>
            <w:tcMar>
              <w:top w:w="0" w:type="dxa"/>
              <w:left w:w="0" w:type="dxa"/>
              <w:bottom w:w="0" w:type="dxa"/>
              <w:right w:w="0" w:type="dxa"/>
            </w:tcMar>
            <w:vAlign w:val="center"/>
          </w:tcPr>
          <w:p w14:paraId="3130DC07">
            <w:pPr>
              <w:spacing w:before="20" w:after="20"/>
              <w:jc w:val="center"/>
              <w:rPr>
                <w:rFonts w:ascii="Times New Roman" w:hAnsi="Times New Roman" w:cs="Times New Roman"/>
              </w:rPr>
            </w:pPr>
            <w:r>
              <w:rPr>
                <w:rFonts w:ascii="Times New Roman" w:hAnsi="Times New Roman" w:eastAsia="Times New Roman" w:cs="Times New Roman"/>
                <w:sz w:val="20"/>
                <w:szCs w:val="20"/>
              </w:rPr>
              <w:t>(-0.294)</w:t>
            </w:r>
          </w:p>
        </w:tc>
        <w:tc>
          <w:tcPr>
            <w:tcW w:w="2144" w:type="dxa"/>
            <w:tcBorders>
              <w:top w:val="nil"/>
              <w:left w:val="nil"/>
              <w:bottom w:val="nil"/>
              <w:right w:val="nil"/>
            </w:tcBorders>
            <w:tcMar>
              <w:top w:w="0" w:type="dxa"/>
              <w:left w:w="0" w:type="dxa"/>
              <w:bottom w:w="0" w:type="dxa"/>
              <w:right w:w="0" w:type="dxa"/>
            </w:tcMar>
            <w:vAlign w:val="center"/>
          </w:tcPr>
          <w:p w14:paraId="7E6FC61C">
            <w:pPr>
              <w:spacing w:before="20" w:after="20"/>
              <w:jc w:val="center"/>
              <w:rPr>
                <w:rFonts w:ascii="Times New Roman" w:hAnsi="Times New Roman" w:cs="Times New Roman"/>
              </w:rPr>
            </w:pPr>
            <w:r>
              <w:rPr>
                <w:rFonts w:ascii="Times New Roman" w:hAnsi="Times New Roman" w:eastAsia="Times New Roman" w:cs="Times New Roman"/>
                <w:sz w:val="20"/>
                <w:szCs w:val="20"/>
              </w:rPr>
              <w:t>(4.881)</w:t>
            </w:r>
          </w:p>
        </w:tc>
      </w:tr>
      <w:tr w14:paraId="6E22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3B39BD81">
            <w:pPr>
              <w:spacing w:before="20" w:after="20"/>
              <w:jc w:val="center"/>
              <w:rPr>
                <w:rFonts w:ascii="Times New Roman" w:hAnsi="Times New Roman" w:cs="Times New Roman"/>
              </w:rPr>
            </w:pPr>
            <w:r>
              <w:rPr>
                <w:rFonts w:ascii="Times New Roman" w:hAnsi="Times New Roman" w:eastAsia="Times New Roman" w:cs="Times New Roman"/>
                <w:sz w:val="20"/>
                <w:szCs w:val="20"/>
              </w:rPr>
              <w:t>ln_interval（打磨周期）</w:t>
            </w:r>
          </w:p>
        </w:tc>
        <w:tc>
          <w:tcPr>
            <w:tcW w:w="1445" w:type="dxa"/>
            <w:tcBorders>
              <w:top w:val="nil"/>
              <w:left w:val="nil"/>
              <w:bottom w:val="nil"/>
              <w:right w:val="nil"/>
            </w:tcBorders>
            <w:tcMar>
              <w:top w:w="0" w:type="dxa"/>
              <w:left w:w="0" w:type="dxa"/>
              <w:bottom w:w="0" w:type="dxa"/>
              <w:right w:w="0" w:type="dxa"/>
            </w:tcMar>
            <w:vAlign w:val="center"/>
          </w:tcPr>
          <w:p w14:paraId="2B11027C">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4EC227D6">
            <w:pPr>
              <w:spacing w:before="20" w:after="20"/>
              <w:jc w:val="center"/>
              <w:rPr>
                <w:rFonts w:ascii="Times New Roman" w:hAnsi="Times New Roman" w:cs="Times New Roman"/>
              </w:rPr>
            </w:pPr>
            <w:r>
              <w:rPr>
                <w:rFonts w:ascii="Times New Roman" w:hAnsi="Times New Roman" w:eastAsia="Times New Roman" w:cs="Times New Roman"/>
                <w:sz w:val="20"/>
                <w:szCs w:val="20"/>
              </w:rPr>
              <w:t>0.532*</w:t>
            </w:r>
          </w:p>
        </w:tc>
        <w:tc>
          <w:tcPr>
            <w:tcW w:w="1745" w:type="dxa"/>
            <w:tcBorders>
              <w:top w:val="nil"/>
              <w:left w:val="nil"/>
              <w:bottom w:val="nil"/>
              <w:right w:val="nil"/>
            </w:tcBorders>
            <w:tcMar>
              <w:top w:w="0" w:type="dxa"/>
              <w:left w:w="0" w:type="dxa"/>
              <w:bottom w:w="0" w:type="dxa"/>
              <w:right w:w="0" w:type="dxa"/>
            </w:tcMar>
            <w:vAlign w:val="center"/>
          </w:tcPr>
          <w:p w14:paraId="20A394E9">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5D894F36">
            <w:pPr>
              <w:spacing w:before="20" w:after="20"/>
              <w:jc w:val="center"/>
              <w:rPr>
                <w:rFonts w:ascii="Times New Roman" w:hAnsi="Times New Roman" w:cs="Times New Roman"/>
              </w:rPr>
            </w:pPr>
          </w:p>
        </w:tc>
      </w:tr>
      <w:tr w14:paraId="62F3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3A5077A6">
            <w:pPr>
              <w:spacing w:before="20" w:after="20"/>
              <w:jc w:val="center"/>
              <w:rPr>
                <w:rFonts w:ascii="Times New Roman" w:hAnsi="Times New Roman" w:cs="Times New Roman"/>
              </w:rPr>
            </w:pPr>
          </w:p>
        </w:tc>
        <w:tc>
          <w:tcPr>
            <w:tcW w:w="1445" w:type="dxa"/>
            <w:tcBorders>
              <w:top w:val="nil"/>
              <w:left w:val="nil"/>
              <w:bottom w:val="nil"/>
              <w:right w:val="nil"/>
            </w:tcBorders>
            <w:tcMar>
              <w:top w:w="0" w:type="dxa"/>
              <w:left w:w="0" w:type="dxa"/>
              <w:bottom w:w="0" w:type="dxa"/>
              <w:right w:w="0" w:type="dxa"/>
            </w:tcMar>
            <w:vAlign w:val="center"/>
          </w:tcPr>
          <w:p w14:paraId="1DB397B4">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75EEC8C0">
            <w:pPr>
              <w:spacing w:before="20" w:after="20"/>
              <w:jc w:val="center"/>
              <w:rPr>
                <w:rFonts w:ascii="Times New Roman" w:hAnsi="Times New Roman" w:cs="Times New Roman"/>
              </w:rPr>
            </w:pPr>
            <w:r>
              <w:rPr>
                <w:rFonts w:ascii="Times New Roman" w:hAnsi="Times New Roman" w:eastAsia="Times New Roman" w:cs="Times New Roman"/>
                <w:sz w:val="20"/>
                <w:szCs w:val="20"/>
              </w:rPr>
              <w:t>(1.959)</w:t>
            </w:r>
          </w:p>
        </w:tc>
        <w:tc>
          <w:tcPr>
            <w:tcW w:w="1745" w:type="dxa"/>
            <w:tcBorders>
              <w:top w:val="nil"/>
              <w:left w:val="nil"/>
              <w:bottom w:val="nil"/>
              <w:right w:val="nil"/>
            </w:tcBorders>
            <w:tcMar>
              <w:top w:w="0" w:type="dxa"/>
              <w:left w:w="0" w:type="dxa"/>
              <w:bottom w:w="0" w:type="dxa"/>
              <w:right w:w="0" w:type="dxa"/>
            </w:tcMar>
            <w:vAlign w:val="center"/>
          </w:tcPr>
          <w:p w14:paraId="44317295">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5B1EA90F">
            <w:pPr>
              <w:spacing w:before="20" w:after="20"/>
              <w:jc w:val="center"/>
              <w:rPr>
                <w:rFonts w:ascii="Times New Roman" w:hAnsi="Times New Roman" w:cs="Times New Roman"/>
              </w:rPr>
            </w:pPr>
          </w:p>
        </w:tc>
      </w:tr>
      <w:tr w14:paraId="0654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4A03BB54">
            <w:pPr>
              <w:spacing w:before="20" w:after="20"/>
              <w:jc w:val="center"/>
              <w:rPr>
                <w:rFonts w:ascii="Times New Roman" w:hAnsi="Times New Roman" w:cs="Times New Roman"/>
              </w:rPr>
            </w:pPr>
            <w:r>
              <w:rPr>
                <w:rFonts w:ascii="Times New Roman" w:hAnsi="Times New Roman" w:eastAsia="Times New Roman" w:cs="Times New Roman"/>
                <w:sz w:val="20"/>
                <w:szCs w:val="20"/>
              </w:rPr>
              <w:t>ln_comment（评论深度）</w:t>
            </w:r>
          </w:p>
        </w:tc>
        <w:tc>
          <w:tcPr>
            <w:tcW w:w="1445" w:type="dxa"/>
            <w:tcBorders>
              <w:top w:val="nil"/>
              <w:left w:val="nil"/>
              <w:bottom w:val="nil"/>
              <w:right w:val="nil"/>
            </w:tcBorders>
            <w:tcMar>
              <w:top w:w="0" w:type="dxa"/>
              <w:left w:w="0" w:type="dxa"/>
              <w:bottom w:w="0" w:type="dxa"/>
              <w:right w:w="0" w:type="dxa"/>
            </w:tcMar>
            <w:vAlign w:val="center"/>
          </w:tcPr>
          <w:p w14:paraId="734ED5CA">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5F6E4EB7">
            <w:pPr>
              <w:spacing w:before="20" w:after="20"/>
              <w:jc w:val="center"/>
              <w:rPr>
                <w:rFonts w:ascii="Times New Roman" w:hAnsi="Times New Roman" w:cs="Times New Roman"/>
              </w:rPr>
            </w:pPr>
          </w:p>
        </w:tc>
        <w:tc>
          <w:tcPr>
            <w:tcW w:w="1745" w:type="dxa"/>
            <w:tcBorders>
              <w:top w:val="nil"/>
              <w:left w:val="nil"/>
              <w:bottom w:val="nil"/>
              <w:right w:val="nil"/>
            </w:tcBorders>
            <w:tcMar>
              <w:top w:w="0" w:type="dxa"/>
              <w:left w:w="0" w:type="dxa"/>
              <w:bottom w:w="0" w:type="dxa"/>
              <w:right w:w="0" w:type="dxa"/>
            </w:tcMar>
            <w:vAlign w:val="center"/>
          </w:tcPr>
          <w:p w14:paraId="48FC7CBA">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079A6027">
            <w:pPr>
              <w:spacing w:before="20" w:after="20"/>
              <w:jc w:val="center"/>
              <w:rPr>
                <w:rFonts w:ascii="Times New Roman" w:hAnsi="Times New Roman" w:cs="Times New Roman"/>
              </w:rPr>
            </w:pPr>
            <w:r>
              <w:rPr>
                <w:rFonts w:ascii="Times New Roman" w:hAnsi="Times New Roman" w:eastAsia="Times New Roman" w:cs="Times New Roman"/>
                <w:sz w:val="20"/>
                <w:szCs w:val="20"/>
              </w:rPr>
              <w:t>2.582***</w:t>
            </w:r>
          </w:p>
        </w:tc>
      </w:tr>
      <w:tr w14:paraId="6FD6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58827639">
            <w:pPr>
              <w:spacing w:before="20" w:after="20"/>
              <w:jc w:val="center"/>
              <w:rPr>
                <w:rFonts w:ascii="Times New Roman" w:hAnsi="Times New Roman" w:cs="Times New Roman"/>
              </w:rPr>
            </w:pPr>
          </w:p>
        </w:tc>
        <w:tc>
          <w:tcPr>
            <w:tcW w:w="1445" w:type="dxa"/>
            <w:tcBorders>
              <w:top w:val="nil"/>
              <w:left w:val="nil"/>
              <w:bottom w:val="nil"/>
              <w:right w:val="nil"/>
            </w:tcBorders>
            <w:tcMar>
              <w:top w:w="0" w:type="dxa"/>
              <w:left w:w="0" w:type="dxa"/>
              <w:bottom w:w="0" w:type="dxa"/>
              <w:right w:w="0" w:type="dxa"/>
            </w:tcMar>
            <w:vAlign w:val="center"/>
          </w:tcPr>
          <w:p w14:paraId="0ADD2BFF">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65ADD500">
            <w:pPr>
              <w:spacing w:before="20" w:after="20"/>
              <w:jc w:val="center"/>
              <w:rPr>
                <w:rFonts w:ascii="Times New Roman" w:hAnsi="Times New Roman" w:cs="Times New Roman"/>
              </w:rPr>
            </w:pPr>
          </w:p>
        </w:tc>
        <w:tc>
          <w:tcPr>
            <w:tcW w:w="1745" w:type="dxa"/>
            <w:tcBorders>
              <w:top w:val="nil"/>
              <w:left w:val="nil"/>
              <w:bottom w:val="nil"/>
              <w:right w:val="nil"/>
            </w:tcBorders>
            <w:tcMar>
              <w:top w:w="0" w:type="dxa"/>
              <w:left w:w="0" w:type="dxa"/>
              <w:bottom w:w="0" w:type="dxa"/>
              <w:right w:w="0" w:type="dxa"/>
            </w:tcMar>
            <w:vAlign w:val="center"/>
          </w:tcPr>
          <w:p w14:paraId="36371514">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5AF8ECE9">
            <w:pPr>
              <w:spacing w:before="20" w:after="20"/>
              <w:jc w:val="center"/>
              <w:rPr>
                <w:rFonts w:ascii="Times New Roman" w:hAnsi="Times New Roman" w:cs="Times New Roman"/>
              </w:rPr>
            </w:pPr>
            <w:r>
              <w:rPr>
                <w:rFonts w:ascii="Times New Roman" w:hAnsi="Times New Roman" w:eastAsia="Times New Roman" w:cs="Times New Roman"/>
                <w:sz w:val="20"/>
                <w:szCs w:val="20"/>
              </w:rPr>
              <w:t>(8.131)</w:t>
            </w:r>
          </w:p>
        </w:tc>
      </w:tr>
      <w:tr w14:paraId="35A8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2A98FCFF">
            <w:pPr>
              <w:spacing w:before="20" w:after="20"/>
              <w:jc w:val="center"/>
              <w:rPr>
                <w:rFonts w:ascii="Times New Roman" w:hAnsi="Times New Roman" w:cs="Times New Roman"/>
              </w:rPr>
            </w:pPr>
            <w:r>
              <w:rPr>
                <w:rFonts w:ascii="Times New Roman" w:hAnsi="Times New Roman" w:eastAsia="Times New Roman" w:cs="Times New Roman"/>
                <w:sz w:val="20"/>
                <w:szCs w:val="20"/>
              </w:rPr>
              <w:t>L2_ln_like</w:t>
            </w:r>
          </w:p>
        </w:tc>
        <w:tc>
          <w:tcPr>
            <w:tcW w:w="1445" w:type="dxa"/>
            <w:tcBorders>
              <w:top w:val="nil"/>
              <w:left w:val="nil"/>
              <w:bottom w:val="nil"/>
              <w:right w:val="nil"/>
            </w:tcBorders>
            <w:tcMar>
              <w:top w:w="0" w:type="dxa"/>
              <w:left w:w="0" w:type="dxa"/>
              <w:bottom w:w="0" w:type="dxa"/>
              <w:right w:w="0" w:type="dxa"/>
            </w:tcMar>
            <w:vAlign w:val="center"/>
          </w:tcPr>
          <w:p w14:paraId="54705B2B">
            <w:pPr>
              <w:spacing w:before="20" w:after="20"/>
              <w:jc w:val="center"/>
              <w:rPr>
                <w:rFonts w:ascii="Times New Roman" w:hAnsi="Times New Roman" w:cs="Times New Roman"/>
              </w:rPr>
            </w:pPr>
            <w:r>
              <w:rPr>
                <w:rFonts w:ascii="Times New Roman" w:hAnsi="Times New Roman" w:eastAsia="Times New Roman" w:cs="Times New Roman"/>
                <w:sz w:val="20"/>
                <w:szCs w:val="20"/>
              </w:rPr>
              <w:t>-0.081***</w:t>
            </w:r>
          </w:p>
        </w:tc>
        <w:tc>
          <w:tcPr>
            <w:tcW w:w="1766" w:type="dxa"/>
            <w:tcBorders>
              <w:top w:val="nil"/>
              <w:left w:val="nil"/>
              <w:bottom w:val="nil"/>
              <w:right w:val="nil"/>
            </w:tcBorders>
            <w:tcMar>
              <w:top w:w="0" w:type="dxa"/>
              <w:left w:w="0" w:type="dxa"/>
              <w:bottom w:w="0" w:type="dxa"/>
              <w:right w:w="0" w:type="dxa"/>
            </w:tcMar>
            <w:vAlign w:val="center"/>
          </w:tcPr>
          <w:p w14:paraId="5EBCF040">
            <w:pPr>
              <w:spacing w:before="20" w:after="20"/>
              <w:jc w:val="center"/>
              <w:rPr>
                <w:rFonts w:ascii="Times New Roman" w:hAnsi="Times New Roman" w:cs="Times New Roman"/>
              </w:rPr>
            </w:pPr>
            <w:r>
              <w:rPr>
                <w:rFonts w:ascii="Times New Roman" w:hAnsi="Times New Roman" w:eastAsia="Times New Roman" w:cs="Times New Roman"/>
                <w:sz w:val="20"/>
                <w:szCs w:val="20"/>
              </w:rPr>
              <w:t>-0.046</w:t>
            </w:r>
          </w:p>
        </w:tc>
        <w:tc>
          <w:tcPr>
            <w:tcW w:w="1745" w:type="dxa"/>
            <w:tcBorders>
              <w:top w:val="nil"/>
              <w:left w:val="nil"/>
              <w:bottom w:val="nil"/>
              <w:right w:val="nil"/>
            </w:tcBorders>
            <w:tcMar>
              <w:top w:w="0" w:type="dxa"/>
              <w:left w:w="0" w:type="dxa"/>
              <w:bottom w:w="0" w:type="dxa"/>
              <w:right w:w="0" w:type="dxa"/>
            </w:tcMar>
            <w:vAlign w:val="center"/>
          </w:tcPr>
          <w:p w14:paraId="5392E2DB">
            <w:pPr>
              <w:spacing w:before="20" w:after="20"/>
              <w:jc w:val="center"/>
              <w:rPr>
                <w:rFonts w:ascii="Times New Roman" w:hAnsi="Times New Roman" w:cs="Times New Roman"/>
              </w:rPr>
            </w:pPr>
            <w:r>
              <w:rPr>
                <w:rFonts w:ascii="Times New Roman" w:hAnsi="Times New Roman" w:eastAsia="Times New Roman" w:cs="Times New Roman"/>
                <w:sz w:val="20"/>
                <w:szCs w:val="20"/>
              </w:rPr>
              <w:t>0.247***</w:t>
            </w:r>
          </w:p>
        </w:tc>
        <w:tc>
          <w:tcPr>
            <w:tcW w:w="2144" w:type="dxa"/>
            <w:tcBorders>
              <w:top w:val="nil"/>
              <w:left w:val="nil"/>
              <w:bottom w:val="nil"/>
              <w:right w:val="nil"/>
            </w:tcBorders>
            <w:tcMar>
              <w:top w:w="0" w:type="dxa"/>
              <w:left w:w="0" w:type="dxa"/>
              <w:bottom w:w="0" w:type="dxa"/>
              <w:right w:w="0" w:type="dxa"/>
            </w:tcMar>
            <w:vAlign w:val="center"/>
          </w:tcPr>
          <w:p w14:paraId="2DC19DB7">
            <w:pPr>
              <w:spacing w:before="20" w:after="20"/>
              <w:jc w:val="center"/>
              <w:rPr>
                <w:rFonts w:ascii="Times New Roman" w:hAnsi="Times New Roman" w:cs="Times New Roman"/>
              </w:rPr>
            </w:pPr>
            <w:r>
              <w:rPr>
                <w:rFonts w:ascii="Times New Roman" w:hAnsi="Times New Roman" w:eastAsia="Times New Roman" w:cs="Times New Roman"/>
                <w:sz w:val="20"/>
                <w:szCs w:val="20"/>
              </w:rPr>
              <w:t>-0.310</w:t>
            </w:r>
          </w:p>
        </w:tc>
      </w:tr>
      <w:tr w14:paraId="6AFD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69C73238">
            <w:pPr>
              <w:spacing w:before="20" w:after="20"/>
              <w:jc w:val="center"/>
              <w:rPr>
                <w:rFonts w:ascii="Times New Roman" w:hAnsi="Times New Roman" w:cs="Times New Roman"/>
              </w:rPr>
            </w:pPr>
          </w:p>
        </w:tc>
        <w:tc>
          <w:tcPr>
            <w:tcW w:w="1445" w:type="dxa"/>
            <w:tcBorders>
              <w:top w:val="nil"/>
              <w:left w:val="nil"/>
              <w:bottom w:val="nil"/>
              <w:right w:val="nil"/>
            </w:tcBorders>
            <w:tcMar>
              <w:top w:w="0" w:type="dxa"/>
              <w:left w:w="0" w:type="dxa"/>
              <w:bottom w:w="0" w:type="dxa"/>
              <w:right w:w="0" w:type="dxa"/>
            </w:tcMar>
            <w:vAlign w:val="center"/>
          </w:tcPr>
          <w:p w14:paraId="09E2ED26">
            <w:pPr>
              <w:spacing w:before="20" w:after="20"/>
              <w:jc w:val="center"/>
              <w:rPr>
                <w:rFonts w:ascii="Times New Roman" w:hAnsi="Times New Roman" w:cs="Times New Roman"/>
              </w:rPr>
            </w:pPr>
            <w:r>
              <w:rPr>
                <w:rFonts w:ascii="Times New Roman" w:hAnsi="Times New Roman" w:eastAsia="Times New Roman" w:cs="Times New Roman"/>
                <w:sz w:val="20"/>
                <w:szCs w:val="20"/>
              </w:rPr>
              <w:t>(-3.110)</w:t>
            </w:r>
          </w:p>
        </w:tc>
        <w:tc>
          <w:tcPr>
            <w:tcW w:w="1766" w:type="dxa"/>
            <w:tcBorders>
              <w:top w:val="nil"/>
              <w:left w:val="nil"/>
              <w:bottom w:val="nil"/>
              <w:right w:val="nil"/>
            </w:tcBorders>
            <w:tcMar>
              <w:top w:w="0" w:type="dxa"/>
              <w:left w:w="0" w:type="dxa"/>
              <w:bottom w:w="0" w:type="dxa"/>
              <w:right w:w="0" w:type="dxa"/>
            </w:tcMar>
            <w:vAlign w:val="center"/>
          </w:tcPr>
          <w:p w14:paraId="2DF26850">
            <w:pPr>
              <w:spacing w:before="20" w:after="20"/>
              <w:jc w:val="center"/>
              <w:rPr>
                <w:rFonts w:ascii="Times New Roman" w:hAnsi="Times New Roman" w:cs="Times New Roman"/>
              </w:rPr>
            </w:pPr>
            <w:r>
              <w:rPr>
                <w:rFonts w:ascii="Times New Roman" w:hAnsi="Times New Roman" w:eastAsia="Times New Roman" w:cs="Times New Roman"/>
                <w:sz w:val="20"/>
                <w:szCs w:val="20"/>
              </w:rPr>
              <w:t>(-0.188)</w:t>
            </w:r>
          </w:p>
        </w:tc>
        <w:tc>
          <w:tcPr>
            <w:tcW w:w="1745" w:type="dxa"/>
            <w:tcBorders>
              <w:top w:val="nil"/>
              <w:left w:val="nil"/>
              <w:bottom w:val="nil"/>
              <w:right w:val="nil"/>
            </w:tcBorders>
            <w:tcMar>
              <w:top w:w="0" w:type="dxa"/>
              <w:left w:w="0" w:type="dxa"/>
              <w:bottom w:w="0" w:type="dxa"/>
              <w:right w:w="0" w:type="dxa"/>
            </w:tcMar>
            <w:vAlign w:val="center"/>
          </w:tcPr>
          <w:p w14:paraId="424B3099">
            <w:pPr>
              <w:spacing w:before="20" w:after="20"/>
              <w:jc w:val="center"/>
              <w:rPr>
                <w:rFonts w:ascii="Times New Roman" w:hAnsi="Times New Roman" w:cs="Times New Roman"/>
              </w:rPr>
            </w:pPr>
            <w:r>
              <w:rPr>
                <w:rFonts w:ascii="Times New Roman" w:hAnsi="Times New Roman" w:eastAsia="Times New Roman" w:cs="Times New Roman"/>
                <w:sz w:val="20"/>
                <w:szCs w:val="20"/>
              </w:rPr>
              <w:t>(3.049)</w:t>
            </w:r>
          </w:p>
        </w:tc>
        <w:tc>
          <w:tcPr>
            <w:tcW w:w="2144" w:type="dxa"/>
            <w:tcBorders>
              <w:top w:val="nil"/>
              <w:left w:val="nil"/>
              <w:bottom w:val="nil"/>
              <w:right w:val="nil"/>
            </w:tcBorders>
            <w:tcMar>
              <w:top w:w="0" w:type="dxa"/>
              <w:left w:w="0" w:type="dxa"/>
              <w:bottom w:w="0" w:type="dxa"/>
              <w:right w:w="0" w:type="dxa"/>
            </w:tcMar>
            <w:vAlign w:val="center"/>
          </w:tcPr>
          <w:p w14:paraId="3A819F0F">
            <w:pPr>
              <w:spacing w:before="20" w:after="20"/>
              <w:jc w:val="center"/>
              <w:rPr>
                <w:rFonts w:ascii="Times New Roman" w:hAnsi="Times New Roman" w:cs="Times New Roman"/>
              </w:rPr>
            </w:pPr>
            <w:r>
              <w:rPr>
                <w:rFonts w:ascii="Times New Roman" w:hAnsi="Times New Roman" w:eastAsia="Times New Roman" w:cs="Times New Roman"/>
                <w:sz w:val="20"/>
                <w:szCs w:val="20"/>
              </w:rPr>
              <w:t>(-1.499)</w:t>
            </w:r>
          </w:p>
        </w:tc>
      </w:tr>
      <w:tr w14:paraId="0B3F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48776881">
            <w:pPr>
              <w:spacing w:before="20" w:after="20"/>
              <w:jc w:val="center"/>
              <w:rPr>
                <w:rFonts w:ascii="Times New Roman" w:hAnsi="Times New Roman" w:cs="Times New Roman"/>
              </w:rPr>
            </w:pPr>
            <w:r>
              <w:rPr>
                <w:rFonts w:ascii="Times New Roman" w:hAnsi="Times New Roman" w:eastAsia="Times New Roman" w:cs="Times New Roman"/>
                <w:sz w:val="20"/>
                <w:szCs w:val="20"/>
              </w:rPr>
              <w:t>ln_duration</w:t>
            </w:r>
          </w:p>
        </w:tc>
        <w:tc>
          <w:tcPr>
            <w:tcW w:w="1445" w:type="dxa"/>
            <w:tcBorders>
              <w:top w:val="nil"/>
              <w:left w:val="nil"/>
              <w:bottom w:val="nil"/>
              <w:right w:val="nil"/>
            </w:tcBorders>
            <w:tcMar>
              <w:top w:w="0" w:type="dxa"/>
              <w:left w:w="0" w:type="dxa"/>
              <w:bottom w:w="0" w:type="dxa"/>
              <w:right w:w="0" w:type="dxa"/>
            </w:tcMar>
            <w:vAlign w:val="center"/>
          </w:tcPr>
          <w:p w14:paraId="784D5637">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5C81508A">
            <w:pPr>
              <w:spacing w:before="20" w:after="20"/>
              <w:jc w:val="center"/>
              <w:rPr>
                <w:rFonts w:ascii="Times New Roman" w:hAnsi="Times New Roman" w:cs="Times New Roman"/>
              </w:rPr>
            </w:pPr>
            <w:r>
              <w:rPr>
                <w:rFonts w:ascii="Times New Roman" w:hAnsi="Times New Roman" w:eastAsia="Times New Roman" w:cs="Times New Roman"/>
                <w:sz w:val="20"/>
                <w:szCs w:val="20"/>
              </w:rPr>
              <w:t>4.522***</w:t>
            </w:r>
          </w:p>
        </w:tc>
        <w:tc>
          <w:tcPr>
            <w:tcW w:w="1745" w:type="dxa"/>
            <w:tcBorders>
              <w:top w:val="nil"/>
              <w:left w:val="nil"/>
              <w:bottom w:val="nil"/>
              <w:right w:val="nil"/>
            </w:tcBorders>
            <w:tcMar>
              <w:top w:w="0" w:type="dxa"/>
              <w:left w:w="0" w:type="dxa"/>
              <w:bottom w:w="0" w:type="dxa"/>
              <w:right w:w="0" w:type="dxa"/>
            </w:tcMar>
            <w:vAlign w:val="center"/>
          </w:tcPr>
          <w:p w14:paraId="14E60327">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44F4021A">
            <w:pPr>
              <w:spacing w:before="20" w:after="20"/>
              <w:jc w:val="center"/>
              <w:rPr>
                <w:rFonts w:ascii="Times New Roman" w:hAnsi="Times New Roman" w:cs="Times New Roman"/>
              </w:rPr>
            </w:pPr>
            <w:r>
              <w:rPr>
                <w:rFonts w:ascii="Times New Roman" w:hAnsi="Times New Roman" w:eastAsia="Times New Roman" w:cs="Times New Roman"/>
                <w:sz w:val="20"/>
                <w:szCs w:val="20"/>
              </w:rPr>
              <w:t>4.252***</w:t>
            </w:r>
          </w:p>
        </w:tc>
      </w:tr>
      <w:tr w14:paraId="4DA5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6343BB81">
            <w:pPr>
              <w:spacing w:before="20" w:after="20"/>
              <w:jc w:val="center"/>
              <w:rPr>
                <w:rFonts w:ascii="Times New Roman" w:hAnsi="Times New Roman" w:cs="Times New Roman"/>
              </w:rPr>
            </w:pPr>
          </w:p>
        </w:tc>
        <w:tc>
          <w:tcPr>
            <w:tcW w:w="1445" w:type="dxa"/>
            <w:tcBorders>
              <w:top w:val="nil"/>
              <w:left w:val="nil"/>
              <w:bottom w:val="nil"/>
              <w:right w:val="nil"/>
            </w:tcBorders>
            <w:tcMar>
              <w:top w:w="0" w:type="dxa"/>
              <w:left w:w="0" w:type="dxa"/>
              <w:bottom w:w="0" w:type="dxa"/>
              <w:right w:w="0" w:type="dxa"/>
            </w:tcMar>
            <w:vAlign w:val="center"/>
          </w:tcPr>
          <w:p w14:paraId="67EFEE62">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4220AA41">
            <w:pPr>
              <w:spacing w:before="20" w:after="20"/>
              <w:jc w:val="center"/>
              <w:rPr>
                <w:rFonts w:ascii="Times New Roman" w:hAnsi="Times New Roman" w:cs="Times New Roman"/>
              </w:rPr>
            </w:pPr>
            <w:r>
              <w:rPr>
                <w:rFonts w:ascii="Times New Roman" w:hAnsi="Times New Roman" w:eastAsia="Times New Roman" w:cs="Times New Roman"/>
                <w:sz w:val="20"/>
                <w:szCs w:val="20"/>
              </w:rPr>
              <w:t>(9.160)</w:t>
            </w:r>
          </w:p>
        </w:tc>
        <w:tc>
          <w:tcPr>
            <w:tcW w:w="1745" w:type="dxa"/>
            <w:tcBorders>
              <w:top w:val="nil"/>
              <w:left w:val="nil"/>
              <w:bottom w:val="nil"/>
              <w:right w:val="nil"/>
            </w:tcBorders>
            <w:tcMar>
              <w:top w:w="0" w:type="dxa"/>
              <w:left w:w="0" w:type="dxa"/>
              <w:bottom w:w="0" w:type="dxa"/>
              <w:right w:w="0" w:type="dxa"/>
            </w:tcMar>
            <w:vAlign w:val="center"/>
          </w:tcPr>
          <w:p w14:paraId="3B409924">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6A35582F">
            <w:pPr>
              <w:spacing w:before="20" w:after="20"/>
              <w:jc w:val="center"/>
              <w:rPr>
                <w:rFonts w:ascii="Times New Roman" w:hAnsi="Times New Roman" w:cs="Times New Roman"/>
              </w:rPr>
            </w:pPr>
            <w:r>
              <w:rPr>
                <w:rFonts w:ascii="Times New Roman" w:hAnsi="Times New Roman" w:eastAsia="Times New Roman" w:cs="Times New Roman"/>
                <w:sz w:val="20"/>
                <w:szCs w:val="20"/>
              </w:rPr>
              <w:t>(8.975)</w:t>
            </w:r>
          </w:p>
        </w:tc>
      </w:tr>
      <w:tr w14:paraId="08FA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48BABD47">
            <w:pPr>
              <w:spacing w:before="20" w:after="20"/>
              <w:jc w:val="center"/>
              <w:rPr>
                <w:rFonts w:ascii="Times New Roman" w:hAnsi="Times New Roman" w:cs="Times New Roman"/>
              </w:rPr>
            </w:pPr>
            <w:r>
              <w:rPr>
                <w:rFonts w:ascii="Times New Roman" w:hAnsi="Times New Roman" w:eastAsia="Times New Roman" w:cs="Times New Roman"/>
                <w:sz w:val="20"/>
                <w:szCs w:val="20"/>
              </w:rPr>
              <w:t>ln_view</w:t>
            </w:r>
          </w:p>
        </w:tc>
        <w:tc>
          <w:tcPr>
            <w:tcW w:w="1445" w:type="dxa"/>
            <w:tcBorders>
              <w:top w:val="nil"/>
              <w:left w:val="nil"/>
              <w:bottom w:val="nil"/>
              <w:right w:val="nil"/>
            </w:tcBorders>
            <w:tcMar>
              <w:top w:w="0" w:type="dxa"/>
              <w:left w:w="0" w:type="dxa"/>
              <w:bottom w:w="0" w:type="dxa"/>
              <w:right w:w="0" w:type="dxa"/>
            </w:tcMar>
            <w:vAlign w:val="center"/>
          </w:tcPr>
          <w:p w14:paraId="67BA677C">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28F85963">
            <w:pPr>
              <w:spacing w:before="20" w:after="20"/>
              <w:jc w:val="center"/>
              <w:rPr>
                <w:rFonts w:ascii="Times New Roman" w:hAnsi="Times New Roman" w:cs="Times New Roman"/>
              </w:rPr>
            </w:pPr>
            <w:r>
              <w:rPr>
                <w:rFonts w:ascii="Times New Roman" w:hAnsi="Times New Roman" w:eastAsia="Times New Roman" w:cs="Times New Roman"/>
                <w:sz w:val="20"/>
                <w:szCs w:val="20"/>
              </w:rPr>
              <w:t>-0.773***</w:t>
            </w:r>
          </w:p>
        </w:tc>
        <w:tc>
          <w:tcPr>
            <w:tcW w:w="1745" w:type="dxa"/>
            <w:tcBorders>
              <w:top w:val="nil"/>
              <w:left w:val="nil"/>
              <w:bottom w:val="nil"/>
              <w:right w:val="nil"/>
            </w:tcBorders>
            <w:tcMar>
              <w:top w:w="0" w:type="dxa"/>
              <w:left w:w="0" w:type="dxa"/>
              <w:bottom w:w="0" w:type="dxa"/>
              <w:right w:w="0" w:type="dxa"/>
            </w:tcMar>
            <w:vAlign w:val="center"/>
          </w:tcPr>
          <w:p w14:paraId="39ADE7B7">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0EED12E0">
            <w:pPr>
              <w:spacing w:before="20" w:after="20"/>
              <w:jc w:val="center"/>
              <w:rPr>
                <w:rFonts w:ascii="Times New Roman" w:hAnsi="Times New Roman" w:cs="Times New Roman"/>
              </w:rPr>
            </w:pPr>
            <w:r>
              <w:rPr>
                <w:rFonts w:ascii="Times New Roman" w:hAnsi="Times New Roman" w:eastAsia="Times New Roman" w:cs="Times New Roman"/>
                <w:sz w:val="20"/>
                <w:szCs w:val="20"/>
              </w:rPr>
              <w:t>-2.703***</w:t>
            </w:r>
          </w:p>
        </w:tc>
      </w:tr>
      <w:tr w14:paraId="411F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48997599">
            <w:pPr>
              <w:spacing w:before="20" w:after="20"/>
              <w:jc w:val="center"/>
              <w:rPr>
                <w:rFonts w:ascii="Times New Roman" w:hAnsi="Times New Roman" w:cs="Times New Roman"/>
              </w:rPr>
            </w:pPr>
          </w:p>
        </w:tc>
        <w:tc>
          <w:tcPr>
            <w:tcW w:w="1445" w:type="dxa"/>
            <w:tcBorders>
              <w:top w:val="nil"/>
              <w:left w:val="nil"/>
              <w:bottom w:val="nil"/>
              <w:right w:val="nil"/>
            </w:tcBorders>
            <w:tcMar>
              <w:top w:w="0" w:type="dxa"/>
              <w:left w:w="0" w:type="dxa"/>
              <w:bottom w:w="0" w:type="dxa"/>
              <w:right w:w="0" w:type="dxa"/>
            </w:tcMar>
            <w:vAlign w:val="center"/>
          </w:tcPr>
          <w:p w14:paraId="7D6C43ED">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0FDA8725">
            <w:pPr>
              <w:spacing w:before="20" w:after="20"/>
              <w:jc w:val="center"/>
              <w:rPr>
                <w:rFonts w:ascii="Times New Roman" w:hAnsi="Times New Roman" w:cs="Times New Roman"/>
              </w:rPr>
            </w:pPr>
            <w:r>
              <w:rPr>
                <w:rFonts w:ascii="Times New Roman" w:hAnsi="Times New Roman" w:eastAsia="Times New Roman" w:cs="Times New Roman"/>
                <w:sz w:val="20"/>
                <w:szCs w:val="20"/>
              </w:rPr>
              <w:t>(-2.807)</w:t>
            </w:r>
          </w:p>
        </w:tc>
        <w:tc>
          <w:tcPr>
            <w:tcW w:w="1745" w:type="dxa"/>
            <w:tcBorders>
              <w:top w:val="nil"/>
              <w:left w:val="nil"/>
              <w:bottom w:val="nil"/>
              <w:right w:val="nil"/>
            </w:tcBorders>
            <w:tcMar>
              <w:top w:w="0" w:type="dxa"/>
              <w:left w:w="0" w:type="dxa"/>
              <w:bottom w:w="0" w:type="dxa"/>
              <w:right w:w="0" w:type="dxa"/>
            </w:tcMar>
            <w:vAlign w:val="center"/>
          </w:tcPr>
          <w:p w14:paraId="489D43E3">
            <w:pPr>
              <w:spacing w:before="20" w:after="20"/>
              <w:jc w:val="center"/>
              <w:rPr>
                <w:rFonts w:ascii="Times New Roman" w:hAnsi="Times New Roman" w:cs="Times New Roman"/>
              </w:rPr>
            </w:pPr>
          </w:p>
        </w:tc>
        <w:tc>
          <w:tcPr>
            <w:tcW w:w="2144" w:type="dxa"/>
            <w:tcBorders>
              <w:top w:val="nil"/>
              <w:left w:val="nil"/>
              <w:bottom w:val="nil"/>
              <w:right w:val="nil"/>
            </w:tcBorders>
            <w:tcMar>
              <w:top w:w="0" w:type="dxa"/>
              <w:left w:w="0" w:type="dxa"/>
              <w:bottom w:w="0" w:type="dxa"/>
              <w:right w:w="0" w:type="dxa"/>
            </w:tcMar>
            <w:vAlign w:val="center"/>
          </w:tcPr>
          <w:p w14:paraId="6F7DE580">
            <w:pPr>
              <w:spacing w:before="20" w:after="20"/>
              <w:jc w:val="center"/>
              <w:rPr>
                <w:rFonts w:ascii="Times New Roman" w:hAnsi="Times New Roman" w:cs="Times New Roman"/>
              </w:rPr>
            </w:pPr>
            <w:r>
              <w:rPr>
                <w:rFonts w:ascii="Times New Roman" w:hAnsi="Times New Roman" w:eastAsia="Times New Roman" w:cs="Times New Roman"/>
                <w:sz w:val="20"/>
                <w:szCs w:val="20"/>
              </w:rPr>
              <w:t>(-7.086)</w:t>
            </w:r>
          </w:p>
        </w:tc>
      </w:tr>
      <w:tr w14:paraId="75B2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52A93DA3">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年份/月份固定效应</w:t>
            </w:r>
          </w:p>
        </w:tc>
        <w:tc>
          <w:tcPr>
            <w:tcW w:w="1445" w:type="dxa"/>
            <w:tcBorders>
              <w:top w:val="nil"/>
              <w:left w:val="nil"/>
              <w:bottom w:val="nil"/>
              <w:right w:val="nil"/>
            </w:tcBorders>
            <w:tcMar>
              <w:top w:w="0" w:type="dxa"/>
              <w:left w:w="0" w:type="dxa"/>
              <w:bottom w:w="0" w:type="dxa"/>
              <w:right w:w="0" w:type="dxa"/>
            </w:tcMar>
            <w:vAlign w:val="center"/>
          </w:tcPr>
          <w:p w14:paraId="085A81E0">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766" w:type="dxa"/>
            <w:tcBorders>
              <w:top w:val="nil"/>
              <w:left w:val="nil"/>
              <w:bottom w:val="nil"/>
              <w:right w:val="nil"/>
            </w:tcBorders>
            <w:tcMar>
              <w:top w:w="0" w:type="dxa"/>
              <w:left w:w="0" w:type="dxa"/>
              <w:bottom w:w="0" w:type="dxa"/>
              <w:right w:w="0" w:type="dxa"/>
            </w:tcMar>
            <w:vAlign w:val="center"/>
          </w:tcPr>
          <w:p w14:paraId="7ABC01FE">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745" w:type="dxa"/>
            <w:tcBorders>
              <w:top w:val="nil"/>
              <w:left w:val="nil"/>
              <w:bottom w:val="nil"/>
              <w:right w:val="nil"/>
            </w:tcBorders>
            <w:tcMar>
              <w:top w:w="0" w:type="dxa"/>
              <w:left w:w="0" w:type="dxa"/>
              <w:bottom w:w="0" w:type="dxa"/>
              <w:right w:w="0" w:type="dxa"/>
            </w:tcMar>
            <w:vAlign w:val="center"/>
          </w:tcPr>
          <w:p w14:paraId="1581DADB">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2144" w:type="dxa"/>
            <w:tcBorders>
              <w:top w:val="nil"/>
              <w:left w:val="nil"/>
              <w:bottom w:val="nil"/>
              <w:right w:val="nil"/>
            </w:tcBorders>
            <w:tcMar>
              <w:top w:w="0" w:type="dxa"/>
              <w:left w:w="0" w:type="dxa"/>
              <w:bottom w:w="0" w:type="dxa"/>
              <w:right w:w="0" w:type="dxa"/>
            </w:tcMar>
            <w:vAlign w:val="center"/>
          </w:tcPr>
          <w:p w14:paraId="15916E76">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382F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nil"/>
              <w:right w:val="nil"/>
            </w:tcBorders>
            <w:tcMar>
              <w:top w:w="0" w:type="dxa"/>
              <w:left w:w="0" w:type="dxa"/>
              <w:bottom w:w="0" w:type="dxa"/>
              <w:right w:w="0" w:type="dxa"/>
            </w:tcMar>
            <w:vAlign w:val="center"/>
          </w:tcPr>
          <w:p w14:paraId="43A5234E">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1445" w:type="dxa"/>
            <w:tcBorders>
              <w:top w:val="nil"/>
              <w:left w:val="nil"/>
              <w:bottom w:val="nil"/>
              <w:right w:val="nil"/>
            </w:tcBorders>
            <w:tcMar>
              <w:top w:w="0" w:type="dxa"/>
              <w:left w:w="0" w:type="dxa"/>
              <w:bottom w:w="0" w:type="dxa"/>
              <w:right w:w="0" w:type="dxa"/>
            </w:tcMar>
            <w:vAlign w:val="center"/>
          </w:tcPr>
          <w:p w14:paraId="781362CE">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766" w:type="dxa"/>
            <w:tcBorders>
              <w:top w:val="nil"/>
              <w:left w:val="nil"/>
              <w:bottom w:val="nil"/>
              <w:right w:val="nil"/>
            </w:tcBorders>
            <w:tcMar>
              <w:top w:w="0" w:type="dxa"/>
              <w:left w:w="0" w:type="dxa"/>
              <w:bottom w:w="0" w:type="dxa"/>
              <w:right w:w="0" w:type="dxa"/>
            </w:tcMar>
            <w:vAlign w:val="center"/>
          </w:tcPr>
          <w:p w14:paraId="49E8E20E">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745" w:type="dxa"/>
            <w:tcBorders>
              <w:top w:val="nil"/>
              <w:left w:val="nil"/>
              <w:bottom w:val="nil"/>
              <w:right w:val="nil"/>
            </w:tcBorders>
            <w:tcMar>
              <w:top w:w="0" w:type="dxa"/>
              <w:left w:w="0" w:type="dxa"/>
              <w:bottom w:w="0" w:type="dxa"/>
              <w:right w:w="0" w:type="dxa"/>
            </w:tcMar>
            <w:vAlign w:val="center"/>
          </w:tcPr>
          <w:p w14:paraId="4AD42163">
            <w:pPr>
              <w:spacing w:before="20" w:after="20"/>
              <w:jc w:val="center"/>
              <w:rPr>
                <w:rFonts w:ascii="Times New Roman" w:hAnsi="Times New Roman" w:cs="Times New Roman"/>
              </w:rPr>
            </w:pPr>
            <w:r>
              <w:rPr>
                <w:rFonts w:ascii="Times New Roman" w:hAnsi="Times New Roman" w:eastAsia="Times New Roman" w:cs="Times New Roman"/>
                <w:sz w:val="20"/>
                <w:szCs w:val="20"/>
              </w:rPr>
              <w:t>6,871</w:t>
            </w:r>
          </w:p>
        </w:tc>
        <w:tc>
          <w:tcPr>
            <w:tcW w:w="2144" w:type="dxa"/>
            <w:tcBorders>
              <w:top w:val="nil"/>
              <w:left w:val="nil"/>
              <w:bottom w:val="nil"/>
              <w:right w:val="nil"/>
            </w:tcBorders>
            <w:tcMar>
              <w:top w:w="0" w:type="dxa"/>
              <w:left w:w="0" w:type="dxa"/>
              <w:bottom w:w="0" w:type="dxa"/>
              <w:right w:w="0" w:type="dxa"/>
            </w:tcMar>
            <w:vAlign w:val="center"/>
          </w:tcPr>
          <w:p w14:paraId="3A7212D8">
            <w:pPr>
              <w:spacing w:before="20" w:after="20"/>
              <w:jc w:val="center"/>
              <w:rPr>
                <w:rFonts w:ascii="Times New Roman" w:hAnsi="Times New Roman" w:cs="Times New Roman"/>
              </w:rPr>
            </w:pPr>
            <w:r>
              <w:rPr>
                <w:rFonts w:ascii="Times New Roman" w:hAnsi="Times New Roman" w:eastAsia="Times New Roman" w:cs="Times New Roman"/>
                <w:sz w:val="20"/>
                <w:szCs w:val="20"/>
              </w:rPr>
              <w:t>6,871</w:t>
            </w:r>
          </w:p>
        </w:tc>
      </w:tr>
      <w:tr w14:paraId="58B6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6" w:type="dxa"/>
            <w:tcBorders>
              <w:top w:val="nil"/>
              <w:left w:val="nil"/>
              <w:bottom w:val="single" w:color="000000" w:sz="10" w:space="0"/>
              <w:right w:val="nil"/>
            </w:tcBorders>
            <w:tcMar>
              <w:top w:w="0" w:type="dxa"/>
              <w:left w:w="0" w:type="dxa"/>
              <w:bottom w:w="0" w:type="dxa"/>
              <w:right w:w="0" w:type="dxa"/>
            </w:tcMar>
            <w:vAlign w:val="center"/>
          </w:tcPr>
          <w:p w14:paraId="442C2D3E">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1445" w:type="dxa"/>
            <w:tcBorders>
              <w:top w:val="nil"/>
              <w:left w:val="nil"/>
              <w:bottom w:val="single" w:color="000000" w:sz="10" w:space="0"/>
              <w:right w:val="nil"/>
            </w:tcBorders>
            <w:tcMar>
              <w:top w:w="0" w:type="dxa"/>
              <w:left w:w="0" w:type="dxa"/>
              <w:bottom w:w="0" w:type="dxa"/>
              <w:right w:w="0" w:type="dxa"/>
            </w:tcMar>
            <w:vAlign w:val="center"/>
          </w:tcPr>
          <w:p w14:paraId="64DACBA0">
            <w:pPr>
              <w:spacing w:before="20" w:after="20"/>
              <w:jc w:val="center"/>
              <w:rPr>
                <w:rFonts w:ascii="Times New Roman" w:hAnsi="Times New Roman" w:cs="Times New Roman"/>
              </w:rPr>
            </w:pPr>
            <w:r>
              <w:rPr>
                <w:rFonts w:ascii="Times New Roman" w:hAnsi="Times New Roman" w:eastAsia="Times New Roman" w:cs="Times New Roman"/>
                <w:sz w:val="20"/>
                <w:szCs w:val="20"/>
              </w:rPr>
              <w:t>0.019</w:t>
            </w:r>
          </w:p>
        </w:tc>
        <w:tc>
          <w:tcPr>
            <w:tcW w:w="1766" w:type="dxa"/>
            <w:tcBorders>
              <w:top w:val="nil"/>
              <w:left w:val="nil"/>
              <w:bottom w:val="single" w:color="000000" w:sz="10" w:space="0"/>
              <w:right w:val="nil"/>
            </w:tcBorders>
            <w:tcMar>
              <w:top w:w="0" w:type="dxa"/>
              <w:left w:w="0" w:type="dxa"/>
              <w:bottom w:w="0" w:type="dxa"/>
              <w:right w:w="0" w:type="dxa"/>
            </w:tcMar>
            <w:vAlign w:val="center"/>
          </w:tcPr>
          <w:p w14:paraId="70F6BD2C">
            <w:pPr>
              <w:spacing w:before="20" w:after="20"/>
              <w:jc w:val="center"/>
              <w:rPr>
                <w:rFonts w:ascii="Times New Roman" w:hAnsi="Times New Roman" w:cs="Times New Roman"/>
              </w:rPr>
            </w:pPr>
            <w:r>
              <w:rPr>
                <w:rFonts w:ascii="Times New Roman" w:hAnsi="Times New Roman" w:eastAsia="Times New Roman" w:cs="Times New Roman"/>
                <w:sz w:val="20"/>
                <w:szCs w:val="20"/>
              </w:rPr>
              <w:t>0.157</w:t>
            </w:r>
          </w:p>
        </w:tc>
        <w:tc>
          <w:tcPr>
            <w:tcW w:w="1745" w:type="dxa"/>
            <w:tcBorders>
              <w:top w:val="nil"/>
              <w:left w:val="nil"/>
              <w:bottom w:val="single" w:color="000000" w:sz="10" w:space="0"/>
              <w:right w:val="nil"/>
            </w:tcBorders>
            <w:tcMar>
              <w:top w:w="0" w:type="dxa"/>
              <w:left w:w="0" w:type="dxa"/>
              <w:bottom w:w="0" w:type="dxa"/>
              <w:right w:w="0" w:type="dxa"/>
            </w:tcMar>
            <w:vAlign w:val="center"/>
          </w:tcPr>
          <w:p w14:paraId="3E8FFE18">
            <w:pPr>
              <w:spacing w:before="20" w:after="20"/>
              <w:jc w:val="center"/>
              <w:rPr>
                <w:rFonts w:ascii="Times New Roman" w:hAnsi="Times New Roman" w:cs="Times New Roman"/>
              </w:rPr>
            </w:pPr>
            <w:r>
              <w:rPr>
                <w:rFonts w:ascii="Times New Roman" w:hAnsi="Times New Roman" w:eastAsia="Times New Roman" w:cs="Times New Roman"/>
                <w:sz w:val="20"/>
                <w:szCs w:val="20"/>
              </w:rPr>
              <w:t>0.059</w:t>
            </w:r>
          </w:p>
        </w:tc>
        <w:tc>
          <w:tcPr>
            <w:tcW w:w="2144" w:type="dxa"/>
            <w:tcBorders>
              <w:top w:val="nil"/>
              <w:left w:val="nil"/>
              <w:bottom w:val="single" w:color="000000" w:sz="10" w:space="0"/>
              <w:right w:val="nil"/>
            </w:tcBorders>
            <w:tcMar>
              <w:top w:w="0" w:type="dxa"/>
              <w:left w:w="0" w:type="dxa"/>
              <w:bottom w:w="0" w:type="dxa"/>
              <w:right w:w="0" w:type="dxa"/>
            </w:tcMar>
            <w:vAlign w:val="center"/>
          </w:tcPr>
          <w:p w14:paraId="48D265D7">
            <w:pPr>
              <w:spacing w:before="20" w:after="20"/>
              <w:jc w:val="center"/>
              <w:rPr>
                <w:rFonts w:ascii="Times New Roman" w:hAnsi="Times New Roman" w:cs="Times New Roman"/>
              </w:rPr>
            </w:pPr>
            <w:r>
              <w:rPr>
                <w:rFonts w:ascii="Times New Roman" w:hAnsi="Times New Roman" w:eastAsia="Times New Roman" w:cs="Times New Roman"/>
                <w:sz w:val="20"/>
                <w:szCs w:val="20"/>
              </w:rPr>
              <w:t>0.227</w:t>
            </w:r>
          </w:p>
        </w:tc>
      </w:tr>
    </w:tbl>
    <w:p w14:paraId="2CC5CF22">
      <w:pPr>
        <w:spacing w:before="60" w:after="120"/>
        <w:jc w:val="left"/>
        <w:rPr>
          <w:rFonts w:ascii="Times New Roman" w:hAnsi="Times New Roman" w:cs="Times New Roman"/>
        </w:rPr>
      </w:pPr>
      <w:r>
        <w:rPr>
          <w:rFonts w:ascii="Times New Roman" w:hAnsi="Times New Roman" w:cs="Times New Roman"/>
          <w:sz w:val="18"/>
          <w:szCs w:val="18"/>
        </w:rPr>
        <w:t>注：括号内为聚类稳健t统计量。***p&lt;0.01，**p&lt;0.05，*p&lt;0.1。ln_interval=相邻视频发布间隔天数的对数值；</w:t>
      </w:r>
      <w:commentRangeStart w:id="15"/>
      <w:r>
        <w:rPr>
          <w:rFonts w:ascii="Times New Roman" w:hAnsi="Times New Roman" w:cs="Times New Roman"/>
          <w:sz w:val="18"/>
          <w:szCs w:val="18"/>
        </w:rPr>
        <w:t>ln_comment=视频评论数的对数值</w:t>
      </w:r>
      <w:commentRangeEnd w:id="15"/>
      <w:r>
        <w:rPr>
          <w:rStyle w:val="23"/>
        </w:rPr>
        <w:commentReference w:id="15"/>
      </w:r>
      <w:r>
        <w:rPr>
          <w:rFonts w:ascii="Times New Roman" w:hAnsi="Times New Roman" w:cs="Times New Roman"/>
          <w:sz w:val="18"/>
          <w:szCs w:val="18"/>
        </w:rPr>
        <w:t>。</w:t>
      </w:r>
    </w:p>
    <w:p w14:paraId="1C34F840">
      <w:pPr>
        <w:spacing w:before="200" w:after="100"/>
        <w:outlineLvl w:val="2"/>
        <w:rPr>
          <w:rFonts w:ascii="Times New Roman" w:hAnsi="Times New Roman" w:eastAsia="黑体" w:cs="Times New Roman"/>
          <w:b/>
          <w:bCs/>
        </w:rPr>
      </w:pPr>
      <w:bookmarkStart w:id="74" w:name="_Toc23712"/>
      <w:r>
        <w:rPr>
          <w:rFonts w:ascii="Times New Roman" w:hAnsi="Times New Roman" w:eastAsia="黑体" w:cs="Times New Roman"/>
          <w:b/>
          <w:bCs/>
        </w:rPr>
        <w:t>5.5.2  机制二：深度反馈机制（评论互动深度中介检验）</w:t>
      </w:r>
      <w:bookmarkEnd w:id="74"/>
    </w:p>
    <w:p w14:paraId="298FC38C">
      <w:pPr>
        <w:spacing w:line="288" w:lineRule="auto"/>
        <w:ind w:firstLine="480"/>
        <w:rPr>
          <w:rFonts w:ascii="Times New Roman" w:hAnsi="Times New Roman" w:cs="Times New Roman"/>
        </w:rPr>
      </w:pPr>
      <w:r>
        <w:rPr>
          <w:rFonts w:ascii="Times New Roman" w:hAnsi="Times New Roman" w:cs="Times New Roman"/>
        </w:rPr>
        <w:t>表9右侧两列报告了以评论互动深度（ln_comment，视频评论数对数值）为中介变量的检验结果。</w:t>
      </w:r>
    </w:p>
    <w:p w14:paraId="3E3D88BE">
      <w:pPr>
        <w:spacing w:line="288" w:lineRule="auto"/>
        <w:ind w:firstLine="480"/>
        <w:rPr>
          <w:rFonts w:ascii="Times New Roman" w:hAnsi="Times New Roman" w:cs="Times New Roman"/>
        </w:rPr>
      </w:pPr>
      <w:r>
        <w:rPr>
          <w:rFonts w:ascii="Times New Roman" w:hAnsi="Times New Roman" w:cs="Times New Roman"/>
        </w:rPr>
        <w:t>a路径检验显示：L2_ln_coin对ln_comment的系数为-0.014（t=-0.294），在统计上不显著，H3a未能得到数据支持。这一结果与理论预期存在偏差，值得深入讨论。可能的解释有以下几点：第一，B站的评论数量受到推荐算法与流量分发机制的强烈影响，播放量更大的视频天然获得更多评论机会，而投币行为对播放量的影响有限；第二，投币激励与评论深度之间的关系可能存在更长的时滞——观众的知识性评论往往在视频发布较长时间后才逐步沉淀，两期滞后的时间窗口对于识别这一路径可能不足；第三，B站知识区的评论区文化存在“高质量视频引发深度讨论、但低互动视频同样可能出现专业性评论”的异质性，使得投币→评论的a路径估计受到噪声干扰。</w:t>
      </w:r>
    </w:p>
    <w:p w14:paraId="40A0F854">
      <w:pPr>
        <w:spacing w:line="288" w:lineRule="auto"/>
        <w:ind w:firstLine="480"/>
        <w:rPr>
          <w:rFonts w:ascii="Times New Roman" w:hAnsi="Times New Roman" w:cs="Times New Roman"/>
        </w:rPr>
      </w:pPr>
      <w:r>
        <w:rPr>
          <w:rFonts w:ascii="Times New Roman" w:hAnsi="Times New Roman" w:cs="Times New Roman"/>
        </w:rPr>
        <w:t>尽管H3a的a路径未能成立，b/c'路径检验却呈现出高度显著的结果：ln_comment对Quality_Index的系数为2.582（t=8.131，p&lt;0.01），高度显著为正，说明评论互动越丰富的视频，其内容质量指数确实越高，H3b得到支持。同时，在控制评论互动后，L2_ln_coin的直接效应系数依然为0.786（t=4.881，p&lt;0.01），保持显著。ln_comment对Quality_Index的高度显著正效应，从另一个角度印证了本文内容质量指数的构建效度——能够激发深度评论互动的内容，确实在币播比和弹幕情感两个维度上呈现出更高的质量评分。</w:t>
      </w:r>
    </w:p>
    <w:p w14:paraId="07DAF6EB">
      <w:pPr>
        <w:spacing w:line="288" w:lineRule="auto"/>
        <w:ind w:firstLine="480"/>
        <w:rPr>
          <w:rFonts w:ascii="Times New Roman" w:hAnsi="Times New Roman" w:cs="Times New Roman"/>
        </w:rPr>
      </w:pPr>
      <w:r>
        <w:rPr>
          <w:rFonts w:ascii="Times New Roman" w:hAnsi="Times New Roman" w:cs="Times New Roman"/>
        </w:rPr>
        <w:t>综合来看，“投币→评论深度→内容质量”的完整中介链条因a路径不显著而未能完整成立，H3中关于深度反馈机制的中介假设得到部分支持。然而，评论互动深度本身对内容质量的强烈正向影响（H3b）是稳健的，表明在B站知识区场景下，观众与创作者之间通过评论区构建的深度互动，是内容质量评估的重要伴随特征，也是创作者获得内容改进信息的关键渠道。</w:t>
      </w:r>
    </w:p>
    <w:p w14:paraId="339DBD27">
      <w:pPr>
        <w:spacing w:before="200" w:after="100"/>
        <w:outlineLvl w:val="2"/>
        <w:rPr>
          <w:rFonts w:ascii="Times New Roman" w:hAnsi="Times New Roman" w:eastAsia="黑体" w:cs="Times New Roman"/>
          <w:b/>
          <w:bCs/>
        </w:rPr>
      </w:pPr>
      <w:bookmarkStart w:id="75" w:name="_Toc28825"/>
      <w:r>
        <w:rPr>
          <w:rFonts w:ascii="Times New Roman" w:hAnsi="Times New Roman" w:eastAsia="黑体" w:cs="Times New Roman"/>
          <w:b/>
          <w:bCs/>
        </w:rPr>
        <w:t>5.5.3  机制三：流量传播路径证伪检验</w:t>
      </w:r>
      <w:bookmarkEnd w:id="75"/>
    </w:p>
    <w:p w14:paraId="61C6C62D">
      <w:pPr>
        <w:spacing w:line="288" w:lineRule="auto"/>
        <w:ind w:firstLine="480"/>
        <w:rPr>
          <w:rFonts w:ascii="Times New Roman" w:hAnsi="Times New Roman" w:cs="Times New Roman"/>
        </w:rPr>
      </w:pPr>
      <w:r>
        <w:rPr>
          <w:rFonts w:ascii="Times New Roman" w:hAnsi="Times New Roman" w:cs="Times New Roman"/>
        </w:rPr>
        <w:t>本节检验投币激励是否通过流量传播路径（以分享数ln_share为代理）作用于内容质量，以验证H4。H4的理论预期是：投币本质上是价值信号而非流量信号，因此分享传播路径对内容质量的中介效应不成立。表10报告了相应检验结果。</w:t>
      </w:r>
    </w:p>
    <w:p w14:paraId="7F68476D">
      <w:pPr>
        <w:spacing w:line="288" w:lineRule="auto"/>
        <w:ind w:firstLine="480"/>
        <w:rPr>
          <w:rFonts w:ascii="Times New Roman" w:hAnsi="Times New Roman" w:cs="Times New Roman"/>
        </w:rPr>
      </w:pPr>
      <w:r>
        <w:rPr>
          <w:rFonts w:ascii="Times New Roman" w:hAnsi="Times New Roman" w:cs="Times New Roman"/>
        </w:rPr>
        <w:t>a路径检验显示：L2_ln_coin对ln_share的系数为0.010（t=0.208），完全不显著，表明视频前期获得的投币量对其分享数没有显著影响，H4的a路径成立（即投币不是流量信号）。这一结果的内在逻辑清晰：分享行为的动机主要受内容的传播属性（趣味性、话题性、信息新奇性）驱动，与观众对内容深度价值的认同程度关联有限；投币行为则高度集中于内容价值认可，二者在行为动机上存在本质差异，因此投币的增加并不能拉动分享量的显著提升。</w:t>
      </w:r>
    </w:p>
    <w:p w14:paraId="7B57FD30">
      <w:pPr>
        <w:spacing w:line="288" w:lineRule="auto"/>
        <w:ind w:firstLine="480"/>
        <w:rPr>
          <w:rFonts w:ascii="Times New Roman" w:hAnsi="Times New Roman" w:cs="Times New Roman"/>
        </w:rPr>
      </w:pPr>
      <w:r>
        <w:rPr>
          <w:rFonts w:ascii="Times New Roman" w:hAnsi="Times New Roman" w:cs="Times New Roman"/>
        </w:rPr>
        <w:t>在b/c'路径检验（第二列）中，ln_share对Quality_Index的系数为3.414（t=9.726，p&lt;0.01），高度显著为正。这一结果乍看与H4的“流量信号无效”假说存在矛盾，但需注意：b路径显著的前提是a路径存在，即中介效应需要“投币→分享→质量”的完整传导链条才能成立。由于a路径不显著（投币不增加分享量），流量传播并不构成投币激励作用于内容质量的有效中介路径，H4得到支持。ln_share对Quality_Index的正相关关系，更可能反映的是“高质量内容天然引发更多传播”的质量→传播方向的影响，而非传播→质量的激励逻辑。同时，加入ln_share后L2_ln_coin的直接效应系数为0.725（t=4.015，p&lt;0.01），依然高度显著，进一步证实了投币激励效应的稳健性不受分享渠道影响。</w:t>
      </w:r>
    </w:p>
    <w:p w14:paraId="5E32D040">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t xml:space="preserve"> 流量传播路径证伪检验结果</w:t>
      </w:r>
    </w:p>
    <w:tbl>
      <w:tblPr>
        <w:tblStyle w:val="19"/>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700"/>
        <w:gridCol w:w="3677"/>
      </w:tblGrid>
      <w:tr w14:paraId="6679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03807F29">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2700"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E53B28D">
            <w:pPr>
              <w:spacing w:before="20" w:after="20"/>
              <w:jc w:val="center"/>
              <w:rPr>
                <w:rFonts w:ascii="Times New Roman" w:hAnsi="Times New Roman" w:cs="Times New Roman"/>
              </w:rPr>
            </w:pPr>
            <w:r>
              <w:rPr>
                <w:rFonts w:ascii="Times New Roman" w:hAnsi="Times New Roman" w:eastAsia="Times New Roman" w:cs="Times New Roman"/>
                <w:b/>
                <w:bCs/>
                <w:sz w:val="20"/>
                <w:szCs w:val="20"/>
              </w:rPr>
              <w:t>a路径（ln_share）</w:t>
            </w:r>
          </w:p>
        </w:tc>
        <w:tc>
          <w:tcPr>
            <w:tcW w:w="3677" w:type="dxa"/>
            <w:tcBorders>
              <w:top w:val="single" w:color="000000" w:sz="10" w:space="0"/>
              <w:left w:val="nil"/>
              <w:bottom w:val="single" w:color="000000" w:sz="10" w:space="0"/>
              <w:right w:val="nil"/>
            </w:tcBorders>
            <w:tcMar>
              <w:top w:w="0" w:type="dxa"/>
              <w:left w:w="0" w:type="dxa"/>
              <w:bottom w:w="0" w:type="dxa"/>
              <w:right w:w="0" w:type="dxa"/>
            </w:tcMar>
            <w:vAlign w:val="center"/>
          </w:tcPr>
          <w:p w14:paraId="01E967F1">
            <w:pPr>
              <w:spacing w:before="20" w:after="20"/>
              <w:jc w:val="center"/>
              <w:rPr>
                <w:rFonts w:ascii="Times New Roman" w:hAnsi="Times New Roman" w:cs="Times New Roman"/>
              </w:rPr>
            </w:pPr>
            <w:r>
              <w:rPr>
                <w:rFonts w:ascii="Times New Roman" w:hAnsi="Times New Roman" w:eastAsia="Times New Roman" w:cs="Times New Roman"/>
                <w:b/>
                <w:bCs/>
                <w:sz w:val="20"/>
                <w:szCs w:val="20"/>
              </w:rPr>
              <w:t>b/c'路径（Quality_Index）</w:t>
            </w:r>
          </w:p>
        </w:tc>
      </w:tr>
      <w:tr w14:paraId="2480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20EB6C62">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w:t>
            </w:r>
          </w:p>
        </w:tc>
        <w:tc>
          <w:tcPr>
            <w:tcW w:w="2700" w:type="dxa"/>
            <w:tcBorders>
              <w:top w:val="nil"/>
              <w:left w:val="nil"/>
              <w:bottom w:val="nil"/>
              <w:right w:val="nil"/>
            </w:tcBorders>
            <w:tcMar>
              <w:top w:w="0" w:type="dxa"/>
              <w:left w:w="0" w:type="dxa"/>
              <w:bottom w:w="0" w:type="dxa"/>
              <w:right w:w="0" w:type="dxa"/>
            </w:tcMar>
            <w:vAlign w:val="center"/>
          </w:tcPr>
          <w:p w14:paraId="6B727925">
            <w:pPr>
              <w:spacing w:before="20" w:after="20"/>
              <w:jc w:val="center"/>
              <w:rPr>
                <w:rFonts w:ascii="Times New Roman" w:hAnsi="Times New Roman" w:cs="Times New Roman"/>
              </w:rPr>
            </w:pPr>
            <w:r>
              <w:rPr>
                <w:rFonts w:ascii="Times New Roman" w:hAnsi="Times New Roman" w:eastAsia="Times New Roman" w:cs="Times New Roman"/>
                <w:sz w:val="20"/>
                <w:szCs w:val="20"/>
              </w:rPr>
              <w:t>0.010</w:t>
            </w:r>
          </w:p>
        </w:tc>
        <w:tc>
          <w:tcPr>
            <w:tcW w:w="3677" w:type="dxa"/>
            <w:tcBorders>
              <w:top w:val="nil"/>
              <w:left w:val="nil"/>
              <w:bottom w:val="nil"/>
              <w:right w:val="nil"/>
            </w:tcBorders>
            <w:tcMar>
              <w:top w:w="0" w:type="dxa"/>
              <w:left w:w="0" w:type="dxa"/>
              <w:bottom w:w="0" w:type="dxa"/>
              <w:right w:w="0" w:type="dxa"/>
            </w:tcMar>
            <w:vAlign w:val="center"/>
          </w:tcPr>
          <w:p w14:paraId="1B46F38B">
            <w:pPr>
              <w:spacing w:before="20" w:after="20"/>
              <w:jc w:val="center"/>
              <w:rPr>
                <w:rFonts w:ascii="Times New Roman" w:hAnsi="Times New Roman" w:cs="Times New Roman"/>
              </w:rPr>
            </w:pPr>
            <w:r>
              <w:rPr>
                <w:rFonts w:ascii="Times New Roman" w:hAnsi="Times New Roman" w:eastAsia="Times New Roman" w:cs="Times New Roman"/>
                <w:sz w:val="20"/>
                <w:szCs w:val="20"/>
              </w:rPr>
              <w:t>0.725***</w:t>
            </w:r>
          </w:p>
        </w:tc>
      </w:tr>
      <w:tr w14:paraId="0F20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25A62F8D">
            <w:pPr>
              <w:spacing w:before="20" w:after="20"/>
              <w:jc w:val="center"/>
              <w:rPr>
                <w:rFonts w:ascii="Times New Roman" w:hAnsi="Times New Roman" w:cs="Times New Roman"/>
              </w:rPr>
            </w:pPr>
          </w:p>
        </w:tc>
        <w:tc>
          <w:tcPr>
            <w:tcW w:w="2700" w:type="dxa"/>
            <w:tcBorders>
              <w:top w:val="nil"/>
              <w:left w:val="nil"/>
              <w:bottom w:val="nil"/>
              <w:right w:val="nil"/>
            </w:tcBorders>
            <w:tcMar>
              <w:top w:w="0" w:type="dxa"/>
              <w:left w:w="0" w:type="dxa"/>
              <w:bottom w:w="0" w:type="dxa"/>
              <w:right w:w="0" w:type="dxa"/>
            </w:tcMar>
            <w:vAlign w:val="center"/>
          </w:tcPr>
          <w:p w14:paraId="1F62FD41">
            <w:pPr>
              <w:spacing w:before="20" w:after="20"/>
              <w:jc w:val="center"/>
              <w:rPr>
                <w:rFonts w:ascii="Times New Roman" w:hAnsi="Times New Roman" w:cs="Times New Roman"/>
              </w:rPr>
            </w:pPr>
            <w:r>
              <w:rPr>
                <w:rFonts w:ascii="Times New Roman" w:hAnsi="Times New Roman" w:eastAsia="Times New Roman" w:cs="Times New Roman"/>
                <w:sz w:val="20"/>
                <w:szCs w:val="20"/>
              </w:rPr>
              <w:t>(0.208)</w:t>
            </w:r>
          </w:p>
        </w:tc>
        <w:tc>
          <w:tcPr>
            <w:tcW w:w="3677" w:type="dxa"/>
            <w:tcBorders>
              <w:top w:val="nil"/>
              <w:left w:val="nil"/>
              <w:bottom w:val="nil"/>
              <w:right w:val="nil"/>
            </w:tcBorders>
            <w:tcMar>
              <w:top w:w="0" w:type="dxa"/>
              <w:left w:w="0" w:type="dxa"/>
              <w:bottom w:w="0" w:type="dxa"/>
              <w:right w:w="0" w:type="dxa"/>
            </w:tcMar>
            <w:vAlign w:val="center"/>
          </w:tcPr>
          <w:p w14:paraId="44E16313">
            <w:pPr>
              <w:spacing w:before="20" w:after="20"/>
              <w:jc w:val="center"/>
              <w:rPr>
                <w:rFonts w:ascii="Times New Roman" w:hAnsi="Times New Roman" w:cs="Times New Roman"/>
              </w:rPr>
            </w:pPr>
            <w:r>
              <w:rPr>
                <w:rFonts w:ascii="Times New Roman" w:hAnsi="Times New Roman" w:eastAsia="Times New Roman" w:cs="Times New Roman"/>
                <w:sz w:val="20"/>
                <w:szCs w:val="20"/>
              </w:rPr>
              <w:t>(4.015)</w:t>
            </w:r>
          </w:p>
        </w:tc>
      </w:tr>
      <w:tr w14:paraId="2F0C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71055B14">
            <w:pPr>
              <w:spacing w:before="20" w:after="20"/>
              <w:jc w:val="center"/>
              <w:rPr>
                <w:rFonts w:ascii="Times New Roman" w:hAnsi="Times New Roman" w:cs="Times New Roman"/>
              </w:rPr>
            </w:pPr>
            <w:r>
              <w:rPr>
                <w:rFonts w:ascii="Times New Roman" w:hAnsi="Times New Roman" w:eastAsia="Times New Roman" w:cs="Times New Roman"/>
                <w:sz w:val="20"/>
                <w:szCs w:val="20"/>
              </w:rPr>
              <w:t>ln_share（分享数对数）</w:t>
            </w:r>
          </w:p>
        </w:tc>
        <w:tc>
          <w:tcPr>
            <w:tcW w:w="2700" w:type="dxa"/>
            <w:tcBorders>
              <w:top w:val="nil"/>
              <w:left w:val="nil"/>
              <w:bottom w:val="nil"/>
              <w:right w:val="nil"/>
            </w:tcBorders>
            <w:tcMar>
              <w:top w:w="0" w:type="dxa"/>
              <w:left w:w="0" w:type="dxa"/>
              <w:bottom w:w="0" w:type="dxa"/>
              <w:right w:w="0" w:type="dxa"/>
            </w:tcMar>
            <w:vAlign w:val="center"/>
          </w:tcPr>
          <w:p w14:paraId="56A43951">
            <w:pPr>
              <w:spacing w:before="20" w:after="20"/>
              <w:jc w:val="center"/>
              <w:rPr>
                <w:rFonts w:ascii="Times New Roman" w:hAnsi="Times New Roman" w:cs="Times New Roman"/>
              </w:rPr>
            </w:pPr>
          </w:p>
        </w:tc>
        <w:tc>
          <w:tcPr>
            <w:tcW w:w="3677" w:type="dxa"/>
            <w:tcBorders>
              <w:top w:val="nil"/>
              <w:left w:val="nil"/>
              <w:bottom w:val="nil"/>
              <w:right w:val="nil"/>
            </w:tcBorders>
            <w:tcMar>
              <w:top w:w="0" w:type="dxa"/>
              <w:left w:w="0" w:type="dxa"/>
              <w:bottom w:w="0" w:type="dxa"/>
              <w:right w:w="0" w:type="dxa"/>
            </w:tcMar>
            <w:vAlign w:val="center"/>
          </w:tcPr>
          <w:p w14:paraId="3299F13B">
            <w:pPr>
              <w:spacing w:before="20" w:after="20"/>
              <w:jc w:val="center"/>
              <w:rPr>
                <w:rFonts w:ascii="Times New Roman" w:hAnsi="Times New Roman" w:cs="Times New Roman"/>
              </w:rPr>
            </w:pPr>
            <w:r>
              <w:rPr>
                <w:rFonts w:ascii="Times New Roman" w:hAnsi="Times New Roman" w:eastAsia="Times New Roman" w:cs="Times New Roman"/>
                <w:sz w:val="20"/>
                <w:szCs w:val="20"/>
              </w:rPr>
              <w:t>3.414***</w:t>
            </w:r>
          </w:p>
        </w:tc>
      </w:tr>
      <w:tr w14:paraId="32C1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401979D4">
            <w:pPr>
              <w:spacing w:before="20" w:after="20"/>
              <w:jc w:val="center"/>
              <w:rPr>
                <w:rFonts w:ascii="Times New Roman" w:hAnsi="Times New Roman" w:cs="Times New Roman"/>
              </w:rPr>
            </w:pPr>
          </w:p>
        </w:tc>
        <w:tc>
          <w:tcPr>
            <w:tcW w:w="2700" w:type="dxa"/>
            <w:tcBorders>
              <w:top w:val="nil"/>
              <w:left w:val="nil"/>
              <w:bottom w:val="nil"/>
              <w:right w:val="nil"/>
            </w:tcBorders>
            <w:tcMar>
              <w:top w:w="0" w:type="dxa"/>
              <w:left w:w="0" w:type="dxa"/>
              <w:bottom w:w="0" w:type="dxa"/>
              <w:right w:w="0" w:type="dxa"/>
            </w:tcMar>
            <w:vAlign w:val="center"/>
          </w:tcPr>
          <w:p w14:paraId="1CBDB96C">
            <w:pPr>
              <w:spacing w:before="20" w:after="20"/>
              <w:jc w:val="center"/>
              <w:rPr>
                <w:rFonts w:ascii="Times New Roman" w:hAnsi="Times New Roman" w:cs="Times New Roman"/>
              </w:rPr>
            </w:pPr>
          </w:p>
        </w:tc>
        <w:tc>
          <w:tcPr>
            <w:tcW w:w="3677" w:type="dxa"/>
            <w:tcBorders>
              <w:top w:val="nil"/>
              <w:left w:val="nil"/>
              <w:bottom w:val="nil"/>
              <w:right w:val="nil"/>
            </w:tcBorders>
            <w:tcMar>
              <w:top w:w="0" w:type="dxa"/>
              <w:left w:w="0" w:type="dxa"/>
              <w:bottom w:w="0" w:type="dxa"/>
              <w:right w:w="0" w:type="dxa"/>
            </w:tcMar>
            <w:vAlign w:val="center"/>
          </w:tcPr>
          <w:p w14:paraId="265A75B1">
            <w:pPr>
              <w:spacing w:before="20" w:after="20"/>
              <w:jc w:val="center"/>
              <w:rPr>
                <w:rFonts w:ascii="Times New Roman" w:hAnsi="Times New Roman" w:cs="Times New Roman"/>
              </w:rPr>
            </w:pPr>
            <w:r>
              <w:rPr>
                <w:rFonts w:ascii="Times New Roman" w:hAnsi="Times New Roman" w:eastAsia="Times New Roman" w:cs="Times New Roman"/>
                <w:sz w:val="20"/>
                <w:szCs w:val="20"/>
              </w:rPr>
              <w:t>(9.726)</w:t>
            </w:r>
          </w:p>
        </w:tc>
      </w:tr>
      <w:tr w14:paraId="344E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6EC7DBB6">
            <w:pPr>
              <w:spacing w:before="20" w:after="20"/>
              <w:jc w:val="center"/>
              <w:rPr>
                <w:rFonts w:ascii="Times New Roman" w:hAnsi="Times New Roman" w:cs="Times New Roman"/>
              </w:rPr>
            </w:pPr>
            <w:r>
              <w:rPr>
                <w:rFonts w:ascii="Times New Roman" w:hAnsi="Times New Roman" w:eastAsia="Times New Roman" w:cs="Times New Roman"/>
                <w:sz w:val="20"/>
                <w:szCs w:val="20"/>
              </w:rPr>
              <w:t>L2_ln_like</w:t>
            </w:r>
          </w:p>
        </w:tc>
        <w:tc>
          <w:tcPr>
            <w:tcW w:w="2700" w:type="dxa"/>
            <w:tcBorders>
              <w:top w:val="nil"/>
              <w:left w:val="nil"/>
              <w:bottom w:val="nil"/>
              <w:right w:val="nil"/>
            </w:tcBorders>
            <w:tcMar>
              <w:top w:w="0" w:type="dxa"/>
              <w:left w:w="0" w:type="dxa"/>
              <w:bottom w:w="0" w:type="dxa"/>
              <w:right w:w="0" w:type="dxa"/>
            </w:tcMar>
            <w:vAlign w:val="center"/>
          </w:tcPr>
          <w:p w14:paraId="6B4E23EB">
            <w:pPr>
              <w:spacing w:before="20" w:after="20"/>
              <w:jc w:val="center"/>
              <w:rPr>
                <w:rFonts w:ascii="Times New Roman" w:hAnsi="Times New Roman" w:cs="Times New Roman"/>
              </w:rPr>
            </w:pPr>
            <w:r>
              <w:rPr>
                <w:rFonts w:ascii="Times New Roman" w:hAnsi="Times New Roman" w:eastAsia="Times New Roman" w:cs="Times New Roman"/>
                <w:sz w:val="20"/>
                <w:szCs w:val="20"/>
              </w:rPr>
              <w:t>0.221***</w:t>
            </w:r>
          </w:p>
        </w:tc>
        <w:tc>
          <w:tcPr>
            <w:tcW w:w="3677" w:type="dxa"/>
            <w:tcBorders>
              <w:top w:val="nil"/>
              <w:left w:val="nil"/>
              <w:bottom w:val="nil"/>
              <w:right w:val="nil"/>
            </w:tcBorders>
            <w:tcMar>
              <w:top w:w="0" w:type="dxa"/>
              <w:left w:w="0" w:type="dxa"/>
              <w:bottom w:w="0" w:type="dxa"/>
              <w:right w:w="0" w:type="dxa"/>
            </w:tcMar>
            <w:vAlign w:val="center"/>
          </w:tcPr>
          <w:p w14:paraId="68816BD8">
            <w:pPr>
              <w:spacing w:before="20" w:after="20"/>
              <w:jc w:val="center"/>
              <w:rPr>
                <w:rFonts w:ascii="Times New Roman" w:hAnsi="Times New Roman" w:cs="Times New Roman"/>
              </w:rPr>
            </w:pPr>
            <w:r>
              <w:rPr>
                <w:rFonts w:ascii="Times New Roman" w:hAnsi="Times New Roman" w:eastAsia="Times New Roman" w:cs="Times New Roman"/>
                <w:sz w:val="20"/>
                <w:szCs w:val="20"/>
              </w:rPr>
              <w:t>-0.262</w:t>
            </w:r>
          </w:p>
        </w:tc>
      </w:tr>
      <w:tr w14:paraId="571E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65C96569">
            <w:pPr>
              <w:spacing w:before="20" w:after="20"/>
              <w:jc w:val="center"/>
              <w:rPr>
                <w:rFonts w:ascii="Times New Roman" w:hAnsi="Times New Roman" w:cs="Times New Roman"/>
              </w:rPr>
            </w:pPr>
          </w:p>
        </w:tc>
        <w:tc>
          <w:tcPr>
            <w:tcW w:w="2700" w:type="dxa"/>
            <w:tcBorders>
              <w:top w:val="nil"/>
              <w:left w:val="nil"/>
              <w:bottom w:val="nil"/>
              <w:right w:val="nil"/>
            </w:tcBorders>
            <w:tcMar>
              <w:top w:w="0" w:type="dxa"/>
              <w:left w:w="0" w:type="dxa"/>
              <w:bottom w:w="0" w:type="dxa"/>
              <w:right w:w="0" w:type="dxa"/>
            </w:tcMar>
            <w:vAlign w:val="center"/>
          </w:tcPr>
          <w:p w14:paraId="76D6F0E6">
            <w:pPr>
              <w:spacing w:before="20" w:after="20"/>
              <w:jc w:val="center"/>
              <w:rPr>
                <w:rFonts w:ascii="Times New Roman" w:hAnsi="Times New Roman" w:cs="Times New Roman"/>
              </w:rPr>
            </w:pPr>
            <w:r>
              <w:rPr>
                <w:rFonts w:ascii="Times New Roman" w:hAnsi="Times New Roman" w:eastAsia="Times New Roman" w:cs="Times New Roman"/>
                <w:sz w:val="20"/>
                <w:szCs w:val="20"/>
              </w:rPr>
              <w:t>(2.942)</w:t>
            </w:r>
          </w:p>
        </w:tc>
        <w:tc>
          <w:tcPr>
            <w:tcW w:w="3677" w:type="dxa"/>
            <w:tcBorders>
              <w:top w:val="nil"/>
              <w:left w:val="nil"/>
              <w:bottom w:val="nil"/>
              <w:right w:val="nil"/>
            </w:tcBorders>
            <w:tcMar>
              <w:top w:w="0" w:type="dxa"/>
              <w:left w:w="0" w:type="dxa"/>
              <w:bottom w:w="0" w:type="dxa"/>
              <w:right w:w="0" w:type="dxa"/>
            </w:tcMar>
            <w:vAlign w:val="center"/>
          </w:tcPr>
          <w:p w14:paraId="0E8AAB36">
            <w:pPr>
              <w:spacing w:before="20" w:after="20"/>
              <w:jc w:val="center"/>
              <w:rPr>
                <w:rFonts w:ascii="Times New Roman" w:hAnsi="Times New Roman" w:cs="Times New Roman"/>
              </w:rPr>
            </w:pPr>
            <w:r>
              <w:rPr>
                <w:rFonts w:ascii="Times New Roman" w:hAnsi="Times New Roman" w:eastAsia="Times New Roman" w:cs="Times New Roman"/>
                <w:sz w:val="20"/>
                <w:szCs w:val="20"/>
              </w:rPr>
              <w:t>(-1.112)</w:t>
            </w:r>
          </w:p>
        </w:tc>
      </w:tr>
      <w:tr w14:paraId="1A12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0DF7F93D">
            <w:pPr>
              <w:spacing w:before="20" w:after="20"/>
              <w:jc w:val="center"/>
              <w:rPr>
                <w:rFonts w:ascii="Times New Roman" w:hAnsi="Times New Roman" w:cs="Times New Roman"/>
              </w:rPr>
            </w:pPr>
            <w:r>
              <w:rPr>
                <w:rFonts w:ascii="Times New Roman" w:hAnsi="Times New Roman" w:eastAsia="Times New Roman" w:cs="Times New Roman"/>
                <w:sz w:val="20"/>
                <w:szCs w:val="20"/>
              </w:rPr>
              <w:t>ln_duration</w:t>
            </w:r>
          </w:p>
        </w:tc>
        <w:tc>
          <w:tcPr>
            <w:tcW w:w="2700" w:type="dxa"/>
            <w:tcBorders>
              <w:top w:val="nil"/>
              <w:left w:val="nil"/>
              <w:bottom w:val="nil"/>
              <w:right w:val="nil"/>
            </w:tcBorders>
            <w:tcMar>
              <w:top w:w="0" w:type="dxa"/>
              <w:left w:w="0" w:type="dxa"/>
              <w:bottom w:w="0" w:type="dxa"/>
              <w:right w:w="0" w:type="dxa"/>
            </w:tcMar>
            <w:vAlign w:val="center"/>
          </w:tcPr>
          <w:p w14:paraId="5E17A28F">
            <w:pPr>
              <w:spacing w:before="20" w:after="20"/>
              <w:jc w:val="center"/>
              <w:rPr>
                <w:rFonts w:ascii="Times New Roman" w:hAnsi="Times New Roman" w:cs="Times New Roman"/>
              </w:rPr>
            </w:pPr>
          </w:p>
        </w:tc>
        <w:tc>
          <w:tcPr>
            <w:tcW w:w="3677" w:type="dxa"/>
            <w:tcBorders>
              <w:top w:val="nil"/>
              <w:left w:val="nil"/>
              <w:bottom w:val="nil"/>
              <w:right w:val="nil"/>
            </w:tcBorders>
            <w:tcMar>
              <w:top w:w="0" w:type="dxa"/>
              <w:left w:w="0" w:type="dxa"/>
              <w:bottom w:w="0" w:type="dxa"/>
              <w:right w:w="0" w:type="dxa"/>
            </w:tcMar>
            <w:vAlign w:val="center"/>
          </w:tcPr>
          <w:p w14:paraId="26CB84CF">
            <w:pPr>
              <w:spacing w:before="20" w:after="20"/>
              <w:jc w:val="center"/>
              <w:rPr>
                <w:rFonts w:ascii="Times New Roman" w:hAnsi="Times New Roman" w:cs="Times New Roman"/>
              </w:rPr>
            </w:pPr>
            <w:r>
              <w:rPr>
                <w:rFonts w:ascii="Times New Roman" w:hAnsi="Times New Roman" w:eastAsia="Times New Roman" w:cs="Times New Roman"/>
                <w:sz w:val="20"/>
                <w:szCs w:val="20"/>
              </w:rPr>
              <w:t>3.707***</w:t>
            </w:r>
          </w:p>
        </w:tc>
      </w:tr>
      <w:tr w14:paraId="539B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2244553C">
            <w:pPr>
              <w:spacing w:before="20" w:after="20"/>
              <w:jc w:val="center"/>
              <w:rPr>
                <w:rFonts w:ascii="Times New Roman" w:hAnsi="Times New Roman" w:cs="Times New Roman"/>
              </w:rPr>
            </w:pPr>
          </w:p>
        </w:tc>
        <w:tc>
          <w:tcPr>
            <w:tcW w:w="2700" w:type="dxa"/>
            <w:tcBorders>
              <w:top w:val="nil"/>
              <w:left w:val="nil"/>
              <w:bottom w:val="nil"/>
              <w:right w:val="nil"/>
            </w:tcBorders>
            <w:tcMar>
              <w:top w:w="0" w:type="dxa"/>
              <w:left w:w="0" w:type="dxa"/>
              <w:bottom w:w="0" w:type="dxa"/>
              <w:right w:w="0" w:type="dxa"/>
            </w:tcMar>
            <w:vAlign w:val="center"/>
          </w:tcPr>
          <w:p w14:paraId="1A940CFF">
            <w:pPr>
              <w:spacing w:before="20" w:after="20"/>
              <w:jc w:val="center"/>
              <w:rPr>
                <w:rFonts w:ascii="Times New Roman" w:hAnsi="Times New Roman" w:cs="Times New Roman"/>
              </w:rPr>
            </w:pPr>
          </w:p>
        </w:tc>
        <w:tc>
          <w:tcPr>
            <w:tcW w:w="3677" w:type="dxa"/>
            <w:tcBorders>
              <w:top w:val="nil"/>
              <w:left w:val="nil"/>
              <w:bottom w:val="nil"/>
              <w:right w:val="nil"/>
            </w:tcBorders>
            <w:tcMar>
              <w:top w:w="0" w:type="dxa"/>
              <w:left w:w="0" w:type="dxa"/>
              <w:bottom w:w="0" w:type="dxa"/>
              <w:right w:w="0" w:type="dxa"/>
            </w:tcMar>
            <w:vAlign w:val="center"/>
          </w:tcPr>
          <w:p w14:paraId="34E6502B">
            <w:pPr>
              <w:spacing w:before="20" w:after="20"/>
              <w:jc w:val="center"/>
              <w:rPr>
                <w:rFonts w:ascii="Times New Roman" w:hAnsi="Times New Roman" w:cs="Times New Roman"/>
              </w:rPr>
            </w:pPr>
            <w:r>
              <w:rPr>
                <w:rFonts w:ascii="Times New Roman" w:hAnsi="Times New Roman" w:eastAsia="Times New Roman" w:cs="Times New Roman"/>
                <w:sz w:val="20"/>
                <w:szCs w:val="20"/>
              </w:rPr>
              <w:t>(8.522)</w:t>
            </w:r>
          </w:p>
        </w:tc>
      </w:tr>
      <w:tr w14:paraId="0196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30A46E59">
            <w:pPr>
              <w:spacing w:before="20" w:after="20"/>
              <w:jc w:val="center"/>
              <w:rPr>
                <w:rFonts w:ascii="Times New Roman" w:hAnsi="Times New Roman" w:cs="Times New Roman"/>
              </w:rPr>
            </w:pPr>
            <w:r>
              <w:rPr>
                <w:rFonts w:ascii="Times New Roman" w:hAnsi="Times New Roman" w:eastAsia="Times New Roman" w:cs="Times New Roman"/>
                <w:sz w:val="20"/>
                <w:szCs w:val="20"/>
              </w:rPr>
              <w:t>ln_view</w:t>
            </w:r>
          </w:p>
        </w:tc>
        <w:tc>
          <w:tcPr>
            <w:tcW w:w="2700" w:type="dxa"/>
            <w:tcBorders>
              <w:top w:val="nil"/>
              <w:left w:val="nil"/>
              <w:bottom w:val="nil"/>
              <w:right w:val="nil"/>
            </w:tcBorders>
            <w:tcMar>
              <w:top w:w="0" w:type="dxa"/>
              <w:left w:w="0" w:type="dxa"/>
              <w:bottom w:w="0" w:type="dxa"/>
              <w:right w:w="0" w:type="dxa"/>
            </w:tcMar>
            <w:vAlign w:val="center"/>
          </w:tcPr>
          <w:p w14:paraId="74D108A1">
            <w:pPr>
              <w:spacing w:before="20" w:after="20"/>
              <w:jc w:val="center"/>
              <w:rPr>
                <w:rFonts w:ascii="Times New Roman" w:hAnsi="Times New Roman" w:cs="Times New Roman"/>
              </w:rPr>
            </w:pPr>
          </w:p>
        </w:tc>
        <w:tc>
          <w:tcPr>
            <w:tcW w:w="3677" w:type="dxa"/>
            <w:tcBorders>
              <w:top w:val="nil"/>
              <w:left w:val="nil"/>
              <w:bottom w:val="nil"/>
              <w:right w:val="nil"/>
            </w:tcBorders>
            <w:tcMar>
              <w:top w:w="0" w:type="dxa"/>
              <w:left w:w="0" w:type="dxa"/>
              <w:bottom w:w="0" w:type="dxa"/>
              <w:right w:w="0" w:type="dxa"/>
            </w:tcMar>
            <w:vAlign w:val="center"/>
          </w:tcPr>
          <w:p w14:paraId="7E799B23">
            <w:pPr>
              <w:spacing w:before="20" w:after="20"/>
              <w:jc w:val="center"/>
              <w:rPr>
                <w:rFonts w:ascii="Times New Roman" w:hAnsi="Times New Roman" w:cs="Times New Roman"/>
              </w:rPr>
            </w:pPr>
            <w:r>
              <w:rPr>
                <w:rFonts w:ascii="Times New Roman" w:hAnsi="Times New Roman" w:eastAsia="Times New Roman" w:cs="Times New Roman"/>
                <w:sz w:val="20"/>
                <w:szCs w:val="20"/>
              </w:rPr>
              <w:t>-3.493***</w:t>
            </w:r>
          </w:p>
        </w:tc>
      </w:tr>
      <w:tr w14:paraId="2BF7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2C140FE6">
            <w:pPr>
              <w:spacing w:before="20" w:after="20"/>
              <w:jc w:val="center"/>
              <w:rPr>
                <w:rFonts w:ascii="Times New Roman" w:hAnsi="Times New Roman" w:cs="Times New Roman"/>
              </w:rPr>
            </w:pPr>
          </w:p>
        </w:tc>
        <w:tc>
          <w:tcPr>
            <w:tcW w:w="2700" w:type="dxa"/>
            <w:tcBorders>
              <w:top w:val="nil"/>
              <w:left w:val="nil"/>
              <w:bottom w:val="nil"/>
              <w:right w:val="nil"/>
            </w:tcBorders>
            <w:tcMar>
              <w:top w:w="0" w:type="dxa"/>
              <w:left w:w="0" w:type="dxa"/>
              <w:bottom w:w="0" w:type="dxa"/>
              <w:right w:w="0" w:type="dxa"/>
            </w:tcMar>
            <w:vAlign w:val="center"/>
          </w:tcPr>
          <w:p w14:paraId="761C2043">
            <w:pPr>
              <w:spacing w:before="20" w:after="20"/>
              <w:jc w:val="center"/>
              <w:rPr>
                <w:rFonts w:ascii="Times New Roman" w:hAnsi="Times New Roman" w:cs="Times New Roman"/>
              </w:rPr>
            </w:pPr>
          </w:p>
        </w:tc>
        <w:tc>
          <w:tcPr>
            <w:tcW w:w="3677" w:type="dxa"/>
            <w:tcBorders>
              <w:top w:val="nil"/>
              <w:left w:val="nil"/>
              <w:bottom w:val="nil"/>
              <w:right w:val="nil"/>
            </w:tcBorders>
            <w:tcMar>
              <w:top w:w="0" w:type="dxa"/>
              <w:left w:w="0" w:type="dxa"/>
              <w:bottom w:w="0" w:type="dxa"/>
              <w:right w:w="0" w:type="dxa"/>
            </w:tcMar>
            <w:vAlign w:val="center"/>
          </w:tcPr>
          <w:p w14:paraId="6046FD79">
            <w:pPr>
              <w:spacing w:before="20" w:after="20"/>
              <w:jc w:val="center"/>
              <w:rPr>
                <w:rFonts w:ascii="Times New Roman" w:hAnsi="Times New Roman" w:cs="Times New Roman"/>
              </w:rPr>
            </w:pPr>
            <w:r>
              <w:rPr>
                <w:rFonts w:ascii="Times New Roman" w:hAnsi="Times New Roman" w:eastAsia="Times New Roman" w:cs="Times New Roman"/>
                <w:sz w:val="20"/>
                <w:szCs w:val="20"/>
              </w:rPr>
              <w:t>(-7.403)</w:t>
            </w:r>
          </w:p>
        </w:tc>
      </w:tr>
      <w:tr w14:paraId="7746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3CE40E1F">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年份/月份固定效应</w:t>
            </w:r>
          </w:p>
        </w:tc>
        <w:tc>
          <w:tcPr>
            <w:tcW w:w="2700" w:type="dxa"/>
            <w:tcBorders>
              <w:top w:val="nil"/>
              <w:left w:val="nil"/>
              <w:bottom w:val="nil"/>
              <w:right w:val="nil"/>
            </w:tcBorders>
            <w:tcMar>
              <w:top w:w="0" w:type="dxa"/>
              <w:left w:w="0" w:type="dxa"/>
              <w:bottom w:w="0" w:type="dxa"/>
              <w:right w:w="0" w:type="dxa"/>
            </w:tcMar>
            <w:vAlign w:val="center"/>
          </w:tcPr>
          <w:p w14:paraId="07B17120">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3677" w:type="dxa"/>
            <w:tcBorders>
              <w:top w:val="nil"/>
              <w:left w:val="nil"/>
              <w:bottom w:val="nil"/>
              <w:right w:val="nil"/>
            </w:tcBorders>
            <w:tcMar>
              <w:top w:w="0" w:type="dxa"/>
              <w:left w:w="0" w:type="dxa"/>
              <w:bottom w:w="0" w:type="dxa"/>
              <w:right w:w="0" w:type="dxa"/>
            </w:tcMar>
            <w:vAlign w:val="center"/>
          </w:tcPr>
          <w:p w14:paraId="7CB4D43F">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63B0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0" w:type="dxa"/>
              <w:left w:w="0" w:type="dxa"/>
              <w:bottom w:w="0" w:type="dxa"/>
              <w:right w:w="0" w:type="dxa"/>
            </w:tcMar>
            <w:vAlign w:val="center"/>
          </w:tcPr>
          <w:p w14:paraId="24183CE5">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2700" w:type="dxa"/>
            <w:tcBorders>
              <w:top w:val="nil"/>
              <w:left w:val="nil"/>
              <w:bottom w:val="nil"/>
              <w:right w:val="nil"/>
            </w:tcBorders>
            <w:tcMar>
              <w:top w:w="0" w:type="dxa"/>
              <w:left w:w="0" w:type="dxa"/>
              <w:bottom w:w="0" w:type="dxa"/>
              <w:right w:w="0" w:type="dxa"/>
            </w:tcMar>
            <w:vAlign w:val="center"/>
          </w:tcPr>
          <w:p w14:paraId="1794BFA2">
            <w:pPr>
              <w:spacing w:before="20" w:after="20"/>
              <w:jc w:val="center"/>
              <w:rPr>
                <w:rFonts w:ascii="Times New Roman" w:hAnsi="Times New Roman" w:cs="Times New Roman"/>
              </w:rPr>
            </w:pPr>
            <w:r>
              <w:rPr>
                <w:rFonts w:ascii="Times New Roman" w:hAnsi="Times New Roman" w:eastAsia="Times New Roman" w:cs="Times New Roman"/>
                <w:sz w:val="20"/>
                <w:szCs w:val="20"/>
              </w:rPr>
              <w:t>6,893</w:t>
            </w:r>
          </w:p>
        </w:tc>
        <w:tc>
          <w:tcPr>
            <w:tcW w:w="3677" w:type="dxa"/>
            <w:tcBorders>
              <w:top w:val="nil"/>
              <w:left w:val="nil"/>
              <w:bottom w:val="nil"/>
              <w:right w:val="nil"/>
            </w:tcBorders>
            <w:tcMar>
              <w:top w:w="0" w:type="dxa"/>
              <w:left w:w="0" w:type="dxa"/>
              <w:bottom w:w="0" w:type="dxa"/>
              <w:right w:w="0" w:type="dxa"/>
            </w:tcMar>
            <w:vAlign w:val="center"/>
          </w:tcPr>
          <w:p w14:paraId="3B432C86">
            <w:pPr>
              <w:spacing w:before="20" w:after="20"/>
              <w:jc w:val="center"/>
              <w:rPr>
                <w:rFonts w:ascii="Times New Roman" w:hAnsi="Times New Roman" w:cs="Times New Roman"/>
              </w:rPr>
            </w:pPr>
            <w:r>
              <w:rPr>
                <w:rFonts w:ascii="Times New Roman" w:hAnsi="Times New Roman" w:eastAsia="Times New Roman" w:cs="Times New Roman"/>
                <w:sz w:val="20"/>
                <w:szCs w:val="20"/>
              </w:rPr>
              <w:t>6,893</w:t>
            </w:r>
          </w:p>
        </w:tc>
      </w:tr>
      <w:tr w14:paraId="5FDC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single" w:color="000000" w:sz="10" w:space="0"/>
              <w:right w:val="nil"/>
            </w:tcBorders>
            <w:tcMar>
              <w:top w:w="0" w:type="dxa"/>
              <w:left w:w="0" w:type="dxa"/>
              <w:bottom w:w="0" w:type="dxa"/>
              <w:right w:w="0" w:type="dxa"/>
            </w:tcMar>
            <w:vAlign w:val="center"/>
          </w:tcPr>
          <w:p w14:paraId="102FA2A6">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2700" w:type="dxa"/>
            <w:tcBorders>
              <w:top w:val="nil"/>
              <w:left w:val="nil"/>
              <w:bottom w:val="single" w:color="000000" w:sz="10" w:space="0"/>
              <w:right w:val="nil"/>
            </w:tcBorders>
            <w:tcMar>
              <w:top w:w="0" w:type="dxa"/>
              <w:left w:w="0" w:type="dxa"/>
              <w:bottom w:w="0" w:type="dxa"/>
              <w:right w:w="0" w:type="dxa"/>
            </w:tcMar>
            <w:vAlign w:val="center"/>
          </w:tcPr>
          <w:p w14:paraId="3291C945">
            <w:pPr>
              <w:spacing w:before="20" w:after="20"/>
              <w:jc w:val="center"/>
              <w:rPr>
                <w:rFonts w:ascii="Times New Roman" w:hAnsi="Times New Roman" w:cs="Times New Roman"/>
              </w:rPr>
            </w:pPr>
            <w:r>
              <w:rPr>
                <w:rFonts w:ascii="Times New Roman" w:hAnsi="Times New Roman" w:eastAsia="Times New Roman" w:cs="Times New Roman"/>
                <w:sz w:val="20"/>
                <w:szCs w:val="20"/>
              </w:rPr>
              <w:t>0.047</w:t>
            </w:r>
          </w:p>
        </w:tc>
        <w:tc>
          <w:tcPr>
            <w:tcW w:w="3677" w:type="dxa"/>
            <w:tcBorders>
              <w:top w:val="nil"/>
              <w:left w:val="nil"/>
              <w:bottom w:val="single" w:color="000000" w:sz="10" w:space="0"/>
              <w:right w:val="nil"/>
            </w:tcBorders>
            <w:tcMar>
              <w:top w:w="0" w:type="dxa"/>
              <w:left w:w="0" w:type="dxa"/>
              <w:bottom w:w="0" w:type="dxa"/>
              <w:right w:w="0" w:type="dxa"/>
            </w:tcMar>
            <w:vAlign w:val="center"/>
          </w:tcPr>
          <w:p w14:paraId="0479952B">
            <w:pPr>
              <w:spacing w:before="20" w:after="20"/>
              <w:jc w:val="center"/>
              <w:rPr>
                <w:rFonts w:ascii="Times New Roman" w:hAnsi="Times New Roman" w:cs="Times New Roman"/>
              </w:rPr>
            </w:pPr>
            <w:r>
              <w:rPr>
                <w:rFonts w:ascii="Times New Roman" w:hAnsi="Times New Roman" w:eastAsia="Times New Roman" w:cs="Times New Roman"/>
                <w:sz w:val="20"/>
                <w:szCs w:val="20"/>
              </w:rPr>
              <w:t>0.292</w:t>
            </w:r>
          </w:p>
        </w:tc>
      </w:tr>
    </w:tbl>
    <w:p w14:paraId="3776251D">
      <w:pPr>
        <w:spacing w:before="60" w:after="120"/>
        <w:jc w:val="left"/>
        <w:rPr>
          <w:rFonts w:ascii="Times New Roman" w:hAnsi="Times New Roman" w:cs="Times New Roman"/>
        </w:rPr>
      </w:pPr>
      <w:r>
        <w:rPr>
          <w:rFonts w:ascii="Times New Roman" w:hAnsi="Times New Roman" w:cs="Times New Roman"/>
          <w:sz w:val="18"/>
          <w:szCs w:val="18"/>
        </w:rPr>
        <w:t>注：H4证伪检验预期a路径系数不显著（投币不增加分享量）。括号内为聚类稳健t统计量。***p&lt;0.01，**p&lt;0.05，*p&lt;0.1。</w:t>
      </w:r>
    </w:p>
    <w:p w14:paraId="1C6A6D01">
      <w:pPr>
        <w:spacing w:before="300" w:after="150"/>
        <w:outlineLvl w:val="2"/>
        <w:rPr>
          <w:rFonts w:ascii="Times New Roman" w:hAnsi="Times New Roman" w:eastAsia="黑体" w:cs="Times New Roman"/>
          <w:b/>
          <w:bCs/>
          <w:sz w:val="28"/>
          <w:szCs w:val="28"/>
        </w:rPr>
      </w:pPr>
      <w:bookmarkStart w:id="76" w:name="_Toc30636"/>
      <w:r>
        <w:rPr>
          <w:rFonts w:ascii="Times New Roman" w:hAnsi="Times New Roman" w:eastAsia="黑体" w:cs="Times New Roman"/>
          <w:b/>
          <w:bCs/>
          <w:sz w:val="28"/>
          <w:szCs w:val="28"/>
        </w:rPr>
        <w:t xml:space="preserve">5.6  </w:t>
      </w:r>
      <w:r>
        <w:rPr>
          <w:rFonts w:ascii="Times New Roman" w:hAnsi="Times New Roman" w:eastAsia="黑体" w:cs="Times New Roman"/>
          <w:b/>
          <w:bCs/>
          <w:sz w:val="26"/>
          <w:szCs w:val="26"/>
        </w:rPr>
        <w:t>稳健性检验</w:t>
      </w:r>
      <w:bookmarkEnd w:id="76"/>
    </w:p>
    <w:p w14:paraId="77EA8045">
      <w:pPr>
        <w:spacing w:line="288" w:lineRule="auto"/>
        <w:ind w:firstLine="480"/>
        <w:rPr>
          <w:rFonts w:ascii="Times New Roman" w:hAnsi="Times New Roman" w:cs="Times New Roman"/>
        </w:rPr>
      </w:pPr>
      <w:r>
        <w:rPr>
          <w:rFonts w:ascii="Times New Roman" w:hAnsi="Times New Roman" w:cs="Times New Roman"/>
        </w:rPr>
        <w:t>为进一步验证基准回归结论的稳健性，本文从五个维度进行检验：安慰剂检验、变量替换、滞后阶数对比、样本调整以及外生冲击检验。</w:t>
      </w:r>
    </w:p>
    <w:p w14:paraId="7DFDD232">
      <w:pPr>
        <w:spacing w:before="200" w:after="100"/>
        <w:outlineLvl w:val="2"/>
        <w:rPr>
          <w:rFonts w:ascii="Times New Roman" w:hAnsi="Times New Roman" w:eastAsia="黑体" w:cs="Times New Roman"/>
          <w:b/>
          <w:bCs/>
        </w:rPr>
      </w:pPr>
      <w:bookmarkStart w:id="77" w:name="_Toc3118"/>
      <w:r>
        <w:rPr>
          <w:rFonts w:ascii="Times New Roman" w:hAnsi="Times New Roman" w:eastAsia="黑体" w:cs="Times New Roman"/>
          <w:b/>
          <w:bCs/>
        </w:rPr>
        <w:t>5.6.1  安慰剂检验</w:t>
      </w:r>
      <w:bookmarkEnd w:id="77"/>
    </w:p>
    <w:p w14:paraId="484E99B9">
      <w:pPr>
        <w:spacing w:line="288" w:lineRule="auto"/>
        <w:ind w:firstLine="480"/>
        <w:rPr>
          <w:rFonts w:ascii="Times New Roman" w:hAnsi="Times New Roman" w:cs="Times New Roman"/>
        </w:rPr>
      </w:pPr>
      <w:r>
        <w:rPr>
          <w:rFonts w:ascii="Times New Roman" w:hAnsi="Times New Roman" w:cs="Times New Roman"/>
        </w:rPr>
        <w:t>对投币数进行500次随机置换处理，即随机打乱投币数据与视频之间的对应关系，对每次置换后的数据集重新估计基准模型，得到500个随机系数估计值的分布。图4显示，500次置换得到的系数分布高度集中于零值附近（均值约为0），核密度峰值位于0处，而基准回归的真实系数（1.302）远落在置换分布的右侧，与零点的距离约为置换分布标准差的十余倍，两者之间的差距达到直观可见的量级。</w:t>
      </w:r>
      <w:r>
        <w:rPr>
          <w:rFonts w:ascii="Times New Roman" w:hAnsi="Times New Roman" w:cs="Times New Roman"/>
          <w:highlight w:val="lightGray"/>
        </w:rPr>
        <w:t>安慰剂检验结果表明，本文基准回归所识别的投币激励效应不大可能由随机因素或数据噪声所致，进一步支持了H1因果关系解释的可信性。</w:t>
      </w:r>
    </w:p>
    <w:p w14:paraId="29E50430">
      <w:pPr>
        <w:spacing w:line="288" w:lineRule="auto"/>
        <w:ind w:firstLine="480"/>
        <w:jc w:val="center"/>
        <w:rPr>
          <w:rFonts w:ascii="Times New Roman" w:hAnsi="Times New Roman" w:cs="Times New Roman"/>
        </w:rPr>
      </w:pPr>
      <w:r>
        <w:rPr>
          <w:rFonts w:ascii="Times New Roman" w:hAnsi="Times New Roman" w:cs="Times New Roman"/>
        </w:rPr>
        <w:drawing>
          <wp:inline distT="0" distB="0" distL="114300" distR="114300">
            <wp:extent cx="4363720" cy="3171825"/>
            <wp:effectExtent l="0" t="0" r="5080" b="3175"/>
            <wp:docPr id="5" name="图片 5" descr="Figure_1_Placebo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1_Placebo_Test"/>
                    <pic:cNvPicPr>
                      <a:picLocks noChangeAspect="1"/>
                    </pic:cNvPicPr>
                  </pic:nvPicPr>
                  <pic:blipFill>
                    <a:blip r:embed="rId12"/>
                    <a:stretch>
                      <a:fillRect/>
                    </a:stretch>
                  </pic:blipFill>
                  <pic:spPr>
                    <a:xfrm>
                      <a:off x="0" y="0"/>
                      <a:ext cx="4363720" cy="3171825"/>
                    </a:xfrm>
                    <a:prstGeom prst="rect">
                      <a:avLst/>
                    </a:prstGeom>
                  </pic:spPr>
                </pic:pic>
              </a:graphicData>
            </a:graphic>
          </wp:inline>
        </w:drawing>
      </w:r>
    </w:p>
    <w:p w14:paraId="7F813650">
      <w:pPr>
        <w:pStyle w:val="8"/>
        <w:spacing w:line="288" w:lineRule="auto"/>
        <w:ind w:firstLine="480"/>
        <w:jc w:val="center"/>
        <w:rPr>
          <w:rFonts w:ascii="Times New Roman" w:hAnsi="Times New Roman" w:eastAsia="宋体" w:cs="Times New Roman"/>
          <w:sz w:val="24"/>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xml:space="preserve"> 安慰剂检验核密度图（500次随机置换）</w:t>
      </w:r>
    </w:p>
    <w:p w14:paraId="5C90CF7B">
      <w:pPr>
        <w:spacing w:after="200"/>
        <w:jc w:val="center"/>
        <w:rPr>
          <w:rFonts w:ascii="Times New Roman" w:hAnsi="Times New Roman" w:cs="Times New Roman"/>
        </w:rPr>
      </w:pPr>
      <w:r>
        <w:rPr>
          <w:rFonts w:ascii="Times New Roman" w:hAnsi="Times New Roman" w:cs="Times New Roman"/>
          <w:sz w:val="20"/>
          <w:szCs w:val="20"/>
        </w:rPr>
        <w:t>（注：灰色曲线为置换系数估计值的核密度分布；红色实线为真实估计系数1.302；黑色虚线为零值参照线。图形显示真实系数远离置换分布，位于其极右端。）</w:t>
      </w:r>
    </w:p>
    <w:p w14:paraId="1055A6E1">
      <w:pPr>
        <w:spacing w:before="200" w:after="100"/>
        <w:outlineLvl w:val="2"/>
        <w:rPr>
          <w:rFonts w:ascii="Times New Roman" w:hAnsi="Times New Roman" w:eastAsia="黑体" w:cs="Times New Roman"/>
          <w:b/>
          <w:bCs/>
        </w:rPr>
      </w:pPr>
      <w:bookmarkStart w:id="78" w:name="_Toc14699"/>
      <w:r>
        <w:rPr>
          <w:rFonts w:ascii="Times New Roman" w:hAnsi="Times New Roman" w:eastAsia="黑体" w:cs="Times New Roman"/>
          <w:b/>
          <w:bCs/>
        </w:rPr>
        <w:t>5.6.2  变量替换——投币排名百分位</w:t>
      </w:r>
      <w:bookmarkEnd w:id="78"/>
    </w:p>
    <w:p w14:paraId="3E2FC3CF">
      <w:pPr>
        <w:spacing w:line="288" w:lineRule="auto"/>
        <w:ind w:firstLine="480"/>
        <w:rPr>
          <w:rFonts w:ascii="Times New Roman" w:hAnsi="Times New Roman" w:cs="Times New Roman"/>
        </w:rPr>
      </w:pPr>
      <w:r>
        <w:rPr>
          <w:rFonts w:ascii="Times New Roman" w:hAnsi="Times New Roman" w:cs="Times New Roman"/>
        </w:rPr>
        <w:t>为消除对数变换函数形式假设对结论的影响，将核心解释变量L2_ln_coin替换为其在对应年月截面内的排名百分位（L2_coin_rank），重新估计基准模型。如表11所示，L2_coin_rank的系数为0.043（t=3.386，p&lt;0.01），在1%水平显著为正。替换变量后结论保持显著，说明投币激励对内容质量的正向效应并非特定函数变换的产物，结论具备一般性。</w:t>
      </w:r>
    </w:p>
    <w:p w14:paraId="03C764CE">
      <w:pPr>
        <w:pStyle w:val="8"/>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t xml:space="preserve"> 稳健性检验结果汇总</w:t>
      </w:r>
    </w:p>
    <w:tbl>
      <w:tblPr>
        <w:tblStyle w:val="1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6"/>
        <w:gridCol w:w="2356"/>
        <w:gridCol w:w="1578"/>
        <w:gridCol w:w="1766"/>
        <w:gridCol w:w="1056"/>
        <w:gridCol w:w="1178"/>
      </w:tblGrid>
      <w:tr w14:paraId="6B3B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single" w:color="000000" w:sz="10" w:space="0"/>
              <w:left w:val="nil"/>
              <w:bottom w:val="single" w:color="000000" w:sz="10" w:space="0"/>
              <w:right w:val="nil"/>
            </w:tcBorders>
            <w:tcMar>
              <w:top w:w="0" w:type="dxa"/>
              <w:left w:w="0" w:type="dxa"/>
              <w:bottom w:w="0" w:type="dxa"/>
              <w:right w:w="0" w:type="dxa"/>
            </w:tcMar>
            <w:vAlign w:val="center"/>
          </w:tcPr>
          <w:p w14:paraId="4592C063">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w:t>
            </w:r>
          </w:p>
        </w:tc>
        <w:tc>
          <w:tcPr>
            <w:tcW w:w="2356" w:type="dxa"/>
            <w:tcBorders>
              <w:top w:val="single" w:color="000000" w:sz="10" w:space="0"/>
              <w:left w:val="nil"/>
              <w:bottom w:val="single" w:color="000000" w:sz="10" w:space="0"/>
              <w:right w:val="nil"/>
            </w:tcBorders>
            <w:tcMar>
              <w:top w:w="0" w:type="dxa"/>
              <w:left w:w="0" w:type="dxa"/>
              <w:bottom w:w="0" w:type="dxa"/>
              <w:right w:w="0" w:type="dxa"/>
            </w:tcMar>
            <w:vAlign w:val="center"/>
          </w:tcPr>
          <w:p w14:paraId="193C3DD7">
            <w:pPr>
              <w:spacing w:before="20" w:after="20"/>
              <w:jc w:val="center"/>
              <w:rPr>
                <w:rFonts w:ascii="Times New Roman" w:hAnsi="Times New Roman" w:cs="Times New Roman"/>
              </w:rPr>
            </w:pPr>
            <w:r>
              <w:rPr>
                <w:rFonts w:ascii="Times New Roman" w:hAnsi="Times New Roman" w:eastAsia="Times New Roman" w:cs="Times New Roman"/>
                <w:b/>
                <w:bCs/>
                <w:sz w:val="20"/>
                <w:szCs w:val="20"/>
              </w:rPr>
              <w:t>变量替换（排名百分位）</w:t>
            </w:r>
          </w:p>
        </w:tc>
        <w:tc>
          <w:tcPr>
            <w:tcW w:w="1578" w:type="dxa"/>
            <w:tcBorders>
              <w:top w:val="single" w:color="000000" w:sz="10" w:space="0"/>
              <w:left w:val="nil"/>
              <w:bottom w:val="single" w:color="000000" w:sz="10" w:space="0"/>
              <w:right w:val="nil"/>
            </w:tcBorders>
            <w:tcMar>
              <w:top w:w="0" w:type="dxa"/>
              <w:left w:w="0" w:type="dxa"/>
              <w:bottom w:w="0" w:type="dxa"/>
              <w:right w:w="0" w:type="dxa"/>
            </w:tcMar>
            <w:vAlign w:val="center"/>
          </w:tcPr>
          <w:p w14:paraId="065379F7">
            <w:pPr>
              <w:spacing w:before="20" w:after="20"/>
              <w:jc w:val="center"/>
              <w:rPr>
                <w:rFonts w:ascii="Times New Roman" w:hAnsi="Times New Roman" w:cs="Times New Roman"/>
              </w:rPr>
            </w:pPr>
            <w:r>
              <w:rPr>
                <w:rFonts w:ascii="Times New Roman" w:hAnsi="Times New Roman" w:eastAsia="Times New Roman" w:cs="Times New Roman"/>
                <w:b/>
                <w:bCs/>
                <w:sz w:val="20"/>
                <w:szCs w:val="20"/>
              </w:rPr>
              <w:t>滞后一期对比</w:t>
            </w:r>
          </w:p>
        </w:tc>
        <w:tc>
          <w:tcPr>
            <w:tcW w:w="1766" w:type="dxa"/>
            <w:tcBorders>
              <w:top w:val="single" w:color="000000" w:sz="10" w:space="0"/>
              <w:left w:val="nil"/>
              <w:bottom w:val="single" w:color="000000" w:sz="10" w:space="0"/>
              <w:right w:val="nil"/>
            </w:tcBorders>
            <w:tcMar>
              <w:top w:w="0" w:type="dxa"/>
              <w:left w:w="0" w:type="dxa"/>
              <w:bottom w:w="0" w:type="dxa"/>
              <w:right w:w="0" w:type="dxa"/>
            </w:tcMar>
            <w:vAlign w:val="center"/>
          </w:tcPr>
          <w:p w14:paraId="2FAEF855">
            <w:pPr>
              <w:spacing w:before="20" w:after="20"/>
              <w:jc w:val="center"/>
              <w:rPr>
                <w:rFonts w:ascii="Times New Roman" w:hAnsi="Times New Roman" w:cs="Times New Roman"/>
              </w:rPr>
            </w:pPr>
            <w:r>
              <w:rPr>
                <w:rFonts w:ascii="Times New Roman" w:hAnsi="Times New Roman" w:eastAsia="Times New Roman" w:cs="Times New Roman"/>
                <w:b/>
                <w:bCs/>
                <w:sz w:val="20"/>
                <w:szCs w:val="20"/>
              </w:rPr>
              <w:t>滞后二期（基准）</w:t>
            </w:r>
          </w:p>
        </w:tc>
        <w:tc>
          <w:tcPr>
            <w:tcW w:w="1056" w:type="dxa"/>
            <w:tcBorders>
              <w:top w:val="single" w:color="000000" w:sz="10" w:space="0"/>
              <w:left w:val="nil"/>
              <w:bottom w:val="single" w:color="000000" w:sz="10" w:space="0"/>
              <w:right w:val="nil"/>
            </w:tcBorders>
            <w:tcMar>
              <w:top w:w="0" w:type="dxa"/>
              <w:left w:w="0" w:type="dxa"/>
              <w:bottom w:w="0" w:type="dxa"/>
              <w:right w:w="0" w:type="dxa"/>
            </w:tcMar>
            <w:vAlign w:val="center"/>
          </w:tcPr>
          <w:p w14:paraId="767AD10C">
            <w:pPr>
              <w:spacing w:before="20" w:after="20"/>
              <w:jc w:val="center"/>
              <w:rPr>
                <w:rFonts w:ascii="Times New Roman" w:hAnsi="Times New Roman" w:cs="Times New Roman"/>
              </w:rPr>
            </w:pPr>
            <w:r>
              <w:rPr>
                <w:rFonts w:ascii="Times New Roman" w:hAnsi="Times New Roman" w:eastAsia="Times New Roman" w:cs="Times New Roman"/>
                <w:b/>
                <w:bCs/>
                <w:sz w:val="20"/>
                <w:szCs w:val="20"/>
              </w:rPr>
              <w:t>样本调整</w:t>
            </w:r>
          </w:p>
        </w:tc>
        <w:tc>
          <w:tcPr>
            <w:tcW w:w="1178" w:type="dxa"/>
            <w:tcBorders>
              <w:top w:val="single" w:color="000000" w:sz="10" w:space="0"/>
              <w:left w:val="nil"/>
              <w:bottom w:val="single" w:color="000000" w:sz="10" w:space="0"/>
              <w:right w:val="nil"/>
            </w:tcBorders>
            <w:tcMar>
              <w:top w:w="0" w:type="dxa"/>
              <w:left w:w="0" w:type="dxa"/>
              <w:bottom w:w="0" w:type="dxa"/>
              <w:right w:w="0" w:type="dxa"/>
            </w:tcMar>
            <w:vAlign w:val="center"/>
          </w:tcPr>
          <w:p w14:paraId="6F0E322B">
            <w:pPr>
              <w:spacing w:before="20" w:after="20"/>
              <w:jc w:val="center"/>
              <w:rPr>
                <w:rFonts w:ascii="Times New Roman" w:hAnsi="Times New Roman" w:cs="Times New Roman"/>
              </w:rPr>
            </w:pPr>
            <w:r>
              <w:rPr>
                <w:rFonts w:ascii="Times New Roman" w:hAnsi="Times New Roman" w:eastAsia="Times New Roman" w:cs="Times New Roman"/>
                <w:b/>
                <w:bCs/>
                <w:sz w:val="20"/>
                <w:szCs w:val="20"/>
              </w:rPr>
              <w:t>疫情冲击</w:t>
            </w:r>
          </w:p>
        </w:tc>
      </w:tr>
      <w:tr w14:paraId="7414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08F22938">
            <w:pPr>
              <w:spacing w:before="20" w:after="20"/>
              <w:jc w:val="center"/>
              <w:rPr>
                <w:rFonts w:ascii="Times New Roman" w:hAnsi="Times New Roman" w:cs="Times New Roman"/>
              </w:rPr>
            </w:pPr>
            <w:r>
              <w:rPr>
                <w:rFonts w:ascii="Times New Roman" w:hAnsi="Times New Roman" w:eastAsia="Times New Roman" w:cs="Times New Roman"/>
                <w:sz w:val="20"/>
                <w:szCs w:val="20"/>
              </w:rPr>
              <w:t>L2_coin_rank</w:t>
            </w:r>
          </w:p>
        </w:tc>
        <w:tc>
          <w:tcPr>
            <w:tcW w:w="2356" w:type="dxa"/>
            <w:tcBorders>
              <w:top w:val="nil"/>
              <w:left w:val="nil"/>
              <w:bottom w:val="nil"/>
              <w:right w:val="nil"/>
            </w:tcBorders>
            <w:tcMar>
              <w:top w:w="0" w:type="dxa"/>
              <w:left w:w="0" w:type="dxa"/>
              <w:bottom w:w="0" w:type="dxa"/>
              <w:right w:w="0" w:type="dxa"/>
            </w:tcMar>
            <w:vAlign w:val="center"/>
          </w:tcPr>
          <w:p w14:paraId="3A7A3E9B">
            <w:pPr>
              <w:spacing w:before="20" w:after="20"/>
              <w:jc w:val="center"/>
              <w:rPr>
                <w:rFonts w:ascii="Times New Roman" w:hAnsi="Times New Roman" w:cs="Times New Roman"/>
              </w:rPr>
            </w:pPr>
            <w:r>
              <w:rPr>
                <w:rFonts w:ascii="Times New Roman" w:hAnsi="Times New Roman" w:eastAsia="Times New Roman" w:cs="Times New Roman"/>
                <w:sz w:val="20"/>
                <w:szCs w:val="20"/>
              </w:rPr>
              <w:t>0.043***</w:t>
            </w:r>
          </w:p>
        </w:tc>
        <w:tc>
          <w:tcPr>
            <w:tcW w:w="1578" w:type="dxa"/>
            <w:tcBorders>
              <w:top w:val="nil"/>
              <w:left w:val="nil"/>
              <w:bottom w:val="nil"/>
              <w:right w:val="nil"/>
            </w:tcBorders>
            <w:tcMar>
              <w:top w:w="0" w:type="dxa"/>
              <w:left w:w="0" w:type="dxa"/>
              <w:bottom w:w="0" w:type="dxa"/>
              <w:right w:w="0" w:type="dxa"/>
            </w:tcMar>
            <w:vAlign w:val="center"/>
          </w:tcPr>
          <w:p w14:paraId="599CEFD1">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7521F021">
            <w:pPr>
              <w:spacing w:before="20" w:after="20"/>
              <w:jc w:val="center"/>
              <w:rPr>
                <w:rFonts w:ascii="Times New Roman" w:hAnsi="Times New Roman" w:cs="Times New Roman"/>
              </w:rPr>
            </w:pPr>
          </w:p>
        </w:tc>
        <w:tc>
          <w:tcPr>
            <w:tcW w:w="1056" w:type="dxa"/>
            <w:tcBorders>
              <w:top w:val="nil"/>
              <w:left w:val="nil"/>
              <w:bottom w:val="nil"/>
              <w:right w:val="nil"/>
            </w:tcBorders>
            <w:tcMar>
              <w:top w:w="0" w:type="dxa"/>
              <w:left w:w="0" w:type="dxa"/>
              <w:bottom w:w="0" w:type="dxa"/>
              <w:right w:w="0" w:type="dxa"/>
            </w:tcMar>
            <w:vAlign w:val="center"/>
          </w:tcPr>
          <w:p w14:paraId="540C554A">
            <w:pPr>
              <w:spacing w:before="20" w:after="20"/>
              <w:jc w:val="center"/>
              <w:rPr>
                <w:rFonts w:ascii="Times New Roman" w:hAnsi="Times New Roman" w:cs="Times New Roman"/>
              </w:rPr>
            </w:pPr>
          </w:p>
        </w:tc>
        <w:tc>
          <w:tcPr>
            <w:tcW w:w="1178" w:type="dxa"/>
            <w:tcBorders>
              <w:top w:val="nil"/>
              <w:left w:val="nil"/>
              <w:bottom w:val="nil"/>
              <w:right w:val="nil"/>
            </w:tcBorders>
            <w:tcMar>
              <w:top w:w="0" w:type="dxa"/>
              <w:left w:w="0" w:type="dxa"/>
              <w:bottom w:w="0" w:type="dxa"/>
              <w:right w:w="0" w:type="dxa"/>
            </w:tcMar>
            <w:vAlign w:val="center"/>
          </w:tcPr>
          <w:p w14:paraId="17D5C775">
            <w:pPr>
              <w:spacing w:before="20" w:after="20"/>
              <w:jc w:val="center"/>
              <w:rPr>
                <w:rFonts w:ascii="Times New Roman" w:hAnsi="Times New Roman" w:cs="Times New Roman"/>
              </w:rPr>
            </w:pPr>
          </w:p>
        </w:tc>
      </w:tr>
      <w:tr w14:paraId="029A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6078259D">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5EA7CC5E">
            <w:pPr>
              <w:spacing w:before="20" w:after="20"/>
              <w:jc w:val="center"/>
              <w:rPr>
                <w:rFonts w:ascii="Times New Roman" w:hAnsi="Times New Roman" w:cs="Times New Roman"/>
              </w:rPr>
            </w:pPr>
            <w:r>
              <w:rPr>
                <w:rFonts w:ascii="Times New Roman" w:hAnsi="Times New Roman" w:eastAsia="Times New Roman" w:cs="Times New Roman"/>
                <w:sz w:val="20"/>
                <w:szCs w:val="20"/>
              </w:rPr>
              <w:t>(3.386)</w:t>
            </w:r>
          </w:p>
        </w:tc>
        <w:tc>
          <w:tcPr>
            <w:tcW w:w="1578" w:type="dxa"/>
            <w:tcBorders>
              <w:top w:val="nil"/>
              <w:left w:val="nil"/>
              <w:bottom w:val="nil"/>
              <w:right w:val="nil"/>
            </w:tcBorders>
            <w:tcMar>
              <w:top w:w="0" w:type="dxa"/>
              <w:left w:w="0" w:type="dxa"/>
              <w:bottom w:w="0" w:type="dxa"/>
              <w:right w:w="0" w:type="dxa"/>
            </w:tcMar>
            <w:vAlign w:val="center"/>
          </w:tcPr>
          <w:p w14:paraId="05CECDC2">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5D46D3B1">
            <w:pPr>
              <w:spacing w:before="20" w:after="20"/>
              <w:jc w:val="center"/>
              <w:rPr>
                <w:rFonts w:ascii="Times New Roman" w:hAnsi="Times New Roman" w:cs="Times New Roman"/>
              </w:rPr>
            </w:pPr>
          </w:p>
        </w:tc>
        <w:tc>
          <w:tcPr>
            <w:tcW w:w="1056" w:type="dxa"/>
            <w:tcBorders>
              <w:top w:val="nil"/>
              <w:left w:val="nil"/>
              <w:bottom w:val="nil"/>
              <w:right w:val="nil"/>
            </w:tcBorders>
            <w:tcMar>
              <w:top w:w="0" w:type="dxa"/>
              <w:left w:w="0" w:type="dxa"/>
              <w:bottom w:w="0" w:type="dxa"/>
              <w:right w:w="0" w:type="dxa"/>
            </w:tcMar>
            <w:vAlign w:val="center"/>
          </w:tcPr>
          <w:p w14:paraId="61A45237">
            <w:pPr>
              <w:spacing w:before="20" w:after="20"/>
              <w:jc w:val="center"/>
              <w:rPr>
                <w:rFonts w:ascii="Times New Roman" w:hAnsi="Times New Roman" w:cs="Times New Roman"/>
              </w:rPr>
            </w:pPr>
          </w:p>
        </w:tc>
        <w:tc>
          <w:tcPr>
            <w:tcW w:w="1178" w:type="dxa"/>
            <w:tcBorders>
              <w:top w:val="nil"/>
              <w:left w:val="nil"/>
              <w:bottom w:val="nil"/>
              <w:right w:val="nil"/>
            </w:tcBorders>
            <w:tcMar>
              <w:top w:w="0" w:type="dxa"/>
              <w:left w:w="0" w:type="dxa"/>
              <w:bottom w:w="0" w:type="dxa"/>
              <w:right w:w="0" w:type="dxa"/>
            </w:tcMar>
            <w:vAlign w:val="center"/>
          </w:tcPr>
          <w:p w14:paraId="243EC41D">
            <w:pPr>
              <w:spacing w:before="20" w:after="20"/>
              <w:jc w:val="center"/>
              <w:rPr>
                <w:rFonts w:ascii="Times New Roman" w:hAnsi="Times New Roman" w:cs="Times New Roman"/>
              </w:rPr>
            </w:pPr>
          </w:p>
        </w:tc>
      </w:tr>
      <w:tr w14:paraId="0A1D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5D569531">
            <w:pPr>
              <w:spacing w:before="20" w:after="20"/>
              <w:jc w:val="center"/>
              <w:rPr>
                <w:rFonts w:ascii="Times New Roman" w:hAnsi="Times New Roman" w:cs="Times New Roman"/>
              </w:rPr>
            </w:pPr>
            <w:r>
              <w:rPr>
                <w:rFonts w:ascii="Times New Roman" w:hAnsi="Times New Roman" w:eastAsia="Times New Roman" w:cs="Times New Roman"/>
                <w:sz w:val="20"/>
                <w:szCs w:val="20"/>
              </w:rPr>
              <w:t>L1_ln_coin</w:t>
            </w:r>
          </w:p>
        </w:tc>
        <w:tc>
          <w:tcPr>
            <w:tcW w:w="2356" w:type="dxa"/>
            <w:tcBorders>
              <w:top w:val="nil"/>
              <w:left w:val="nil"/>
              <w:bottom w:val="nil"/>
              <w:right w:val="nil"/>
            </w:tcBorders>
            <w:tcMar>
              <w:top w:w="0" w:type="dxa"/>
              <w:left w:w="0" w:type="dxa"/>
              <w:bottom w:w="0" w:type="dxa"/>
              <w:right w:w="0" w:type="dxa"/>
            </w:tcMar>
            <w:vAlign w:val="center"/>
          </w:tcPr>
          <w:p w14:paraId="3BC58388">
            <w:pPr>
              <w:spacing w:before="20" w:after="20"/>
              <w:jc w:val="center"/>
              <w:rPr>
                <w:rFonts w:ascii="Times New Roman" w:hAnsi="Times New Roman" w:cs="Times New Roman"/>
              </w:rPr>
            </w:pPr>
          </w:p>
        </w:tc>
        <w:tc>
          <w:tcPr>
            <w:tcW w:w="1578" w:type="dxa"/>
            <w:tcBorders>
              <w:top w:val="nil"/>
              <w:left w:val="nil"/>
              <w:bottom w:val="nil"/>
              <w:right w:val="nil"/>
            </w:tcBorders>
            <w:tcMar>
              <w:top w:w="0" w:type="dxa"/>
              <w:left w:w="0" w:type="dxa"/>
              <w:bottom w:w="0" w:type="dxa"/>
              <w:right w:w="0" w:type="dxa"/>
            </w:tcMar>
            <w:vAlign w:val="center"/>
          </w:tcPr>
          <w:p w14:paraId="6CDEB04F">
            <w:pPr>
              <w:spacing w:before="20" w:after="20"/>
              <w:jc w:val="center"/>
              <w:rPr>
                <w:rFonts w:ascii="Times New Roman" w:hAnsi="Times New Roman" w:cs="Times New Roman"/>
              </w:rPr>
            </w:pPr>
            <w:r>
              <w:rPr>
                <w:rFonts w:ascii="Times New Roman" w:hAnsi="Times New Roman" w:eastAsia="Times New Roman" w:cs="Times New Roman"/>
                <w:sz w:val="20"/>
                <w:szCs w:val="20"/>
              </w:rPr>
              <w:t>0.519***</w:t>
            </w:r>
          </w:p>
        </w:tc>
        <w:tc>
          <w:tcPr>
            <w:tcW w:w="1766" w:type="dxa"/>
            <w:tcBorders>
              <w:top w:val="nil"/>
              <w:left w:val="nil"/>
              <w:bottom w:val="nil"/>
              <w:right w:val="nil"/>
            </w:tcBorders>
            <w:tcMar>
              <w:top w:w="0" w:type="dxa"/>
              <w:left w:w="0" w:type="dxa"/>
              <w:bottom w:w="0" w:type="dxa"/>
              <w:right w:w="0" w:type="dxa"/>
            </w:tcMar>
            <w:vAlign w:val="center"/>
          </w:tcPr>
          <w:p w14:paraId="27F041B0">
            <w:pPr>
              <w:spacing w:before="20" w:after="20"/>
              <w:jc w:val="center"/>
              <w:rPr>
                <w:rFonts w:ascii="Times New Roman" w:hAnsi="Times New Roman" w:cs="Times New Roman"/>
              </w:rPr>
            </w:pPr>
          </w:p>
        </w:tc>
        <w:tc>
          <w:tcPr>
            <w:tcW w:w="1056" w:type="dxa"/>
            <w:tcBorders>
              <w:top w:val="nil"/>
              <w:left w:val="nil"/>
              <w:bottom w:val="nil"/>
              <w:right w:val="nil"/>
            </w:tcBorders>
            <w:tcMar>
              <w:top w:w="0" w:type="dxa"/>
              <w:left w:w="0" w:type="dxa"/>
              <w:bottom w:w="0" w:type="dxa"/>
              <w:right w:w="0" w:type="dxa"/>
            </w:tcMar>
            <w:vAlign w:val="center"/>
          </w:tcPr>
          <w:p w14:paraId="422FE766">
            <w:pPr>
              <w:spacing w:before="20" w:after="20"/>
              <w:jc w:val="center"/>
              <w:rPr>
                <w:rFonts w:ascii="Times New Roman" w:hAnsi="Times New Roman" w:cs="Times New Roman"/>
              </w:rPr>
            </w:pPr>
          </w:p>
        </w:tc>
        <w:tc>
          <w:tcPr>
            <w:tcW w:w="1178" w:type="dxa"/>
            <w:tcBorders>
              <w:top w:val="nil"/>
              <w:left w:val="nil"/>
              <w:bottom w:val="nil"/>
              <w:right w:val="nil"/>
            </w:tcBorders>
            <w:tcMar>
              <w:top w:w="0" w:type="dxa"/>
              <w:left w:w="0" w:type="dxa"/>
              <w:bottom w:w="0" w:type="dxa"/>
              <w:right w:w="0" w:type="dxa"/>
            </w:tcMar>
            <w:vAlign w:val="center"/>
          </w:tcPr>
          <w:p w14:paraId="065C8F42">
            <w:pPr>
              <w:spacing w:before="20" w:after="20"/>
              <w:jc w:val="center"/>
              <w:rPr>
                <w:rFonts w:ascii="Times New Roman" w:hAnsi="Times New Roman" w:cs="Times New Roman"/>
              </w:rPr>
            </w:pPr>
          </w:p>
        </w:tc>
      </w:tr>
      <w:tr w14:paraId="59DD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54BC4580">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29D3E4D8">
            <w:pPr>
              <w:spacing w:before="20" w:after="20"/>
              <w:jc w:val="center"/>
              <w:rPr>
                <w:rFonts w:ascii="Times New Roman" w:hAnsi="Times New Roman" w:cs="Times New Roman"/>
              </w:rPr>
            </w:pPr>
          </w:p>
        </w:tc>
        <w:tc>
          <w:tcPr>
            <w:tcW w:w="1578" w:type="dxa"/>
            <w:tcBorders>
              <w:top w:val="nil"/>
              <w:left w:val="nil"/>
              <w:bottom w:val="nil"/>
              <w:right w:val="nil"/>
            </w:tcBorders>
            <w:tcMar>
              <w:top w:w="0" w:type="dxa"/>
              <w:left w:w="0" w:type="dxa"/>
              <w:bottom w:w="0" w:type="dxa"/>
              <w:right w:w="0" w:type="dxa"/>
            </w:tcMar>
            <w:vAlign w:val="center"/>
          </w:tcPr>
          <w:p w14:paraId="2E40F3A2">
            <w:pPr>
              <w:spacing w:before="20" w:after="20"/>
              <w:jc w:val="center"/>
              <w:rPr>
                <w:rFonts w:ascii="Times New Roman" w:hAnsi="Times New Roman" w:cs="Times New Roman"/>
              </w:rPr>
            </w:pPr>
            <w:r>
              <w:rPr>
                <w:rFonts w:ascii="Times New Roman" w:hAnsi="Times New Roman" w:eastAsia="Times New Roman" w:cs="Times New Roman"/>
                <w:sz w:val="20"/>
                <w:szCs w:val="20"/>
              </w:rPr>
              <w:t>(2.985)</w:t>
            </w:r>
          </w:p>
        </w:tc>
        <w:tc>
          <w:tcPr>
            <w:tcW w:w="1766" w:type="dxa"/>
            <w:tcBorders>
              <w:top w:val="nil"/>
              <w:left w:val="nil"/>
              <w:bottom w:val="nil"/>
              <w:right w:val="nil"/>
            </w:tcBorders>
            <w:tcMar>
              <w:top w:w="0" w:type="dxa"/>
              <w:left w:w="0" w:type="dxa"/>
              <w:bottom w:w="0" w:type="dxa"/>
              <w:right w:w="0" w:type="dxa"/>
            </w:tcMar>
            <w:vAlign w:val="center"/>
          </w:tcPr>
          <w:p w14:paraId="7F76980B">
            <w:pPr>
              <w:spacing w:before="20" w:after="20"/>
              <w:jc w:val="center"/>
              <w:rPr>
                <w:rFonts w:ascii="Times New Roman" w:hAnsi="Times New Roman" w:cs="Times New Roman"/>
              </w:rPr>
            </w:pPr>
          </w:p>
        </w:tc>
        <w:tc>
          <w:tcPr>
            <w:tcW w:w="1056" w:type="dxa"/>
            <w:tcBorders>
              <w:top w:val="nil"/>
              <w:left w:val="nil"/>
              <w:bottom w:val="nil"/>
              <w:right w:val="nil"/>
            </w:tcBorders>
            <w:tcMar>
              <w:top w:w="0" w:type="dxa"/>
              <w:left w:w="0" w:type="dxa"/>
              <w:bottom w:w="0" w:type="dxa"/>
              <w:right w:w="0" w:type="dxa"/>
            </w:tcMar>
            <w:vAlign w:val="center"/>
          </w:tcPr>
          <w:p w14:paraId="62F95DD6">
            <w:pPr>
              <w:spacing w:before="20" w:after="20"/>
              <w:jc w:val="center"/>
              <w:rPr>
                <w:rFonts w:ascii="Times New Roman" w:hAnsi="Times New Roman" w:cs="Times New Roman"/>
              </w:rPr>
            </w:pPr>
          </w:p>
        </w:tc>
        <w:tc>
          <w:tcPr>
            <w:tcW w:w="1178" w:type="dxa"/>
            <w:tcBorders>
              <w:top w:val="nil"/>
              <w:left w:val="nil"/>
              <w:bottom w:val="nil"/>
              <w:right w:val="nil"/>
            </w:tcBorders>
            <w:tcMar>
              <w:top w:w="0" w:type="dxa"/>
              <w:left w:w="0" w:type="dxa"/>
              <w:bottom w:w="0" w:type="dxa"/>
              <w:right w:w="0" w:type="dxa"/>
            </w:tcMar>
            <w:vAlign w:val="center"/>
          </w:tcPr>
          <w:p w14:paraId="610BC33D">
            <w:pPr>
              <w:spacing w:before="20" w:after="20"/>
              <w:jc w:val="center"/>
              <w:rPr>
                <w:rFonts w:ascii="Times New Roman" w:hAnsi="Times New Roman" w:cs="Times New Roman"/>
              </w:rPr>
            </w:pPr>
          </w:p>
        </w:tc>
      </w:tr>
      <w:tr w14:paraId="2FDC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62F24ABD">
            <w:pPr>
              <w:spacing w:before="20" w:after="20"/>
              <w:jc w:val="center"/>
              <w:rPr>
                <w:rFonts w:ascii="Times New Roman" w:hAnsi="Times New Roman" w:cs="Times New Roman"/>
              </w:rPr>
            </w:pPr>
            <w:r>
              <w:rPr>
                <w:rFonts w:ascii="Times New Roman" w:hAnsi="Times New Roman" w:eastAsia="Times New Roman" w:cs="Times New Roman"/>
                <w:sz w:val="20"/>
                <w:szCs w:val="20"/>
              </w:rPr>
              <w:t>L2_ln_coin</w:t>
            </w:r>
          </w:p>
        </w:tc>
        <w:tc>
          <w:tcPr>
            <w:tcW w:w="2356" w:type="dxa"/>
            <w:tcBorders>
              <w:top w:val="nil"/>
              <w:left w:val="nil"/>
              <w:bottom w:val="nil"/>
              <w:right w:val="nil"/>
            </w:tcBorders>
            <w:tcMar>
              <w:top w:w="0" w:type="dxa"/>
              <w:left w:w="0" w:type="dxa"/>
              <w:bottom w:w="0" w:type="dxa"/>
              <w:right w:w="0" w:type="dxa"/>
            </w:tcMar>
            <w:vAlign w:val="center"/>
          </w:tcPr>
          <w:p w14:paraId="3CDA2FAF">
            <w:pPr>
              <w:spacing w:before="20" w:after="20"/>
              <w:jc w:val="center"/>
              <w:rPr>
                <w:rFonts w:ascii="Times New Roman" w:hAnsi="Times New Roman" w:cs="Times New Roman"/>
              </w:rPr>
            </w:pPr>
          </w:p>
        </w:tc>
        <w:tc>
          <w:tcPr>
            <w:tcW w:w="1578" w:type="dxa"/>
            <w:tcBorders>
              <w:top w:val="nil"/>
              <w:left w:val="nil"/>
              <w:bottom w:val="nil"/>
              <w:right w:val="nil"/>
            </w:tcBorders>
            <w:tcMar>
              <w:top w:w="0" w:type="dxa"/>
              <w:left w:w="0" w:type="dxa"/>
              <w:bottom w:w="0" w:type="dxa"/>
              <w:right w:w="0" w:type="dxa"/>
            </w:tcMar>
            <w:vAlign w:val="center"/>
          </w:tcPr>
          <w:p w14:paraId="5FE28437">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1EAF5421">
            <w:pPr>
              <w:spacing w:before="20" w:after="20"/>
              <w:jc w:val="center"/>
              <w:rPr>
                <w:rFonts w:ascii="Times New Roman" w:hAnsi="Times New Roman" w:cs="Times New Roman"/>
              </w:rPr>
            </w:pPr>
            <w:r>
              <w:rPr>
                <w:rFonts w:ascii="Times New Roman" w:hAnsi="Times New Roman" w:eastAsia="Times New Roman" w:cs="Times New Roman"/>
                <w:sz w:val="20"/>
                <w:szCs w:val="20"/>
              </w:rPr>
              <w:t>1.428***</w:t>
            </w:r>
          </w:p>
        </w:tc>
        <w:tc>
          <w:tcPr>
            <w:tcW w:w="1056" w:type="dxa"/>
            <w:tcBorders>
              <w:top w:val="nil"/>
              <w:left w:val="nil"/>
              <w:bottom w:val="nil"/>
              <w:right w:val="nil"/>
            </w:tcBorders>
            <w:tcMar>
              <w:top w:w="0" w:type="dxa"/>
              <w:left w:w="0" w:type="dxa"/>
              <w:bottom w:w="0" w:type="dxa"/>
              <w:right w:w="0" w:type="dxa"/>
            </w:tcMar>
            <w:vAlign w:val="center"/>
          </w:tcPr>
          <w:p w14:paraId="233BDADD">
            <w:pPr>
              <w:spacing w:before="20" w:after="20"/>
              <w:jc w:val="center"/>
              <w:rPr>
                <w:rFonts w:ascii="Times New Roman" w:hAnsi="Times New Roman" w:cs="Times New Roman"/>
              </w:rPr>
            </w:pPr>
            <w:r>
              <w:rPr>
                <w:rFonts w:ascii="Times New Roman" w:hAnsi="Times New Roman" w:eastAsia="Times New Roman" w:cs="Times New Roman"/>
                <w:sz w:val="20"/>
                <w:szCs w:val="20"/>
              </w:rPr>
              <w:t>1.462***</w:t>
            </w:r>
          </w:p>
        </w:tc>
        <w:tc>
          <w:tcPr>
            <w:tcW w:w="1178" w:type="dxa"/>
            <w:tcBorders>
              <w:top w:val="nil"/>
              <w:left w:val="nil"/>
              <w:bottom w:val="nil"/>
              <w:right w:val="nil"/>
            </w:tcBorders>
            <w:tcMar>
              <w:top w:w="0" w:type="dxa"/>
              <w:left w:w="0" w:type="dxa"/>
              <w:bottom w:w="0" w:type="dxa"/>
              <w:right w:w="0" w:type="dxa"/>
            </w:tcMar>
            <w:vAlign w:val="center"/>
          </w:tcPr>
          <w:p w14:paraId="46815E76">
            <w:pPr>
              <w:spacing w:before="20" w:after="20"/>
              <w:jc w:val="center"/>
              <w:rPr>
                <w:rFonts w:ascii="Times New Roman" w:hAnsi="Times New Roman" w:cs="Times New Roman"/>
              </w:rPr>
            </w:pPr>
            <w:r>
              <w:rPr>
                <w:rFonts w:ascii="Times New Roman" w:hAnsi="Times New Roman" w:eastAsia="Times New Roman" w:cs="Times New Roman"/>
                <w:sz w:val="20"/>
                <w:szCs w:val="20"/>
              </w:rPr>
              <w:t>1.337***</w:t>
            </w:r>
          </w:p>
        </w:tc>
      </w:tr>
      <w:tr w14:paraId="52E0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30DC3347">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586EF9F7">
            <w:pPr>
              <w:spacing w:before="20" w:after="20"/>
              <w:jc w:val="center"/>
              <w:rPr>
                <w:rFonts w:ascii="Times New Roman" w:hAnsi="Times New Roman" w:cs="Times New Roman"/>
              </w:rPr>
            </w:pPr>
          </w:p>
        </w:tc>
        <w:tc>
          <w:tcPr>
            <w:tcW w:w="1578" w:type="dxa"/>
            <w:tcBorders>
              <w:top w:val="nil"/>
              <w:left w:val="nil"/>
              <w:bottom w:val="nil"/>
              <w:right w:val="nil"/>
            </w:tcBorders>
            <w:tcMar>
              <w:top w:w="0" w:type="dxa"/>
              <w:left w:w="0" w:type="dxa"/>
              <w:bottom w:w="0" w:type="dxa"/>
              <w:right w:w="0" w:type="dxa"/>
            </w:tcMar>
            <w:vAlign w:val="center"/>
          </w:tcPr>
          <w:p w14:paraId="43EF4925">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4D951186">
            <w:pPr>
              <w:spacing w:before="20" w:after="20"/>
              <w:jc w:val="center"/>
              <w:rPr>
                <w:rFonts w:ascii="Times New Roman" w:hAnsi="Times New Roman" w:cs="Times New Roman"/>
              </w:rPr>
            </w:pPr>
            <w:r>
              <w:rPr>
                <w:rFonts w:ascii="Times New Roman" w:hAnsi="Times New Roman" w:eastAsia="Times New Roman" w:cs="Times New Roman"/>
                <w:sz w:val="20"/>
                <w:szCs w:val="20"/>
              </w:rPr>
              <w:t>(4.611)</w:t>
            </w:r>
          </w:p>
        </w:tc>
        <w:tc>
          <w:tcPr>
            <w:tcW w:w="1056" w:type="dxa"/>
            <w:tcBorders>
              <w:top w:val="nil"/>
              <w:left w:val="nil"/>
              <w:bottom w:val="nil"/>
              <w:right w:val="nil"/>
            </w:tcBorders>
            <w:tcMar>
              <w:top w:w="0" w:type="dxa"/>
              <w:left w:w="0" w:type="dxa"/>
              <w:bottom w:w="0" w:type="dxa"/>
              <w:right w:w="0" w:type="dxa"/>
            </w:tcMar>
            <w:vAlign w:val="center"/>
          </w:tcPr>
          <w:p w14:paraId="09D6152E">
            <w:pPr>
              <w:spacing w:before="20" w:after="20"/>
              <w:jc w:val="center"/>
              <w:rPr>
                <w:rFonts w:ascii="Times New Roman" w:hAnsi="Times New Roman" w:cs="Times New Roman"/>
              </w:rPr>
            </w:pPr>
            <w:r>
              <w:rPr>
                <w:rFonts w:ascii="Times New Roman" w:hAnsi="Times New Roman" w:eastAsia="Times New Roman" w:cs="Times New Roman"/>
                <w:sz w:val="20"/>
                <w:szCs w:val="20"/>
              </w:rPr>
              <w:t>(4.204)</w:t>
            </w:r>
          </w:p>
        </w:tc>
        <w:tc>
          <w:tcPr>
            <w:tcW w:w="1178" w:type="dxa"/>
            <w:tcBorders>
              <w:top w:val="nil"/>
              <w:left w:val="nil"/>
              <w:bottom w:val="nil"/>
              <w:right w:val="nil"/>
            </w:tcBorders>
            <w:tcMar>
              <w:top w:w="0" w:type="dxa"/>
              <w:left w:w="0" w:type="dxa"/>
              <w:bottom w:w="0" w:type="dxa"/>
              <w:right w:w="0" w:type="dxa"/>
            </w:tcMar>
            <w:vAlign w:val="center"/>
          </w:tcPr>
          <w:p w14:paraId="373CE000">
            <w:pPr>
              <w:spacing w:before="20" w:after="20"/>
              <w:jc w:val="center"/>
              <w:rPr>
                <w:rFonts w:ascii="Times New Roman" w:hAnsi="Times New Roman" w:cs="Times New Roman"/>
              </w:rPr>
            </w:pPr>
            <w:r>
              <w:rPr>
                <w:rFonts w:ascii="Times New Roman" w:hAnsi="Times New Roman" w:eastAsia="Times New Roman" w:cs="Times New Roman"/>
                <w:sz w:val="20"/>
                <w:szCs w:val="20"/>
              </w:rPr>
              <w:t>(4.934)</w:t>
            </w:r>
          </w:p>
        </w:tc>
      </w:tr>
      <w:tr w14:paraId="43CD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162E9B85">
            <w:pPr>
              <w:spacing w:before="20" w:after="20"/>
              <w:jc w:val="center"/>
              <w:rPr>
                <w:rFonts w:ascii="Times New Roman" w:hAnsi="Times New Roman" w:cs="Times New Roman"/>
              </w:rPr>
            </w:pPr>
            <w:r>
              <w:rPr>
                <w:rFonts w:ascii="Times New Roman" w:hAnsi="Times New Roman" w:eastAsia="Times New Roman" w:cs="Times New Roman"/>
                <w:sz w:val="20"/>
                <w:szCs w:val="20"/>
              </w:rPr>
              <w:t>coin_covid_inter（投币×疫情）</w:t>
            </w:r>
          </w:p>
        </w:tc>
        <w:tc>
          <w:tcPr>
            <w:tcW w:w="2356" w:type="dxa"/>
            <w:tcBorders>
              <w:top w:val="nil"/>
              <w:left w:val="nil"/>
              <w:bottom w:val="nil"/>
              <w:right w:val="nil"/>
            </w:tcBorders>
            <w:tcMar>
              <w:top w:w="0" w:type="dxa"/>
              <w:left w:w="0" w:type="dxa"/>
              <w:bottom w:w="0" w:type="dxa"/>
              <w:right w:w="0" w:type="dxa"/>
            </w:tcMar>
            <w:vAlign w:val="center"/>
          </w:tcPr>
          <w:p w14:paraId="2583EF2F">
            <w:pPr>
              <w:spacing w:before="20" w:after="20"/>
              <w:jc w:val="center"/>
              <w:rPr>
                <w:rFonts w:ascii="Times New Roman" w:hAnsi="Times New Roman" w:cs="Times New Roman"/>
              </w:rPr>
            </w:pPr>
          </w:p>
        </w:tc>
        <w:tc>
          <w:tcPr>
            <w:tcW w:w="1578" w:type="dxa"/>
            <w:tcBorders>
              <w:top w:val="nil"/>
              <w:left w:val="nil"/>
              <w:bottom w:val="nil"/>
              <w:right w:val="nil"/>
            </w:tcBorders>
            <w:tcMar>
              <w:top w:w="0" w:type="dxa"/>
              <w:left w:w="0" w:type="dxa"/>
              <w:bottom w:w="0" w:type="dxa"/>
              <w:right w:w="0" w:type="dxa"/>
            </w:tcMar>
            <w:vAlign w:val="center"/>
          </w:tcPr>
          <w:p w14:paraId="07FDDD16">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39724DC1">
            <w:pPr>
              <w:spacing w:before="20" w:after="20"/>
              <w:jc w:val="center"/>
              <w:rPr>
                <w:rFonts w:ascii="Times New Roman" w:hAnsi="Times New Roman" w:cs="Times New Roman"/>
              </w:rPr>
            </w:pPr>
          </w:p>
        </w:tc>
        <w:tc>
          <w:tcPr>
            <w:tcW w:w="1056" w:type="dxa"/>
            <w:tcBorders>
              <w:top w:val="nil"/>
              <w:left w:val="nil"/>
              <w:bottom w:val="nil"/>
              <w:right w:val="nil"/>
            </w:tcBorders>
            <w:tcMar>
              <w:top w:w="0" w:type="dxa"/>
              <w:left w:w="0" w:type="dxa"/>
              <w:bottom w:w="0" w:type="dxa"/>
              <w:right w:w="0" w:type="dxa"/>
            </w:tcMar>
            <w:vAlign w:val="center"/>
          </w:tcPr>
          <w:p w14:paraId="3AABC50D">
            <w:pPr>
              <w:spacing w:before="20" w:after="20"/>
              <w:jc w:val="center"/>
              <w:rPr>
                <w:rFonts w:ascii="Times New Roman" w:hAnsi="Times New Roman" w:cs="Times New Roman"/>
              </w:rPr>
            </w:pPr>
          </w:p>
        </w:tc>
        <w:tc>
          <w:tcPr>
            <w:tcW w:w="1178" w:type="dxa"/>
            <w:tcBorders>
              <w:top w:val="nil"/>
              <w:left w:val="nil"/>
              <w:bottom w:val="nil"/>
              <w:right w:val="nil"/>
            </w:tcBorders>
            <w:tcMar>
              <w:top w:w="0" w:type="dxa"/>
              <w:left w:w="0" w:type="dxa"/>
              <w:bottom w:w="0" w:type="dxa"/>
              <w:right w:w="0" w:type="dxa"/>
            </w:tcMar>
            <w:vAlign w:val="center"/>
          </w:tcPr>
          <w:p w14:paraId="64B2E247">
            <w:pPr>
              <w:spacing w:before="20" w:after="20"/>
              <w:jc w:val="center"/>
              <w:rPr>
                <w:rFonts w:ascii="Times New Roman" w:hAnsi="Times New Roman" w:cs="Times New Roman"/>
              </w:rPr>
            </w:pPr>
            <w:r>
              <w:rPr>
                <w:rFonts w:ascii="Times New Roman" w:hAnsi="Times New Roman" w:eastAsia="Times New Roman" w:cs="Times New Roman"/>
                <w:sz w:val="20"/>
                <w:szCs w:val="20"/>
              </w:rPr>
              <w:t>0.575</w:t>
            </w:r>
          </w:p>
        </w:tc>
      </w:tr>
      <w:tr w14:paraId="2084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0128A068">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7D617904">
            <w:pPr>
              <w:spacing w:before="20" w:after="20"/>
              <w:jc w:val="center"/>
              <w:rPr>
                <w:rFonts w:ascii="Times New Roman" w:hAnsi="Times New Roman" w:cs="Times New Roman"/>
              </w:rPr>
            </w:pPr>
          </w:p>
        </w:tc>
        <w:tc>
          <w:tcPr>
            <w:tcW w:w="1578" w:type="dxa"/>
            <w:tcBorders>
              <w:top w:val="nil"/>
              <w:left w:val="nil"/>
              <w:bottom w:val="nil"/>
              <w:right w:val="nil"/>
            </w:tcBorders>
            <w:tcMar>
              <w:top w:w="0" w:type="dxa"/>
              <w:left w:w="0" w:type="dxa"/>
              <w:bottom w:w="0" w:type="dxa"/>
              <w:right w:w="0" w:type="dxa"/>
            </w:tcMar>
            <w:vAlign w:val="center"/>
          </w:tcPr>
          <w:p w14:paraId="23A5F946">
            <w:pPr>
              <w:spacing w:before="20" w:after="20"/>
              <w:jc w:val="center"/>
              <w:rPr>
                <w:rFonts w:ascii="Times New Roman" w:hAnsi="Times New Roman" w:cs="Times New Roman"/>
              </w:rPr>
            </w:pPr>
          </w:p>
        </w:tc>
        <w:tc>
          <w:tcPr>
            <w:tcW w:w="1766" w:type="dxa"/>
            <w:tcBorders>
              <w:top w:val="nil"/>
              <w:left w:val="nil"/>
              <w:bottom w:val="nil"/>
              <w:right w:val="nil"/>
            </w:tcBorders>
            <w:tcMar>
              <w:top w:w="0" w:type="dxa"/>
              <w:left w:w="0" w:type="dxa"/>
              <w:bottom w:w="0" w:type="dxa"/>
              <w:right w:w="0" w:type="dxa"/>
            </w:tcMar>
            <w:vAlign w:val="center"/>
          </w:tcPr>
          <w:p w14:paraId="79CBF52A">
            <w:pPr>
              <w:spacing w:before="20" w:after="20"/>
              <w:jc w:val="center"/>
              <w:rPr>
                <w:rFonts w:ascii="Times New Roman" w:hAnsi="Times New Roman" w:cs="Times New Roman"/>
              </w:rPr>
            </w:pPr>
          </w:p>
        </w:tc>
        <w:tc>
          <w:tcPr>
            <w:tcW w:w="1056" w:type="dxa"/>
            <w:tcBorders>
              <w:top w:val="nil"/>
              <w:left w:val="nil"/>
              <w:bottom w:val="nil"/>
              <w:right w:val="nil"/>
            </w:tcBorders>
            <w:tcMar>
              <w:top w:w="0" w:type="dxa"/>
              <w:left w:w="0" w:type="dxa"/>
              <w:bottom w:w="0" w:type="dxa"/>
              <w:right w:w="0" w:type="dxa"/>
            </w:tcMar>
            <w:vAlign w:val="center"/>
          </w:tcPr>
          <w:p w14:paraId="57E5EB75">
            <w:pPr>
              <w:spacing w:before="20" w:after="20"/>
              <w:jc w:val="center"/>
              <w:rPr>
                <w:rFonts w:ascii="Times New Roman" w:hAnsi="Times New Roman" w:cs="Times New Roman"/>
              </w:rPr>
            </w:pPr>
          </w:p>
        </w:tc>
        <w:tc>
          <w:tcPr>
            <w:tcW w:w="1178" w:type="dxa"/>
            <w:tcBorders>
              <w:top w:val="nil"/>
              <w:left w:val="nil"/>
              <w:bottom w:val="nil"/>
              <w:right w:val="nil"/>
            </w:tcBorders>
            <w:tcMar>
              <w:top w:w="0" w:type="dxa"/>
              <w:left w:w="0" w:type="dxa"/>
              <w:bottom w:w="0" w:type="dxa"/>
              <w:right w:w="0" w:type="dxa"/>
            </w:tcMar>
            <w:vAlign w:val="center"/>
          </w:tcPr>
          <w:p w14:paraId="48B2CB87">
            <w:pPr>
              <w:spacing w:before="20" w:after="20"/>
              <w:jc w:val="center"/>
              <w:rPr>
                <w:rFonts w:ascii="Times New Roman" w:hAnsi="Times New Roman" w:cs="Times New Roman"/>
              </w:rPr>
            </w:pPr>
            <w:r>
              <w:rPr>
                <w:rFonts w:ascii="Times New Roman" w:hAnsi="Times New Roman" w:eastAsia="Times New Roman" w:cs="Times New Roman"/>
                <w:sz w:val="20"/>
                <w:szCs w:val="20"/>
              </w:rPr>
              <w:t>(1.305)</w:t>
            </w:r>
          </w:p>
        </w:tc>
      </w:tr>
      <w:tr w14:paraId="36DB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4F989C28">
            <w:pPr>
              <w:spacing w:before="20" w:after="20"/>
              <w:jc w:val="center"/>
              <w:rPr>
                <w:rFonts w:ascii="Times New Roman" w:hAnsi="Times New Roman" w:cs="Times New Roman"/>
              </w:rPr>
            </w:pPr>
            <w:r>
              <w:rPr>
                <w:rFonts w:ascii="Times New Roman" w:hAnsi="Times New Roman" w:eastAsia="Times New Roman" w:cs="Times New Roman"/>
                <w:sz w:val="20"/>
                <w:szCs w:val="20"/>
              </w:rPr>
              <w:t>L2_ln_fav</w:t>
            </w:r>
          </w:p>
        </w:tc>
        <w:tc>
          <w:tcPr>
            <w:tcW w:w="2356" w:type="dxa"/>
            <w:tcBorders>
              <w:top w:val="nil"/>
              <w:left w:val="nil"/>
              <w:bottom w:val="nil"/>
              <w:right w:val="nil"/>
            </w:tcBorders>
            <w:tcMar>
              <w:top w:w="0" w:type="dxa"/>
              <w:left w:w="0" w:type="dxa"/>
              <w:bottom w:w="0" w:type="dxa"/>
              <w:right w:w="0" w:type="dxa"/>
            </w:tcMar>
            <w:vAlign w:val="center"/>
          </w:tcPr>
          <w:p w14:paraId="295D1BCB">
            <w:pPr>
              <w:spacing w:before="20" w:after="20"/>
              <w:jc w:val="center"/>
              <w:rPr>
                <w:rFonts w:ascii="Times New Roman" w:hAnsi="Times New Roman" w:cs="Times New Roman"/>
              </w:rPr>
            </w:pPr>
            <w:r>
              <w:rPr>
                <w:rFonts w:ascii="Times New Roman" w:hAnsi="Times New Roman" w:eastAsia="Times New Roman" w:cs="Times New Roman"/>
                <w:sz w:val="20"/>
                <w:szCs w:val="20"/>
              </w:rPr>
              <w:t>-1.011**</w:t>
            </w:r>
          </w:p>
        </w:tc>
        <w:tc>
          <w:tcPr>
            <w:tcW w:w="1578" w:type="dxa"/>
            <w:tcBorders>
              <w:top w:val="nil"/>
              <w:left w:val="nil"/>
              <w:bottom w:val="nil"/>
              <w:right w:val="nil"/>
            </w:tcBorders>
            <w:tcMar>
              <w:top w:w="0" w:type="dxa"/>
              <w:left w:w="0" w:type="dxa"/>
              <w:bottom w:w="0" w:type="dxa"/>
              <w:right w:w="0" w:type="dxa"/>
            </w:tcMar>
            <w:vAlign w:val="center"/>
          </w:tcPr>
          <w:p w14:paraId="5ED47D06">
            <w:pPr>
              <w:spacing w:before="20" w:after="20"/>
              <w:jc w:val="center"/>
              <w:rPr>
                <w:rFonts w:ascii="Times New Roman" w:hAnsi="Times New Roman" w:cs="Times New Roman"/>
              </w:rPr>
            </w:pPr>
            <w:r>
              <w:rPr>
                <w:rFonts w:ascii="Times New Roman" w:hAnsi="Times New Roman" w:eastAsia="Times New Roman" w:cs="Times New Roman"/>
                <w:sz w:val="20"/>
                <w:szCs w:val="20"/>
              </w:rPr>
              <w:t>-0.776**</w:t>
            </w:r>
          </w:p>
        </w:tc>
        <w:tc>
          <w:tcPr>
            <w:tcW w:w="1766" w:type="dxa"/>
            <w:tcBorders>
              <w:top w:val="nil"/>
              <w:left w:val="nil"/>
              <w:bottom w:val="nil"/>
              <w:right w:val="nil"/>
            </w:tcBorders>
            <w:tcMar>
              <w:top w:w="0" w:type="dxa"/>
              <w:left w:w="0" w:type="dxa"/>
              <w:bottom w:w="0" w:type="dxa"/>
              <w:right w:w="0" w:type="dxa"/>
            </w:tcMar>
            <w:vAlign w:val="center"/>
          </w:tcPr>
          <w:p w14:paraId="355D16E8">
            <w:pPr>
              <w:spacing w:before="20" w:after="20"/>
              <w:jc w:val="center"/>
              <w:rPr>
                <w:rFonts w:ascii="Times New Roman" w:hAnsi="Times New Roman" w:cs="Times New Roman"/>
              </w:rPr>
            </w:pPr>
            <w:r>
              <w:rPr>
                <w:rFonts w:ascii="Times New Roman" w:hAnsi="Times New Roman" w:eastAsia="Times New Roman" w:cs="Times New Roman"/>
                <w:sz w:val="20"/>
                <w:szCs w:val="20"/>
              </w:rPr>
              <w:t>-1.422***</w:t>
            </w:r>
          </w:p>
        </w:tc>
        <w:tc>
          <w:tcPr>
            <w:tcW w:w="1056" w:type="dxa"/>
            <w:tcBorders>
              <w:top w:val="nil"/>
              <w:left w:val="nil"/>
              <w:bottom w:val="nil"/>
              <w:right w:val="nil"/>
            </w:tcBorders>
            <w:tcMar>
              <w:top w:w="0" w:type="dxa"/>
              <w:left w:w="0" w:type="dxa"/>
              <w:bottom w:w="0" w:type="dxa"/>
              <w:right w:w="0" w:type="dxa"/>
            </w:tcMar>
            <w:vAlign w:val="center"/>
          </w:tcPr>
          <w:p w14:paraId="062EA708">
            <w:pPr>
              <w:spacing w:before="20" w:after="20"/>
              <w:jc w:val="center"/>
              <w:rPr>
                <w:rFonts w:ascii="Times New Roman" w:hAnsi="Times New Roman" w:cs="Times New Roman"/>
              </w:rPr>
            </w:pPr>
            <w:r>
              <w:rPr>
                <w:rFonts w:ascii="Times New Roman" w:hAnsi="Times New Roman" w:eastAsia="Times New Roman" w:cs="Times New Roman"/>
                <w:sz w:val="20"/>
                <w:szCs w:val="20"/>
              </w:rPr>
              <w:t>-1.507***</w:t>
            </w:r>
          </w:p>
        </w:tc>
        <w:tc>
          <w:tcPr>
            <w:tcW w:w="1178" w:type="dxa"/>
            <w:tcBorders>
              <w:top w:val="nil"/>
              <w:left w:val="nil"/>
              <w:bottom w:val="nil"/>
              <w:right w:val="nil"/>
            </w:tcBorders>
            <w:tcMar>
              <w:top w:w="0" w:type="dxa"/>
              <w:left w:w="0" w:type="dxa"/>
              <w:bottom w:w="0" w:type="dxa"/>
              <w:right w:w="0" w:type="dxa"/>
            </w:tcMar>
            <w:vAlign w:val="center"/>
          </w:tcPr>
          <w:p w14:paraId="7E243345">
            <w:pPr>
              <w:spacing w:before="20" w:after="20"/>
              <w:jc w:val="center"/>
              <w:rPr>
                <w:rFonts w:ascii="Times New Roman" w:hAnsi="Times New Roman" w:cs="Times New Roman"/>
              </w:rPr>
            </w:pPr>
            <w:r>
              <w:rPr>
                <w:rFonts w:ascii="Times New Roman" w:hAnsi="Times New Roman" w:eastAsia="Times New Roman" w:cs="Times New Roman"/>
                <w:sz w:val="20"/>
                <w:szCs w:val="20"/>
              </w:rPr>
              <w:t>-1.412***</w:t>
            </w:r>
          </w:p>
        </w:tc>
      </w:tr>
      <w:tr w14:paraId="4105F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7D96786C">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08644D8B">
            <w:pPr>
              <w:spacing w:before="20" w:after="20"/>
              <w:jc w:val="center"/>
              <w:rPr>
                <w:rFonts w:ascii="Times New Roman" w:hAnsi="Times New Roman" w:cs="Times New Roman"/>
              </w:rPr>
            </w:pPr>
            <w:r>
              <w:rPr>
                <w:rFonts w:ascii="Times New Roman" w:hAnsi="Times New Roman" w:eastAsia="Times New Roman" w:cs="Times New Roman"/>
                <w:sz w:val="20"/>
                <w:szCs w:val="20"/>
              </w:rPr>
              <w:t>(-2.475)</w:t>
            </w:r>
          </w:p>
        </w:tc>
        <w:tc>
          <w:tcPr>
            <w:tcW w:w="1578" w:type="dxa"/>
            <w:tcBorders>
              <w:top w:val="nil"/>
              <w:left w:val="nil"/>
              <w:bottom w:val="nil"/>
              <w:right w:val="nil"/>
            </w:tcBorders>
            <w:tcMar>
              <w:top w:w="0" w:type="dxa"/>
              <w:left w:w="0" w:type="dxa"/>
              <w:bottom w:w="0" w:type="dxa"/>
              <w:right w:w="0" w:type="dxa"/>
            </w:tcMar>
            <w:vAlign w:val="center"/>
          </w:tcPr>
          <w:p w14:paraId="523BBB0A">
            <w:pPr>
              <w:spacing w:before="20" w:after="20"/>
              <w:jc w:val="center"/>
              <w:rPr>
                <w:rFonts w:ascii="Times New Roman" w:hAnsi="Times New Roman" w:cs="Times New Roman"/>
              </w:rPr>
            </w:pPr>
            <w:r>
              <w:rPr>
                <w:rFonts w:ascii="Times New Roman" w:hAnsi="Times New Roman" w:eastAsia="Times New Roman" w:cs="Times New Roman"/>
                <w:sz w:val="20"/>
                <w:szCs w:val="20"/>
              </w:rPr>
              <w:t>(-2.005)</w:t>
            </w:r>
          </w:p>
        </w:tc>
        <w:tc>
          <w:tcPr>
            <w:tcW w:w="1766" w:type="dxa"/>
            <w:tcBorders>
              <w:top w:val="nil"/>
              <w:left w:val="nil"/>
              <w:bottom w:val="nil"/>
              <w:right w:val="nil"/>
            </w:tcBorders>
            <w:tcMar>
              <w:top w:w="0" w:type="dxa"/>
              <w:left w:w="0" w:type="dxa"/>
              <w:bottom w:w="0" w:type="dxa"/>
              <w:right w:w="0" w:type="dxa"/>
            </w:tcMar>
            <w:vAlign w:val="center"/>
          </w:tcPr>
          <w:p w14:paraId="16250785">
            <w:pPr>
              <w:spacing w:before="20" w:after="20"/>
              <w:jc w:val="center"/>
              <w:rPr>
                <w:rFonts w:ascii="Times New Roman" w:hAnsi="Times New Roman" w:cs="Times New Roman"/>
              </w:rPr>
            </w:pPr>
            <w:r>
              <w:rPr>
                <w:rFonts w:ascii="Times New Roman" w:hAnsi="Times New Roman" w:eastAsia="Times New Roman" w:cs="Times New Roman"/>
                <w:sz w:val="20"/>
                <w:szCs w:val="20"/>
              </w:rPr>
              <w:t>(-2.928)</w:t>
            </w:r>
          </w:p>
        </w:tc>
        <w:tc>
          <w:tcPr>
            <w:tcW w:w="1056" w:type="dxa"/>
            <w:tcBorders>
              <w:top w:val="nil"/>
              <w:left w:val="nil"/>
              <w:bottom w:val="nil"/>
              <w:right w:val="nil"/>
            </w:tcBorders>
            <w:tcMar>
              <w:top w:w="0" w:type="dxa"/>
              <w:left w:w="0" w:type="dxa"/>
              <w:bottom w:w="0" w:type="dxa"/>
              <w:right w:w="0" w:type="dxa"/>
            </w:tcMar>
            <w:vAlign w:val="center"/>
          </w:tcPr>
          <w:p w14:paraId="0DA7BBBA">
            <w:pPr>
              <w:spacing w:before="20" w:after="20"/>
              <w:jc w:val="center"/>
              <w:rPr>
                <w:rFonts w:ascii="Times New Roman" w:hAnsi="Times New Roman" w:cs="Times New Roman"/>
              </w:rPr>
            </w:pPr>
            <w:r>
              <w:rPr>
                <w:rFonts w:ascii="Times New Roman" w:hAnsi="Times New Roman" w:eastAsia="Times New Roman" w:cs="Times New Roman"/>
                <w:sz w:val="20"/>
                <w:szCs w:val="20"/>
              </w:rPr>
              <w:t>(-2.814)</w:t>
            </w:r>
          </w:p>
        </w:tc>
        <w:tc>
          <w:tcPr>
            <w:tcW w:w="1178" w:type="dxa"/>
            <w:tcBorders>
              <w:top w:val="nil"/>
              <w:left w:val="nil"/>
              <w:bottom w:val="nil"/>
              <w:right w:val="nil"/>
            </w:tcBorders>
            <w:tcMar>
              <w:top w:w="0" w:type="dxa"/>
              <w:left w:w="0" w:type="dxa"/>
              <w:bottom w:w="0" w:type="dxa"/>
              <w:right w:w="0" w:type="dxa"/>
            </w:tcMar>
            <w:vAlign w:val="center"/>
          </w:tcPr>
          <w:p w14:paraId="0983C1B3">
            <w:pPr>
              <w:spacing w:before="20" w:after="20"/>
              <w:jc w:val="center"/>
              <w:rPr>
                <w:rFonts w:ascii="Times New Roman" w:hAnsi="Times New Roman" w:cs="Times New Roman"/>
              </w:rPr>
            </w:pPr>
            <w:r>
              <w:rPr>
                <w:rFonts w:ascii="Times New Roman" w:hAnsi="Times New Roman" w:eastAsia="Times New Roman" w:cs="Times New Roman"/>
                <w:sz w:val="20"/>
                <w:szCs w:val="20"/>
              </w:rPr>
              <w:t>(-3.131)</w:t>
            </w:r>
          </w:p>
        </w:tc>
      </w:tr>
      <w:tr w14:paraId="55FC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38613FA7">
            <w:pPr>
              <w:spacing w:before="20" w:after="20"/>
              <w:jc w:val="center"/>
              <w:rPr>
                <w:rFonts w:ascii="Times New Roman" w:hAnsi="Times New Roman" w:cs="Times New Roman"/>
              </w:rPr>
            </w:pPr>
            <w:r>
              <w:rPr>
                <w:rFonts w:ascii="Times New Roman" w:hAnsi="Times New Roman" w:eastAsia="Times New Roman" w:cs="Times New Roman"/>
                <w:sz w:val="20"/>
                <w:szCs w:val="20"/>
              </w:rPr>
              <w:t>ln_duration</w:t>
            </w:r>
          </w:p>
        </w:tc>
        <w:tc>
          <w:tcPr>
            <w:tcW w:w="2356" w:type="dxa"/>
            <w:tcBorders>
              <w:top w:val="nil"/>
              <w:left w:val="nil"/>
              <w:bottom w:val="nil"/>
              <w:right w:val="nil"/>
            </w:tcBorders>
            <w:tcMar>
              <w:top w:w="0" w:type="dxa"/>
              <w:left w:w="0" w:type="dxa"/>
              <w:bottom w:w="0" w:type="dxa"/>
              <w:right w:w="0" w:type="dxa"/>
            </w:tcMar>
            <w:vAlign w:val="center"/>
          </w:tcPr>
          <w:p w14:paraId="109206AC">
            <w:pPr>
              <w:spacing w:before="20" w:after="20"/>
              <w:jc w:val="center"/>
              <w:rPr>
                <w:rFonts w:ascii="Times New Roman" w:hAnsi="Times New Roman" w:cs="Times New Roman"/>
              </w:rPr>
            </w:pPr>
            <w:r>
              <w:rPr>
                <w:rFonts w:ascii="Times New Roman" w:hAnsi="Times New Roman" w:eastAsia="Times New Roman" w:cs="Times New Roman"/>
                <w:sz w:val="20"/>
                <w:szCs w:val="20"/>
              </w:rPr>
              <w:t>4.666***</w:t>
            </w:r>
          </w:p>
        </w:tc>
        <w:tc>
          <w:tcPr>
            <w:tcW w:w="1578" w:type="dxa"/>
            <w:tcBorders>
              <w:top w:val="nil"/>
              <w:left w:val="nil"/>
              <w:bottom w:val="nil"/>
              <w:right w:val="nil"/>
            </w:tcBorders>
            <w:tcMar>
              <w:top w:w="0" w:type="dxa"/>
              <w:left w:w="0" w:type="dxa"/>
              <w:bottom w:w="0" w:type="dxa"/>
              <w:right w:w="0" w:type="dxa"/>
            </w:tcMar>
            <w:vAlign w:val="center"/>
          </w:tcPr>
          <w:p w14:paraId="1D46358E">
            <w:pPr>
              <w:spacing w:before="20" w:after="20"/>
              <w:jc w:val="center"/>
              <w:rPr>
                <w:rFonts w:ascii="Times New Roman" w:hAnsi="Times New Roman" w:cs="Times New Roman"/>
              </w:rPr>
            </w:pPr>
            <w:r>
              <w:rPr>
                <w:rFonts w:ascii="Times New Roman" w:hAnsi="Times New Roman" w:eastAsia="Times New Roman" w:cs="Times New Roman"/>
                <w:sz w:val="20"/>
                <w:szCs w:val="20"/>
              </w:rPr>
              <w:t>4.619***</w:t>
            </w:r>
          </w:p>
        </w:tc>
        <w:tc>
          <w:tcPr>
            <w:tcW w:w="1766" w:type="dxa"/>
            <w:tcBorders>
              <w:top w:val="nil"/>
              <w:left w:val="nil"/>
              <w:bottom w:val="nil"/>
              <w:right w:val="nil"/>
            </w:tcBorders>
            <w:tcMar>
              <w:top w:w="0" w:type="dxa"/>
              <w:left w:w="0" w:type="dxa"/>
              <w:bottom w:w="0" w:type="dxa"/>
              <w:right w:w="0" w:type="dxa"/>
            </w:tcMar>
            <w:vAlign w:val="center"/>
          </w:tcPr>
          <w:p w14:paraId="71F28072">
            <w:pPr>
              <w:spacing w:before="20" w:after="20"/>
              <w:jc w:val="center"/>
              <w:rPr>
                <w:rFonts w:ascii="Times New Roman" w:hAnsi="Times New Roman" w:cs="Times New Roman"/>
              </w:rPr>
            </w:pPr>
            <w:r>
              <w:rPr>
                <w:rFonts w:ascii="Times New Roman" w:hAnsi="Times New Roman" w:eastAsia="Times New Roman" w:cs="Times New Roman"/>
                <w:sz w:val="20"/>
                <w:szCs w:val="20"/>
              </w:rPr>
              <w:t>4.596***</w:t>
            </w:r>
          </w:p>
        </w:tc>
        <w:tc>
          <w:tcPr>
            <w:tcW w:w="1056" w:type="dxa"/>
            <w:tcBorders>
              <w:top w:val="nil"/>
              <w:left w:val="nil"/>
              <w:bottom w:val="nil"/>
              <w:right w:val="nil"/>
            </w:tcBorders>
            <w:tcMar>
              <w:top w:w="0" w:type="dxa"/>
              <w:left w:w="0" w:type="dxa"/>
              <w:bottom w:w="0" w:type="dxa"/>
              <w:right w:w="0" w:type="dxa"/>
            </w:tcMar>
            <w:vAlign w:val="center"/>
          </w:tcPr>
          <w:p w14:paraId="68D8A4B1">
            <w:pPr>
              <w:spacing w:before="20" w:after="20"/>
              <w:jc w:val="center"/>
              <w:rPr>
                <w:rFonts w:ascii="Times New Roman" w:hAnsi="Times New Roman" w:cs="Times New Roman"/>
              </w:rPr>
            </w:pPr>
            <w:r>
              <w:rPr>
                <w:rFonts w:ascii="Times New Roman" w:hAnsi="Times New Roman" w:eastAsia="Times New Roman" w:cs="Times New Roman"/>
                <w:sz w:val="20"/>
                <w:szCs w:val="20"/>
              </w:rPr>
              <w:t>4.682***</w:t>
            </w:r>
          </w:p>
        </w:tc>
        <w:tc>
          <w:tcPr>
            <w:tcW w:w="1178" w:type="dxa"/>
            <w:tcBorders>
              <w:top w:val="nil"/>
              <w:left w:val="nil"/>
              <w:bottom w:val="nil"/>
              <w:right w:val="nil"/>
            </w:tcBorders>
            <w:tcMar>
              <w:top w:w="0" w:type="dxa"/>
              <w:left w:w="0" w:type="dxa"/>
              <w:bottom w:w="0" w:type="dxa"/>
              <w:right w:w="0" w:type="dxa"/>
            </w:tcMar>
            <w:vAlign w:val="center"/>
          </w:tcPr>
          <w:p w14:paraId="0F99384F">
            <w:pPr>
              <w:spacing w:before="20" w:after="20"/>
              <w:jc w:val="center"/>
              <w:rPr>
                <w:rFonts w:ascii="Times New Roman" w:hAnsi="Times New Roman" w:cs="Times New Roman"/>
              </w:rPr>
            </w:pPr>
            <w:r>
              <w:rPr>
                <w:rFonts w:ascii="Times New Roman" w:hAnsi="Times New Roman" w:eastAsia="Times New Roman" w:cs="Times New Roman"/>
                <w:sz w:val="20"/>
                <w:szCs w:val="20"/>
              </w:rPr>
              <w:t>4.639***</w:t>
            </w:r>
          </w:p>
        </w:tc>
      </w:tr>
      <w:tr w14:paraId="46DD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156894BD">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3BF6829A">
            <w:pPr>
              <w:spacing w:before="20" w:after="20"/>
              <w:jc w:val="center"/>
              <w:rPr>
                <w:rFonts w:ascii="Times New Roman" w:hAnsi="Times New Roman" w:cs="Times New Roman"/>
              </w:rPr>
            </w:pPr>
            <w:r>
              <w:rPr>
                <w:rFonts w:ascii="Times New Roman" w:hAnsi="Times New Roman" w:eastAsia="Times New Roman" w:cs="Times New Roman"/>
                <w:sz w:val="20"/>
                <w:szCs w:val="20"/>
              </w:rPr>
              <w:t>(9.520)</w:t>
            </w:r>
          </w:p>
        </w:tc>
        <w:tc>
          <w:tcPr>
            <w:tcW w:w="1578" w:type="dxa"/>
            <w:tcBorders>
              <w:top w:val="nil"/>
              <w:left w:val="nil"/>
              <w:bottom w:val="nil"/>
              <w:right w:val="nil"/>
            </w:tcBorders>
            <w:tcMar>
              <w:top w:w="0" w:type="dxa"/>
              <w:left w:w="0" w:type="dxa"/>
              <w:bottom w:w="0" w:type="dxa"/>
              <w:right w:w="0" w:type="dxa"/>
            </w:tcMar>
            <w:vAlign w:val="center"/>
          </w:tcPr>
          <w:p w14:paraId="4B19E0F2">
            <w:pPr>
              <w:spacing w:before="20" w:after="20"/>
              <w:jc w:val="center"/>
              <w:rPr>
                <w:rFonts w:ascii="Times New Roman" w:hAnsi="Times New Roman" w:cs="Times New Roman"/>
              </w:rPr>
            </w:pPr>
            <w:r>
              <w:rPr>
                <w:rFonts w:ascii="Times New Roman" w:hAnsi="Times New Roman" w:eastAsia="Times New Roman" w:cs="Times New Roman"/>
                <w:sz w:val="20"/>
                <w:szCs w:val="20"/>
              </w:rPr>
              <w:t>(9.400)</w:t>
            </w:r>
          </w:p>
        </w:tc>
        <w:tc>
          <w:tcPr>
            <w:tcW w:w="1766" w:type="dxa"/>
            <w:tcBorders>
              <w:top w:val="nil"/>
              <w:left w:val="nil"/>
              <w:bottom w:val="nil"/>
              <w:right w:val="nil"/>
            </w:tcBorders>
            <w:tcMar>
              <w:top w:w="0" w:type="dxa"/>
              <w:left w:w="0" w:type="dxa"/>
              <w:bottom w:w="0" w:type="dxa"/>
              <w:right w:w="0" w:type="dxa"/>
            </w:tcMar>
            <w:vAlign w:val="center"/>
          </w:tcPr>
          <w:p w14:paraId="0E8003DF">
            <w:pPr>
              <w:spacing w:before="20" w:after="20"/>
              <w:jc w:val="center"/>
              <w:rPr>
                <w:rFonts w:ascii="Times New Roman" w:hAnsi="Times New Roman" w:cs="Times New Roman"/>
              </w:rPr>
            </w:pPr>
            <w:r>
              <w:rPr>
                <w:rFonts w:ascii="Times New Roman" w:hAnsi="Times New Roman" w:eastAsia="Times New Roman" w:cs="Times New Roman"/>
                <w:sz w:val="20"/>
                <w:szCs w:val="20"/>
              </w:rPr>
              <w:t>(9.383)</w:t>
            </w:r>
          </w:p>
        </w:tc>
        <w:tc>
          <w:tcPr>
            <w:tcW w:w="1056" w:type="dxa"/>
            <w:tcBorders>
              <w:top w:val="nil"/>
              <w:left w:val="nil"/>
              <w:bottom w:val="nil"/>
              <w:right w:val="nil"/>
            </w:tcBorders>
            <w:tcMar>
              <w:top w:w="0" w:type="dxa"/>
              <w:left w:w="0" w:type="dxa"/>
              <w:bottom w:w="0" w:type="dxa"/>
              <w:right w:w="0" w:type="dxa"/>
            </w:tcMar>
            <w:vAlign w:val="center"/>
          </w:tcPr>
          <w:p w14:paraId="13E4E1F3">
            <w:pPr>
              <w:spacing w:before="20" w:after="20"/>
              <w:jc w:val="center"/>
              <w:rPr>
                <w:rFonts w:ascii="Times New Roman" w:hAnsi="Times New Roman" w:cs="Times New Roman"/>
              </w:rPr>
            </w:pPr>
            <w:r>
              <w:rPr>
                <w:rFonts w:ascii="Times New Roman" w:hAnsi="Times New Roman" w:eastAsia="Times New Roman" w:cs="Times New Roman"/>
                <w:sz w:val="20"/>
                <w:szCs w:val="20"/>
              </w:rPr>
              <w:t>(9.420)</w:t>
            </w:r>
          </w:p>
        </w:tc>
        <w:tc>
          <w:tcPr>
            <w:tcW w:w="1178" w:type="dxa"/>
            <w:tcBorders>
              <w:top w:val="nil"/>
              <w:left w:val="nil"/>
              <w:bottom w:val="nil"/>
              <w:right w:val="nil"/>
            </w:tcBorders>
            <w:tcMar>
              <w:top w:w="0" w:type="dxa"/>
              <w:left w:w="0" w:type="dxa"/>
              <w:bottom w:w="0" w:type="dxa"/>
              <w:right w:w="0" w:type="dxa"/>
            </w:tcMar>
            <w:vAlign w:val="center"/>
          </w:tcPr>
          <w:p w14:paraId="1B0807B1">
            <w:pPr>
              <w:spacing w:before="20" w:after="20"/>
              <w:jc w:val="center"/>
              <w:rPr>
                <w:rFonts w:ascii="Times New Roman" w:hAnsi="Times New Roman" w:cs="Times New Roman"/>
              </w:rPr>
            </w:pPr>
            <w:r>
              <w:rPr>
                <w:rFonts w:ascii="Times New Roman" w:hAnsi="Times New Roman" w:eastAsia="Times New Roman" w:cs="Times New Roman"/>
                <w:sz w:val="20"/>
                <w:szCs w:val="20"/>
              </w:rPr>
              <w:t>(9.696)</w:t>
            </w:r>
          </w:p>
        </w:tc>
      </w:tr>
      <w:tr w14:paraId="4679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3F151F89">
            <w:pPr>
              <w:spacing w:before="20" w:after="20"/>
              <w:jc w:val="center"/>
              <w:rPr>
                <w:rFonts w:ascii="Times New Roman" w:hAnsi="Times New Roman" w:cs="Times New Roman"/>
              </w:rPr>
            </w:pPr>
            <w:r>
              <w:rPr>
                <w:rFonts w:ascii="Times New Roman" w:hAnsi="Times New Roman" w:eastAsia="Times New Roman" w:cs="Times New Roman"/>
                <w:sz w:val="20"/>
                <w:szCs w:val="20"/>
              </w:rPr>
              <w:t>ln_view</w:t>
            </w:r>
          </w:p>
        </w:tc>
        <w:tc>
          <w:tcPr>
            <w:tcW w:w="2356" w:type="dxa"/>
            <w:tcBorders>
              <w:top w:val="nil"/>
              <w:left w:val="nil"/>
              <w:bottom w:val="nil"/>
              <w:right w:val="nil"/>
            </w:tcBorders>
            <w:tcMar>
              <w:top w:w="0" w:type="dxa"/>
              <w:left w:w="0" w:type="dxa"/>
              <w:bottom w:w="0" w:type="dxa"/>
              <w:right w:w="0" w:type="dxa"/>
            </w:tcMar>
            <w:vAlign w:val="center"/>
          </w:tcPr>
          <w:p w14:paraId="632611CF">
            <w:pPr>
              <w:spacing w:before="20" w:after="20"/>
              <w:jc w:val="center"/>
              <w:rPr>
                <w:rFonts w:ascii="Times New Roman" w:hAnsi="Times New Roman" w:cs="Times New Roman"/>
              </w:rPr>
            </w:pPr>
            <w:r>
              <w:rPr>
                <w:rFonts w:ascii="Times New Roman" w:hAnsi="Times New Roman" w:eastAsia="Times New Roman" w:cs="Times New Roman"/>
                <w:sz w:val="20"/>
                <w:szCs w:val="20"/>
              </w:rPr>
              <w:t>-0.757***</w:t>
            </w:r>
          </w:p>
        </w:tc>
        <w:tc>
          <w:tcPr>
            <w:tcW w:w="1578" w:type="dxa"/>
            <w:tcBorders>
              <w:top w:val="nil"/>
              <w:left w:val="nil"/>
              <w:bottom w:val="nil"/>
              <w:right w:val="nil"/>
            </w:tcBorders>
            <w:tcMar>
              <w:top w:w="0" w:type="dxa"/>
              <w:left w:w="0" w:type="dxa"/>
              <w:bottom w:w="0" w:type="dxa"/>
              <w:right w:w="0" w:type="dxa"/>
            </w:tcMar>
            <w:vAlign w:val="center"/>
          </w:tcPr>
          <w:p w14:paraId="704BD24D">
            <w:pPr>
              <w:spacing w:before="20" w:after="20"/>
              <w:jc w:val="center"/>
              <w:rPr>
                <w:rFonts w:ascii="Times New Roman" w:hAnsi="Times New Roman" w:cs="Times New Roman"/>
              </w:rPr>
            </w:pPr>
            <w:r>
              <w:rPr>
                <w:rFonts w:ascii="Times New Roman" w:hAnsi="Times New Roman" w:eastAsia="Times New Roman" w:cs="Times New Roman"/>
                <w:sz w:val="20"/>
                <w:szCs w:val="20"/>
              </w:rPr>
              <w:t>-0.843***</w:t>
            </w:r>
          </w:p>
        </w:tc>
        <w:tc>
          <w:tcPr>
            <w:tcW w:w="1766" w:type="dxa"/>
            <w:tcBorders>
              <w:top w:val="nil"/>
              <w:left w:val="nil"/>
              <w:bottom w:val="nil"/>
              <w:right w:val="nil"/>
            </w:tcBorders>
            <w:tcMar>
              <w:top w:w="0" w:type="dxa"/>
              <w:left w:w="0" w:type="dxa"/>
              <w:bottom w:w="0" w:type="dxa"/>
              <w:right w:w="0" w:type="dxa"/>
            </w:tcMar>
            <w:vAlign w:val="center"/>
          </w:tcPr>
          <w:p w14:paraId="3BD63B35">
            <w:pPr>
              <w:spacing w:before="20" w:after="20"/>
              <w:jc w:val="center"/>
              <w:rPr>
                <w:rFonts w:ascii="Times New Roman" w:hAnsi="Times New Roman" w:cs="Times New Roman"/>
              </w:rPr>
            </w:pPr>
            <w:r>
              <w:rPr>
                <w:rFonts w:ascii="Times New Roman" w:hAnsi="Times New Roman" w:eastAsia="Times New Roman" w:cs="Times New Roman"/>
                <w:sz w:val="20"/>
                <w:szCs w:val="20"/>
              </w:rPr>
              <w:t>-0.763***</w:t>
            </w:r>
          </w:p>
        </w:tc>
        <w:tc>
          <w:tcPr>
            <w:tcW w:w="1056" w:type="dxa"/>
            <w:tcBorders>
              <w:top w:val="nil"/>
              <w:left w:val="nil"/>
              <w:bottom w:val="nil"/>
              <w:right w:val="nil"/>
            </w:tcBorders>
            <w:tcMar>
              <w:top w:w="0" w:type="dxa"/>
              <w:left w:w="0" w:type="dxa"/>
              <w:bottom w:w="0" w:type="dxa"/>
              <w:right w:w="0" w:type="dxa"/>
            </w:tcMar>
            <w:vAlign w:val="center"/>
          </w:tcPr>
          <w:p w14:paraId="02F06348">
            <w:pPr>
              <w:spacing w:before="20" w:after="20"/>
              <w:jc w:val="center"/>
              <w:rPr>
                <w:rFonts w:ascii="Times New Roman" w:hAnsi="Times New Roman" w:cs="Times New Roman"/>
              </w:rPr>
            </w:pPr>
            <w:r>
              <w:rPr>
                <w:rFonts w:ascii="Times New Roman" w:hAnsi="Times New Roman" w:eastAsia="Times New Roman" w:cs="Times New Roman"/>
                <w:sz w:val="20"/>
                <w:szCs w:val="20"/>
              </w:rPr>
              <w:t>-0.765**</w:t>
            </w:r>
          </w:p>
        </w:tc>
        <w:tc>
          <w:tcPr>
            <w:tcW w:w="1178" w:type="dxa"/>
            <w:tcBorders>
              <w:top w:val="nil"/>
              <w:left w:val="nil"/>
              <w:bottom w:val="nil"/>
              <w:right w:val="nil"/>
            </w:tcBorders>
            <w:tcMar>
              <w:top w:w="0" w:type="dxa"/>
              <w:left w:w="0" w:type="dxa"/>
              <w:bottom w:w="0" w:type="dxa"/>
              <w:right w:w="0" w:type="dxa"/>
            </w:tcMar>
            <w:vAlign w:val="center"/>
          </w:tcPr>
          <w:p w14:paraId="0848C70E">
            <w:pPr>
              <w:spacing w:before="20" w:after="20"/>
              <w:jc w:val="center"/>
              <w:rPr>
                <w:rFonts w:ascii="Times New Roman" w:hAnsi="Times New Roman" w:cs="Times New Roman"/>
              </w:rPr>
            </w:pPr>
            <w:r>
              <w:rPr>
                <w:rFonts w:ascii="Times New Roman" w:hAnsi="Times New Roman" w:eastAsia="Times New Roman" w:cs="Times New Roman"/>
                <w:sz w:val="20"/>
                <w:szCs w:val="20"/>
              </w:rPr>
              <w:t>-0.782***</w:t>
            </w:r>
          </w:p>
        </w:tc>
      </w:tr>
      <w:tr w14:paraId="185D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6E4ABDF2">
            <w:pPr>
              <w:spacing w:before="20" w:after="20"/>
              <w:jc w:val="center"/>
              <w:rPr>
                <w:rFonts w:ascii="Times New Roman" w:hAnsi="Times New Roman" w:cs="Times New Roman"/>
              </w:rPr>
            </w:pPr>
          </w:p>
        </w:tc>
        <w:tc>
          <w:tcPr>
            <w:tcW w:w="2356" w:type="dxa"/>
            <w:tcBorders>
              <w:top w:val="nil"/>
              <w:left w:val="nil"/>
              <w:bottom w:val="nil"/>
              <w:right w:val="nil"/>
            </w:tcBorders>
            <w:tcMar>
              <w:top w:w="0" w:type="dxa"/>
              <w:left w:w="0" w:type="dxa"/>
              <w:bottom w:w="0" w:type="dxa"/>
              <w:right w:w="0" w:type="dxa"/>
            </w:tcMar>
            <w:vAlign w:val="center"/>
          </w:tcPr>
          <w:p w14:paraId="7CAB6B43">
            <w:pPr>
              <w:spacing w:before="20" w:after="20"/>
              <w:jc w:val="center"/>
              <w:rPr>
                <w:rFonts w:ascii="Times New Roman" w:hAnsi="Times New Roman" w:cs="Times New Roman"/>
              </w:rPr>
            </w:pPr>
            <w:r>
              <w:rPr>
                <w:rFonts w:ascii="Times New Roman" w:hAnsi="Times New Roman" w:eastAsia="Times New Roman" w:cs="Times New Roman"/>
                <w:sz w:val="20"/>
                <w:szCs w:val="20"/>
              </w:rPr>
              <w:t>(-2.809)</w:t>
            </w:r>
          </w:p>
        </w:tc>
        <w:tc>
          <w:tcPr>
            <w:tcW w:w="1578" w:type="dxa"/>
            <w:tcBorders>
              <w:top w:val="nil"/>
              <w:left w:val="nil"/>
              <w:bottom w:val="nil"/>
              <w:right w:val="nil"/>
            </w:tcBorders>
            <w:tcMar>
              <w:top w:w="0" w:type="dxa"/>
              <w:left w:w="0" w:type="dxa"/>
              <w:bottom w:w="0" w:type="dxa"/>
              <w:right w:w="0" w:type="dxa"/>
            </w:tcMar>
            <w:vAlign w:val="center"/>
          </w:tcPr>
          <w:p w14:paraId="29BD320A">
            <w:pPr>
              <w:spacing w:before="20" w:after="20"/>
              <w:jc w:val="center"/>
              <w:rPr>
                <w:rFonts w:ascii="Times New Roman" w:hAnsi="Times New Roman" w:cs="Times New Roman"/>
              </w:rPr>
            </w:pPr>
            <w:r>
              <w:rPr>
                <w:rFonts w:ascii="Times New Roman" w:hAnsi="Times New Roman" w:eastAsia="Times New Roman" w:cs="Times New Roman"/>
                <w:sz w:val="20"/>
                <w:szCs w:val="20"/>
              </w:rPr>
              <w:t>(-3.127)</w:t>
            </w:r>
          </w:p>
        </w:tc>
        <w:tc>
          <w:tcPr>
            <w:tcW w:w="1766" w:type="dxa"/>
            <w:tcBorders>
              <w:top w:val="nil"/>
              <w:left w:val="nil"/>
              <w:bottom w:val="nil"/>
              <w:right w:val="nil"/>
            </w:tcBorders>
            <w:tcMar>
              <w:top w:w="0" w:type="dxa"/>
              <w:left w:w="0" w:type="dxa"/>
              <w:bottom w:w="0" w:type="dxa"/>
              <w:right w:w="0" w:type="dxa"/>
            </w:tcMar>
            <w:vAlign w:val="center"/>
          </w:tcPr>
          <w:p w14:paraId="13CD6219">
            <w:pPr>
              <w:spacing w:before="20" w:after="20"/>
              <w:jc w:val="center"/>
              <w:rPr>
                <w:rFonts w:ascii="Times New Roman" w:hAnsi="Times New Roman" w:cs="Times New Roman"/>
              </w:rPr>
            </w:pPr>
            <w:r>
              <w:rPr>
                <w:rFonts w:ascii="Times New Roman" w:hAnsi="Times New Roman" w:eastAsia="Times New Roman" w:cs="Times New Roman"/>
                <w:sz w:val="20"/>
                <w:szCs w:val="20"/>
              </w:rPr>
              <w:t>(-2.823)</w:t>
            </w:r>
          </w:p>
        </w:tc>
        <w:tc>
          <w:tcPr>
            <w:tcW w:w="1056" w:type="dxa"/>
            <w:tcBorders>
              <w:top w:val="nil"/>
              <w:left w:val="nil"/>
              <w:bottom w:val="nil"/>
              <w:right w:val="nil"/>
            </w:tcBorders>
            <w:tcMar>
              <w:top w:w="0" w:type="dxa"/>
              <w:left w:w="0" w:type="dxa"/>
              <w:bottom w:w="0" w:type="dxa"/>
              <w:right w:w="0" w:type="dxa"/>
            </w:tcMar>
            <w:vAlign w:val="center"/>
          </w:tcPr>
          <w:p w14:paraId="0B4ED004">
            <w:pPr>
              <w:spacing w:before="20" w:after="20"/>
              <w:jc w:val="center"/>
              <w:rPr>
                <w:rFonts w:ascii="Times New Roman" w:hAnsi="Times New Roman" w:cs="Times New Roman"/>
              </w:rPr>
            </w:pPr>
            <w:r>
              <w:rPr>
                <w:rFonts w:ascii="Times New Roman" w:hAnsi="Times New Roman" w:eastAsia="Times New Roman" w:cs="Times New Roman"/>
                <w:sz w:val="20"/>
                <w:szCs w:val="20"/>
              </w:rPr>
              <w:t>(-2.644)</w:t>
            </w:r>
          </w:p>
        </w:tc>
        <w:tc>
          <w:tcPr>
            <w:tcW w:w="1178" w:type="dxa"/>
            <w:tcBorders>
              <w:top w:val="nil"/>
              <w:left w:val="nil"/>
              <w:bottom w:val="nil"/>
              <w:right w:val="nil"/>
            </w:tcBorders>
            <w:tcMar>
              <w:top w:w="0" w:type="dxa"/>
              <w:left w:w="0" w:type="dxa"/>
              <w:bottom w:w="0" w:type="dxa"/>
              <w:right w:w="0" w:type="dxa"/>
            </w:tcMar>
            <w:vAlign w:val="center"/>
          </w:tcPr>
          <w:p w14:paraId="493BC0A6">
            <w:pPr>
              <w:spacing w:before="20" w:after="20"/>
              <w:jc w:val="center"/>
              <w:rPr>
                <w:rFonts w:ascii="Times New Roman" w:hAnsi="Times New Roman" w:cs="Times New Roman"/>
              </w:rPr>
            </w:pPr>
            <w:r>
              <w:rPr>
                <w:rFonts w:ascii="Times New Roman" w:hAnsi="Times New Roman" w:eastAsia="Times New Roman" w:cs="Times New Roman"/>
                <w:sz w:val="20"/>
                <w:szCs w:val="20"/>
              </w:rPr>
              <w:t>(-2.922)</w:t>
            </w:r>
          </w:p>
        </w:tc>
      </w:tr>
      <w:tr w14:paraId="3B40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667F297E">
            <w:pPr>
              <w:spacing w:before="20" w:after="20"/>
              <w:jc w:val="center"/>
              <w:rPr>
                <w:rFonts w:ascii="Times New Roman" w:hAnsi="Times New Roman" w:cs="Times New Roman"/>
              </w:rPr>
            </w:pPr>
            <w:r>
              <w:rPr>
                <w:rFonts w:ascii="Times New Roman" w:hAnsi="Times New Roman" w:eastAsia="Times New Roman" w:cs="Times New Roman"/>
                <w:sz w:val="20"/>
                <w:szCs w:val="20"/>
              </w:rPr>
              <w:t>年份/月份固定效应</w:t>
            </w:r>
          </w:p>
        </w:tc>
        <w:tc>
          <w:tcPr>
            <w:tcW w:w="2356" w:type="dxa"/>
            <w:tcBorders>
              <w:top w:val="nil"/>
              <w:left w:val="nil"/>
              <w:bottom w:val="nil"/>
              <w:right w:val="nil"/>
            </w:tcBorders>
            <w:tcMar>
              <w:top w:w="0" w:type="dxa"/>
              <w:left w:w="0" w:type="dxa"/>
              <w:bottom w:w="0" w:type="dxa"/>
              <w:right w:w="0" w:type="dxa"/>
            </w:tcMar>
            <w:vAlign w:val="center"/>
          </w:tcPr>
          <w:p w14:paraId="10641438">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578" w:type="dxa"/>
            <w:tcBorders>
              <w:top w:val="nil"/>
              <w:left w:val="nil"/>
              <w:bottom w:val="nil"/>
              <w:right w:val="nil"/>
            </w:tcBorders>
            <w:tcMar>
              <w:top w:w="0" w:type="dxa"/>
              <w:left w:w="0" w:type="dxa"/>
              <w:bottom w:w="0" w:type="dxa"/>
              <w:right w:w="0" w:type="dxa"/>
            </w:tcMar>
            <w:vAlign w:val="center"/>
          </w:tcPr>
          <w:p w14:paraId="4F90EFB1">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766" w:type="dxa"/>
            <w:tcBorders>
              <w:top w:val="nil"/>
              <w:left w:val="nil"/>
              <w:bottom w:val="nil"/>
              <w:right w:val="nil"/>
            </w:tcBorders>
            <w:tcMar>
              <w:top w:w="0" w:type="dxa"/>
              <w:left w:w="0" w:type="dxa"/>
              <w:bottom w:w="0" w:type="dxa"/>
              <w:right w:w="0" w:type="dxa"/>
            </w:tcMar>
            <w:vAlign w:val="center"/>
          </w:tcPr>
          <w:p w14:paraId="130B5B89">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056" w:type="dxa"/>
            <w:tcBorders>
              <w:top w:val="nil"/>
              <w:left w:val="nil"/>
              <w:bottom w:val="nil"/>
              <w:right w:val="nil"/>
            </w:tcBorders>
            <w:tcMar>
              <w:top w:w="0" w:type="dxa"/>
              <w:left w:w="0" w:type="dxa"/>
              <w:bottom w:w="0" w:type="dxa"/>
              <w:right w:w="0" w:type="dxa"/>
            </w:tcMar>
            <w:vAlign w:val="center"/>
          </w:tcPr>
          <w:p w14:paraId="075EC12F">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c>
          <w:tcPr>
            <w:tcW w:w="1178" w:type="dxa"/>
            <w:tcBorders>
              <w:top w:val="nil"/>
              <w:left w:val="nil"/>
              <w:bottom w:val="nil"/>
              <w:right w:val="nil"/>
            </w:tcBorders>
            <w:tcMar>
              <w:top w:w="0" w:type="dxa"/>
              <w:left w:w="0" w:type="dxa"/>
              <w:bottom w:w="0" w:type="dxa"/>
              <w:right w:w="0" w:type="dxa"/>
            </w:tcMar>
            <w:vAlign w:val="center"/>
          </w:tcPr>
          <w:p w14:paraId="7CB621E5">
            <w:pPr>
              <w:spacing w:before="20" w:after="20"/>
              <w:jc w:val="center"/>
              <w:rPr>
                <w:rFonts w:ascii="Times New Roman" w:hAnsi="Times New Roman" w:cs="Times New Roman"/>
              </w:rPr>
            </w:pPr>
            <w:r>
              <w:rPr>
                <w:rFonts w:ascii="Times New Roman" w:hAnsi="Times New Roman" w:eastAsia="Times New Roman" w:cs="Times New Roman"/>
                <w:sz w:val="20"/>
                <w:szCs w:val="20"/>
              </w:rPr>
              <w:t>是</w:t>
            </w:r>
          </w:p>
        </w:tc>
      </w:tr>
      <w:tr w14:paraId="22F5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nil"/>
              <w:right w:val="nil"/>
            </w:tcBorders>
            <w:tcMar>
              <w:top w:w="0" w:type="dxa"/>
              <w:left w:w="0" w:type="dxa"/>
              <w:bottom w:w="0" w:type="dxa"/>
              <w:right w:w="0" w:type="dxa"/>
            </w:tcMar>
            <w:vAlign w:val="center"/>
          </w:tcPr>
          <w:p w14:paraId="4A7845A1">
            <w:pPr>
              <w:spacing w:before="20" w:after="20"/>
              <w:jc w:val="center"/>
              <w:rPr>
                <w:rFonts w:ascii="Times New Roman" w:hAnsi="Times New Roman" w:cs="Times New Roman"/>
              </w:rPr>
            </w:pPr>
            <w:r>
              <w:rPr>
                <w:rFonts w:ascii="Times New Roman" w:hAnsi="Times New Roman" w:eastAsia="Times New Roman" w:cs="Times New Roman"/>
                <w:sz w:val="20"/>
                <w:szCs w:val="20"/>
              </w:rPr>
              <w:t>观测值</w:t>
            </w:r>
          </w:p>
        </w:tc>
        <w:tc>
          <w:tcPr>
            <w:tcW w:w="2356" w:type="dxa"/>
            <w:tcBorders>
              <w:top w:val="nil"/>
              <w:left w:val="nil"/>
              <w:bottom w:val="nil"/>
              <w:right w:val="nil"/>
            </w:tcBorders>
            <w:tcMar>
              <w:top w:w="0" w:type="dxa"/>
              <w:left w:w="0" w:type="dxa"/>
              <w:bottom w:w="0" w:type="dxa"/>
              <w:right w:w="0" w:type="dxa"/>
            </w:tcMar>
            <w:vAlign w:val="center"/>
          </w:tcPr>
          <w:p w14:paraId="04935195">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578" w:type="dxa"/>
            <w:tcBorders>
              <w:top w:val="nil"/>
              <w:left w:val="nil"/>
              <w:bottom w:val="nil"/>
              <w:right w:val="nil"/>
            </w:tcBorders>
            <w:tcMar>
              <w:top w:w="0" w:type="dxa"/>
              <w:left w:w="0" w:type="dxa"/>
              <w:bottom w:w="0" w:type="dxa"/>
              <w:right w:w="0" w:type="dxa"/>
            </w:tcMar>
            <w:vAlign w:val="center"/>
          </w:tcPr>
          <w:p w14:paraId="63858B3B">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766" w:type="dxa"/>
            <w:tcBorders>
              <w:top w:val="nil"/>
              <w:left w:val="nil"/>
              <w:bottom w:val="nil"/>
              <w:right w:val="nil"/>
            </w:tcBorders>
            <w:tcMar>
              <w:top w:w="0" w:type="dxa"/>
              <w:left w:w="0" w:type="dxa"/>
              <w:bottom w:w="0" w:type="dxa"/>
              <w:right w:w="0" w:type="dxa"/>
            </w:tcMar>
            <w:vAlign w:val="center"/>
          </w:tcPr>
          <w:p w14:paraId="017F459F">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c>
          <w:tcPr>
            <w:tcW w:w="1056" w:type="dxa"/>
            <w:tcBorders>
              <w:top w:val="nil"/>
              <w:left w:val="nil"/>
              <w:bottom w:val="nil"/>
              <w:right w:val="nil"/>
            </w:tcBorders>
            <w:tcMar>
              <w:top w:w="0" w:type="dxa"/>
              <w:left w:w="0" w:type="dxa"/>
              <w:bottom w:w="0" w:type="dxa"/>
              <w:right w:w="0" w:type="dxa"/>
            </w:tcMar>
            <w:vAlign w:val="center"/>
          </w:tcPr>
          <w:p w14:paraId="5F88E3D7">
            <w:pPr>
              <w:spacing w:before="20" w:after="20"/>
              <w:jc w:val="center"/>
              <w:rPr>
                <w:rFonts w:ascii="Times New Roman" w:hAnsi="Times New Roman" w:cs="Times New Roman"/>
              </w:rPr>
            </w:pPr>
            <w:r>
              <w:rPr>
                <w:rFonts w:ascii="Times New Roman" w:hAnsi="Times New Roman" w:eastAsia="Times New Roman" w:cs="Times New Roman"/>
                <w:sz w:val="20"/>
                <w:szCs w:val="20"/>
              </w:rPr>
              <w:t>5,999</w:t>
            </w:r>
          </w:p>
        </w:tc>
        <w:tc>
          <w:tcPr>
            <w:tcW w:w="1178" w:type="dxa"/>
            <w:tcBorders>
              <w:top w:val="nil"/>
              <w:left w:val="nil"/>
              <w:bottom w:val="nil"/>
              <w:right w:val="nil"/>
            </w:tcBorders>
            <w:tcMar>
              <w:top w:w="0" w:type="dxa"/>
              <w:left w:w="0" w:type="dxa"/>
              <w:bottom w:w="0" w:type="dxa"/>
              <w:right w:w="0" w:type="dxa"/>
            </w:tcMar>
            <w:vAlign w:val="center"/>
          </w:tcPr>
          <w:p w14:paraId="076FF895">
            <w:pPr>
              <w:spacing w:before="20" w:after="20"/>
              <w:jc w:val="center"/>
              <w:rPr>
                <w:rFonts w:ascii="Times New Roman" w:hAnsi="Times New Roman" w:cs="Times New Roman"/>
              </w:rPr>
            </w:pPr>
            <w:r>
              <w:rPr>
                <w:rFonts w:ascii="Times New Roman" w:hAnsi="Times New Roman" w:eastAsia="Times New Roman" w:cs="Times New Roman"/>
                <w:sz w:val="20"/>
                <w:szCs w:val="20"/>
              </w:rPr>
              <w:t>6,895</w:t>
            </w:r>
          </w:p>
        </w:tc>
      </w:tr>
      <w:tr w14:paraId="51D7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nil"/>
              <w:left w:val="nil"/>
              <w:bottom w:val="single" w:color="000000" w:sz="10" w:space="0"/>
              <w:right w:val="nil"/>
            </w:tcBorders>
            <w:tcMar>
              <w:top w:w="0" w:type="dxa"/>
              <w:left w:w="0" w:type="dxa"/>
              <w:bottom w:w="0" w:type="dxa"/>
              <w:right w:w="0" w:type="dxa"/>
            </w:tcMar>
            <w:vAlign w:val="center"/>
          </w:tcPr>
          <w:p w14:paraId="39A022EB">
            <w:pPr>
              <w:spacing w:before="20" w:after="20"/>
              <w:jc w:val="center"/>
              <w:rPr>
                <w:rFonts w:ascii="Times New Roman" w:hAnsi="Times New Roman" w:cs="Times New Roman"/>
              </w:rPr>
            </w:pPr>
            <w:r>
              <w:rPr>
                <w:rFonts w:ascii="Times New Roman" w:hAnsi="Times New Roman" w:eastAsia="Times New Roman" w:cs="Times New Roman"/>
                <w:sz w:val="20"/>
                <w:szCs w:val="20"/>
              </w:rPr>
              <w:t>R²</w:t>
            </w:r>
          </w:p>
        </w:tc>
        <w:tc>
          <w:tcPr>
            <w:tcW w:w="2356" w:type="dxa"/>
            <w:tcBorders>
              <w:top w:val="nil"/>
              <w:left w:val="nil"/>
              <w:bottom w:val="single" w:color="000000" w:sz="10" w:space="0"/>
              <w:right w:val="nil"/>
            </w:tcBorders>
            <w:tcMar>
              <w:top w:w="0" w:type="dxa"/>
              <w:left w:w="0" w:type="dxa"/>
              <w:bottom w:w="0" w:type="dxa"/>
              <w:right w:w="0" w:type="dxa"/>
            </w:tcMar>
            <w:vAlign w:val="center"/>
          </w:tcPr>
          <w:p w14:paraId="766A2D58">
            <w:pPr>
              <w:spacing w:before="20" w:after="20"/>
              <w:jc w:val="center"/>
              <w:rPr>
                <w:rFonts w:ascii="Times New Roman" w:hAnsi="Times New Roman" w:cs="Times New Roman"/>
              </w:rPr>
            </w:pPr>
            <w:r>
              <w:rPr>
                <w:rFonts w:ascii="Times New Roman" w:hAnsi="Times New Roman" w:eastAsia="Times New Roman" w:cs="Times New Roman"/>
                <w:sz w:val="20"/>
                <w:szCs w:val="20"/>
              </w:rPr>
              <w:t>0.158</w:t>
            </w:r>
          </w:p>
        </w:tc>
        <w:tc>
          <w:tcPr>
            <w:tcW w:w="1578" w:type="dxa"/>
            <w:tcBorders>
              <w:top w:val="nil"/>
              <w:left w:val="nil"/>
              <w:bottom w:val="single" w:color="000000" w:sz="10" w:space="0"/>
              <w:right w:val="nil"/>
            </w:tcBorders>
            <w:tcMar>
              <w:top w:w="0" w:type="dxa"/>
              <w:left w:w="0" w:type="dxa"/>
              <w:bottom w:w="0" w:type="dxa"/>
              <w:right w:w="0" w:type="dxa"/>
            </w:tcMar>
            <w:vAlign w:val="center"/>
          </w:tcPr>
          <w:p w14:paraId="6245BB34">
            <w:pPr>
              <w:spacing w:before="20" w:after="20"/>
              <w:jc w:val="center"/>
              <w:rPr>
                <w:rFonts w:ascii="Times New Roman" w:hAnsi="Times New Roman" w:cs="Times New Roman"/>
              </w:rPr>
            </w:pPr>
            <w:r>
              <w:rPr>
                <w:rFonts w:ascii="Times New Roman" w:hAnsi="Times New Roman" w:eastAsia="Times New Roman" w:cs="Times New Roman"/>
                <w:sz w:val="20"/>
                <w:szCs w:val="20"/>
              </w:rPr>
              <w:t>0.161</w:t>
            </w:r>
          </w:p>
        </w:tc>
        <w:tc>
          <w:tcPr>
            <w:tcW w:w="1766" w:type="dxa"/>
            <w:tcBorders>
              <w:top w:val="nil"/>
              <w:left w:val="nil"/>
              <w:bottom w:val="single" w:color="000000" w:sz="10" w:space="0"/>
              <w:right w:val="nil"/>
            </w:tcBorders>
            <w:tcMar>
              <w:top w:w="0" w:type="dxa"/>
              <w:left w:w="0" w:type="dxa"/>
              <w:bottom w:w="0" w:type="dxa"/>
              <w:right w:w="0" w:type="dxa"/>
            </w:tcMar>
            <w:vAlign w:val="center"/>
          </w:tcPr>
          <w:p w14:paraId="31E0E722">
            <w:pPr>
              <w:spacing w:before="20" w:after="20"/>
              <w:jc w:val="center"/>
              <w:rPr>
                <w:rFonts w:ascii="Times New Roman" w:hAnsi="Times New Roman" w:cs="Times New Roman"/>
              </w:rPr>
            </w:pPr>
            <w:r>
              <w:rPr>
                <w:rFonts w:ascii="Times New Roman" w:hAnsi="Times New Roman" w:eastAsia="Times New Roman" w:cs="Times New Roman"/>
                <w:sz w:val="20"/>
                <w:szCs w:val="20"/>
              </w:rPr>
              <w:t>0.164</w:t>
            </w:r>
          </w:p>
        </w:tc>
        <w:tc>
          <w:tcPr>
            <w:tcW w:w="1056" w:type="dxa"/>
            <w:tcBorders>
              <w:top w:val="nil"/>
              <w:left w:val="nil"/>
              <w:bottom w:val="single" w:color="000000" w:sz="10" w:space="0"/>
              <w:right w:val="nil"/>
            </w:tcBorders>
            <w:tcMar>
              <w:top w:w="0" w:type="dxa"/>
              <w:left w:w="0" w:type="dxa"/>
              <w:bottom w:w="0" w:type="dxa"/>
              <w:right w:w="0" w:type="dxa"/>
            </w:tcMar>
            <w:vAlign w:val="center"/>
          </w:tcPr>
          <w:p w14:paraId="73E45D00">
            <w:pPr>
              <w:spacing w:before="20" w:after="20"/>
              <w:jc w:val="center"/>
              <w:rPr>
                <w:rFonts w:ascii="Times New Roman" w:hAnsi="Times New Roman" w:cs="Times New Roman"/>
              </w:rPr>
            </w:pPr>
            <w:r>
              <w:rPr>
                <w:rFonts w:ascii="Times New Roman" w:hAnsi="Times New Roman" w:eastAsia="Times New Roman" w:cs="Times New Roman"/>
                <w:sz w:val="20"/>
                <w:szCs w:val="20"/>
              </w:rPr>
              <w:t>0.167</w:t>
            </w:r>
          </w:p>
        </w:tc>
        <w:tc>
          <w:tcPr>
            <w:tcW w:w="1178" w:type="dxa"/>
            <w:tcBorders>
              <w:top w:val="nil"/>
              <w:left w:val="nil"/>
              <w:bottom w:val="single" w:color="000000" w:sz="10" w:space="0"/>
              <w:right w:val="nil"/>
            </w:tcBorders>
            <w:tcMar>
              <w:top w:w="0" w:type="dxa"/>
              <w:left w:w="0" w:type="dxa"/>
              <w:bottom w:w="0" w:type="dxa"/>
              <w:right w:w="0" w:type="dxa"/>
            </w:tcMar>
            <w:vAlign w:val="center"/>
          </w:tcPr>
          <w:p w14:paraId="1049AE63">
            <w:pPr>
              <w:spacing w:before="20" w:after="20"/>
              <w:jc w:val="center"/>
              <w:rPr>
                <w:rFonts w:ascii="Times New Roman" w:hAnsi="Times New Roman" w:cs="Times New Roman"/>
              </w:rPr>
            </w:pPr>
            <w:r>
              <w:rPr>
                <w:rFonts w:ascii="Times New Roman" w:hAnsi="Times New Roman" w:eastAsia="Times New Roman" w:cs="Times New Roman"/>
                <w:sz w:val="20"/>
                <w:szCs w:val="20"/>
              </w:rPr>
              <w:t>0.167</w:t>
            </w:r>
          </w:p>
        </w:tc>
      </w:tr>
    </w:tbl>
    <w:p w14:paraId="0966E2E5">
      <w:pPr>
        <w:spacing w:before="60" w:after="120"/>
        <w:jc w:val="left"/>
        <w:rPr>
          <w:rFonts w:ascii="Times New Roman" w:hAnsi="Times New Roman" w:cs="Times New Roman"/>
        </w:rPr>
      </w:pPr>
      <w:r>
        <w:rPr>
          <w:rFonts w:ascii="Times New Roman" w:hAnsi="Times New Roman" w:cs="Times New Roman"/>
          <w:sz w:val="18"/>
          <w:szCs w:val="18"/>
        </w:rPr>
        <w:t>注：括号内为聚类稳健t统计量。样本调整列剔除了观测值数量处于最低和最高5%分位的UP主。疫情冲击列covid=1表示2020—2022年疫情冲击期。***p&lt;0.01，**p&lt;0.05，*p&lt;0.1。</w:t>
      </w:r>
    </w:p>
    <w:p w14:paraId="47A6EF23">
      <w:pPr>
        <w:spacing w:before="200" w:after="100"/>
        <w:outlineLvl w:val="2"/>
        <w:rPr>
          <w:rFonts w:ascii="Times New Roman" w:hAnsi="Times New Roman" w:eastAsia="黑体" w:cs="Times New Roman"/>
          <w:b/>
          <w:bCs/>
        </w:rPr>
      </w:pPr>
      <w:bookmarkStart w:id="79" w:name="_Toc31127"/>
      <w:r>
        <w:rPr>
          <w:rFonts w:ascii="Times New Roman" w:hAnsi="Times New Roman" w:eastAsia="黑体" w:cs="Times New Roman"/>
          <w:b/>
          <w:bCs/>
        </w:rPr>
        <w:t>5.6.3  滞后阶数对比</w:t>
      </w:r>
      <w:bookmarkEnd w:id="79"/>
    </w:p>
    <w:p w14:paraId="50EDFAF5">
      <w:pPr>
        <w:spacing w:line="288" w:lineRule="auto"/>
        <w:ind w:firstLine="480"/>
        <w:rPr>
          <w:rFonts w:ascii="Times New Roman" w:hAnsi="Times New Roman" w:cs="Times New Roman"/>
        </w:rPr>
      </w:pPr>
      <w:r>
        <w:rPr>
          <w:rFonts w:ascii="Times New Roman" w:hAnsi="Times New Roman" w:cs="Times New Roman"/>
        </w:rPr>
        <w:t>为验证基准模型采用滞后两期设定的合理性，将核心解释变量替换为滞后一期（L1_ln_coin）进行对比估计。如表11“滞后一期对比”列所示，L1_ln_coin的系数为0.519（t=2.985，p&lt;0.01），方向一致且高度显著，但系数量级（0.519）小于滞后两期（1.428）。这一模式与创作周期的实际特点相符：创作者接受激励信号后，需要经历一个完整的创作循环才能充分将激励内化为行为变化并体现在内容质量上；滞后两期更充分地捕捉了这一时间延迟过程，估计效果更优。两种滞后设定下核心结论方向完全一致，说明激励效应的存在不受滞后阶数选择的影响。</w:t>
      </w:r>
    </w:p>
    <w:p w14:paraId="5F63E512">
      <w:pPr>
        <w:spacing w:before="200" w:after="100"/>
        <w:outlineLvl w:val="2"/>
        <w:rPr>
          <w:rFonts w:ascii="Times New Roman" w:hAnsi="Times New Roman" w:eastAsia="黑体" w:cs="Times New Roman"/>
          <w:b/>
          <w:bCs/>
        </w:rPr>
      </w:pPr>
      <w:bookmarkStart w:id="80" w:name="_Toc2266"/>
      <w:r>
        <w:rPr>
          <w:rFonts w:ascii="Times New Roman" w:hAnsi="Times New Roman" w:eastAsia="黑体" w:cs="Times New Roman"/>
          <w:b/>
          <w:bCs/>
        </w:rPr>
        <w:t>5.6.4  样本调整</w:t>
      </w:r>
      <w:bookmarkEnd w:id="80"/>
    </w:p>
    <w:p w14:paraId="048A80E4">
      <w:pPr>
        <w:spacing w:line="288" w:lineRule="auto"/>
        <w:ind w:firstLine="480"/>
        <w:rPr>
          <w:rFonts w:ascii="Times New Roman" w:hAnsi="Times New Roman" w:cs="Times New Roman"/>
        </w:rPr>
      </w:pPr>
      <w:r>
        <w:rPr>
          <w:rFonts w:ascii="Times New Roman" w:hAnsi="Times New Roman" w:cs="Times New Roman"/>
        </w:rPr>
        <w:t>剔除观测条数处于最低5%和最高5%分位的极端UP主（即观测值过少或过多的创作者），在调整后的均衡样本（5,999条观测，46位UP主）上重新估计基准模型。如表11“样本调整”列所示，L2_ln_coin系数为1.462（t=4.204，p&lt;0.01），与基准回归系数（1.428）高度接近，说明基准结论不受样本端点UP主的驱动，结果具有一般性。</w:t>
      </w:r>
    </w:p>
    <w:p w14:paraId="6AF2F060">
      <w:pPr>
        <w:spacing w:before="200" w:after="100"/>
        <w:outlineLvl w:val="2"/>
        <w:rPr>
          <w:rFonts w:ascii="Times New Roman" w:hAnsi="Times New Roman" w:eastAsia="黑体" w:cs="Times New Roman"/>
          <w:b/>
          <w:bCs/>
        </w:rPr>
      </w:pPr>
      <w:bookmarkStart w:id="81" w:name="_Toc13678"/>
      <w:r>
        <w:rPr>
          <w:rFonts w:ascii="Times New Roman" w:hAnsi="Times New Roman" w:eastAsia="黑体" w:cs="Times New Roman"/>
          <w:b/>
          <w:bCs/>
        </w:rPr>
        <w:t>5.6.5  外生冲击检验——新冠疫情交互项</w:t>
      </w:r>
      <w:bookmarkEnd w:id="81"/>
    </w:p>
    <w:p w14:paraId="1855B4FB">
      <w:pPr>
        <w:spacing w:line="288" w:lineRule="auto"/>
        <w:ind w:firstLine="480"/>
        <w:rPr>
          <w:rFonts w:ascii="Times New Roman" w:hAnsi="Times New Roman" w:cs="Times New Roman"/>
        </w:rPr>
      </w:pPr>
      <w:r>
        <w:rPr>
          <w:rFonts w:ascii="Times New Roman" w:hAnsi="Times New Roman" w:cs="Times New Roman"/>
        </w:rPr>
        <w:t>2020—2022年，新冠疫情对B站内容生态产生了可能影响创作者行为的外生冲击。为检验疫情期间投币激励效应是否发生结构性变化，在基准模型中加入疫情期间虚拟变量（covid=1，若年份在2020—2022年）及其与L2_ln_coin的交互项（coin_covid_inter）。如表11“疫情冲击”列所示，L2_ln_coin系数为1.337（t=4.934，p&lt;0.01），依然显著；交互项coin_covid_inter系数为0.575（t=1.305），在统计上不显著，说明疫情期间投币激励效应并未出现显著的结构性断层，基准回归所识别的激励机制在疫情冲击期间保持了基本稳定性。</w:t>
      </w:r>
    </w:p>
    <w:p w14:paraId="4931A3ED">
      <w:pPr>
        <w:spacing w:before="300" w:after="150"/>
        <w:outlineLvl w:val="2"/>
        <w:rPr>
          <w:rFonts w:ascii="Times New Roman" w:hAnsi="Times New Roman" w:eastAsia="黑体" w:cs="Times New Roman"/>
          <w:b/>
          <w:bCs/>
          <w:sz w:val="28"/>
          <w:szCs w:val="28"/>
        </w:rPr>
      </w:pPr>
      <w:bookmarkStart w:id="82" w:name="_Toc909"/>
      <w:r>
        <w:rPr>
          <w:rFonts w:ascii="Times New Roman" w:hAnsi="Times New Roman" w:eastAsia="黑体" w:cs="Times New Roman"/>
          <w:b/>
          <w:bCs/>
          <w:sz w:val="28"/>
          <w:szCs w:val="28"/>
        </w:rPr>
        <w:t xml:space="preserve">5.7  </w:t>
      </w:r>
      <w:r>
        <w:rPr>
          <w:rFonts w:ascii="Times New Roman" w:hAnsi="Times New Roman" w:eastAsia="黑体" w:cs="Times New Roman"/>
          <w:b/>
          <w:bCs/>
          <w:sz w:val="26"/>
          <w:szCs w:val="26"/>
        </w:rPr>
        <w:t>主要结论汇总</w:t>
      </w:r>
      <w:bookmarkEnd w:id="82"/>
    </w:p>
    <w:p w14:paraId="76D0861F">
      <w:pPr>
        <w:spacing w:line="288" w:lineRule="auto"/>
        <w:ind w:firstLine="480"/>
        <w:rPr>
          <w:rFonts w:ascii="Times New Roman" w:hAnsi="Times New Roman" w:cs="Times New Roman"/>
        </w:rPr>
      </w:pPr>
      <w:r>
        <w:rPr>
          <w:rFonts w:ascii="Times New Roman" w:hAnsi="Times New Roman" w:cs="Times New Roman"/>
        </w:rPr>
        <w:t>综合上述各项检验，本章得出以下主要实证结论：</w:t>
      </w:r>
    </w:p>
    <w:p w14:paraId="7FE57E4D">
      <w:pPr>
        <w:spacing w:line="288" w:lineRule="auto"/>
        <w:ind w:firstLine="480"/>
        <w:rPr>
          <w:rFonts w:ascii="Times New Roman" w:hAnsi="Times New Roman" w:cs="Times New Roman"/>
        </w:rPr>
      </w:pPr>
      <w:r>
        <w:rPr>
          <w:rFonts w:ascii="Times New Roman" w:hAnsi="Times New Roman" w:cs="Times New Roman"/>
        </w:rPr>
        <w:t>（1）投币激励对知识区创作者的内容质量具有显著正向影响（β=1.428，p&lt;0.01），在经过工具变量检验、安慰剂检验、变量替换、样本调整和外生冲击检验等多重稳健性考察后，这一结论保持稳定，H1得到支持。</w:t>
      </w:r>
    </w:p>
    <w:p w14:paraId="742A93D4">
      <w:pPr>
        <w:spacing w:line="288" w:lineRule="auto"/>
        <w:ind w:firstLine="480"/>
        <w:rPr>
          <w:rFonts w:ascii="Times New Roman" w:hAnsi="Times New Roman" w:cs="Times New Roman"/>
        </w:rPr>
      </w:pPr>
      <w:r>
        <w:rPr>
          <w:rFonts w:ascii="Times New Roman" w:hAnsi="Times New Roman" w:cs="Times New Roman"/>
        </w:rPr>
        <w:t>（2）投入互惠机制成立：投币激励显著促使创作者延长内容打磨周期（H2a，β=0.077，p&lt;0.01），而打磨周期的延长进一步正向影响内容质量（H2b，β=0.532，p&lt;0.10），两步传导链条均得到支持，H2的投入互惠机制在行为层面得以验证。</w:t>
      </w:r>
    </w:p>
    <w:p w14:paraId="74BB6092">
      <w:pPr>
        <w:spacing w:line="288" w:lineRule="auto"/>
        <w:ind w:firstLine="480"/>
        <w:rPr>
          <w:rFonts w:ascii="Times New Roman" w:hAnsi="Times New Roman" w:cs="Times New Roman"/>
        </w:rPr>
      </w:pPr>
      <w:r>
        <w:rPr>
          <w:rFonts w:ascii="Times New Roman" w:hAnsi="Times New Roman" w:cs="Times New Roman"/>
        </w:rPr>
        <w:t>（3）深度反馈机制的中介链条未能完整成立：投币激励对评论互动深度的直接影响不显著（H3a未支持），但评论互动深度对内容质量的正向影响高度显著（H3b，β=2.582，p&lt;0.01）。H3的中介效应因a路径缺失而不完整，评论深度更可能作为内容质量的伴生特征而非中介变量发挥作用。</w:t>
      </w:r>
    </w:p>
    <w:p w14:paraId="4424C23A">
      <w:pPr>
        <w:spacing w:line="288" w:lineRule="auto"/>
        <w:ind w:firstLine="480"/>
        <w:rPr>
          <w:rFonts w:ascii="Times New Roman" w:hAnsi="Times New Roman" w:cs="Times New Roman"/>
        </w:rPr>
      </w:pPr>
      <w:r>
        <w:rPr>
          <w:rFonts w:ascii="Times New Roman" w:hAnsi="Times New Roman" w:cs="Times New Roman"/>
        </w:rPr>
        <w:t>（4）流量传播路径不构成投币激励的有效中介：投币对分享数的影响完全不显著（H4支持），证实投币是价值信号而非流量信号，其激励逻辑与分享、传播等流量驱动行为存在本质差异。</w:t>
      </w:r>
    </w:p>
    <w:p w14:paraId="1916AFDE">
      <w:pPr>
        <w:spacing w:line="288" w:lineRule="auto"/>
        <w:ind w:firstLine="480"/>
        <w:rPr>
          <w:rFonts w:ascii="Times New Roman" w:hAnsi="Times New Roman" w:cs="Times New Roman"/>
        </w:rPr>
      </w:pPr>
      <w:r>
        <w:rPr>
          <w:rFonts w:ascii="Times New Roman" w:hAnsi="Times New Roman" w:cs="Times New Roman"/>
        </w:rPr>
        <w:t>（5）投币激励效应存在显著群体异质性：头部UP主（β=1.611）的质量响应幅度大于尾部UP主（β=1.284），长视频（β=1.695）的响应幅度大于短视频（β=1.129），H5a和H5b均得到支持。</w:t>
      </w:r>
    </w:p>
    <w:p w14:paraId="2404BAC5">
      <w:pPr>
        <w:spacing w:line="288" w:lineRule="auto"/>
        <w:ind w:firstLine="480"/>
        <w:rPr>
          <w:rFonts w:ascii="Times New Roman" w:hAnsi="Times New Roman" w:cs="Times New Roman"/>
        </w:rPr>
      </w:pPr>
      <w:r>
        <w:rPr>
          <w:rFonts w:ascii="Times New Roman" w:hAnsi="Times New Roman" w:cs="Times New Roman"/>
        </w:rPr>
        <w:t>（6）投币激励与内容质量的关系呈线性特征，未观测到显著的非线性效应或与点赞行为的交互效应，说明投币激励机制本身具有较强的独立性和稳定性。</w:t>
      </w:r>
    </w:p>
    <w:p w14:paraId="616C1314">
      <w:pPr>
        <w:spacing w:before="400" w:after="200"/>
        <w:jc w:val="center"/>
        <w:outlineLvl w:val="0"/>
        <w:rPr>
          <w:rFonts w:ascii="Times New Roman" w:hAnsi="Times New Roman" w:eastAsia="黑体" w:cs="Times New Roman"/>
          <w:b/>
          <w:bCs/>
          <w:sz w:val="32"/>
          <w:szCs w:val="32"/>
        </w:rPr>
      </w:pPr>
      <w:bookmarkStart w:id="83" w:name="_Toc13516"/>
      <w:r>
        <w:rPr>
          <w:rFonts w:ascii="Times New Roman" w:hAnsi="Times New Roman" w:eastAsia="黑体" w:cs="Times New Roman"/>
          <w:b/>
          <w:bCs/>
          <w:sz w:val="32"/>
          <w:szCs w:val="32"/>
        </w:rPr>
        <w:t>第六章  总结和讨论</w:t>
      </w:r>
      <w:bookmarkEnd w:id="83"/>
    </w:p>
    <w:p w14:paraId="0DB94B32">
      <w:pPr>
        <w:spacing w:line="288" w:lineRule="auto"/>
        <w:ind w:firstLine="480"/>
        <w:rPr>
          <w:rFonts w:ascii="Times New Roman" w:hAnsi="Times New Roman" w:cs="Times New Roman"/>
        </w:rPr>
      </w:pPr>
      <w:r>
        <w:rPr>
          <w:rFonts w:ascii="Times New Roman" w:hAnsi="Times New Roman" w:cs="Times New Roman"/>
        </w:rPr>
        <w:t>本章节对前文的研究进行了总结并给出了相应的建议。同时，本章节对本文研究方法和研究内容的不足进行了探讨，并从不足中总结了未来可能的研究方向。本章节包含了两个小节。</w:t>
      </w:r>
    </w:p>
    <w:p w14:paraId="5F7E696C">
      <w:pPr>
        <w:spacing w:before="300" w:after="150"/>
        <w:outlineLvl w:val="2"/>
        <w:rPr>
          <w:rFonts w:ascii="Times New Roman" w:hAnsi="Times New Roman" w:eastAsia="黑体" w:cs="Times New Roman"/>
          <w:b/>
          <w:bCs/>
          <w:sz w:val="28"/>
          <w:szCs w:val="28"/>
        </w:rPr>
      </w:pPr>
      <w:bookmarkStart w:id="84" w:name="_Toc18604"/>
      <w:r>
        <w:rPr>
          <w:rFonts w:ascii="Times New Roman" w:hAnsi="Times New Roman" w:eastAsia="黑体" w:cs="Times New Roman"/>
          <w:b/>
          <w:bCs/>
          <w:sz w:val="28"/>
          <w:szCs w:val="28"/>
        </w:rPr>
        <w:t>6.1 总结与建议</w:t>
      </w:r>
      <w:bookmarkEnd w:id="84"/>
    </w:p>
    <w:p w14:paraId="1297DE57">
      <w:pPr>
        <w:spacing w:line="288" w:lineRule="auto"/>
        <w:ind w:firstLine="480"/>
        <w:rPr>
          <w:rFonts w:ascii="Times New Roman" w:hAnsi="Times New Roman" w:cs="Times New Roman"/>
        </w:rPr>
      </w:pPr>
      <w:r>
        <w:rPr>
          <w:rFonts w:ascii="Times New Roman" w:hAnsi="Times New Roman" w:cs="Times New Roman"/>
        </w:rPr>
        <w:t>在UGC内容平台生态中，存在多种形式的激励机制，货币激励与非金钱激励均会对创作者的内容产出质量产生不同程度的影响。本文以哔哩哔哩知识区为研究场景，重点考察了投币这一典型稀缺性非金钱激励对创作者内容质量的影响，以及这种激励效应得以实现的行为传导路径。</w:t>
      </w:r>
    </w:p>
    <w:p w14:paraId="55B1C722">
      <w:pPr>
        <w:spacing w:line="288" w:lineRule="auto"/>
        <w:ind w:firstLine="480"/>
        <w:rPr>
          <w:rFonts w:ascii="Times New Roman" w:hAnsi="Times New Roman" w:cs="Times New Roman"/>
        </w:rPr>
      </w:pPr>
      <w:r>
        <w:rPr>
          <w:rFonts w:ascii="Times New Roman" w:hAnsi="Times New Roman" w:cs="Times New Roman"/>
        </w:rPr>
        <w:t>在直接激励效应层面，我们发现，投币激励对知识区创作者后续视频的内容质量具有显著正向影响。滞后两期的投币数每增加1%，内容质量指数平均提升约1.428个单位，且这一因果关系经过安慰剂检验、工具变量估计、变量替换、样本调整及外生冲击检验等多重稳健性考察后依然稳定。这表明，投币作为一种以稀缺性为核心属性的非金钱激励，确实能够有效驱动知识区创作者在后续创作中付出更多努力、产出更高质量的内容。其激励逻辑根植于社会交换理论的互惠规范——当观众以有限的硬币资源向创作者传递价值认同时，创作者会产生以更优质内容回报观众的内在动机。</w:t>
      </w:r>
    </w:p>
    <w:p w14:paraId="7A2EC576">
      <w:pPr>
        <w:spacing w:line="288" w:lineRule="auto"/>
        <w:ind w:firstLine="480"/>
        <w:rPr>
          <w:rFonts w:ascii="Times New Roman" w:hAnsi="Times New Roman" w:cs="Times New Roman"/>
        </w:rPr>
      </w:pPr>
      <w:r>
        <w:rPr>
          <w:rFonts w:ascii="Times New Roman" w:hAnsi="Times New Roman" w:cs="Times New Roman"/>
        </w:rPr>
        <w:t>在激励传导机制层面，投入互惠机制（以打磨周期为中介的路径）得到了数据的完整支持：投币激励显著促使创作者延长内容发布间隔（β=0.077，p&lt;0.01），而更长的打磨周期又进一步正向影响内容质量（β=0.532，p&lt;0.10）。这说明投币激励通过驱动创作者延长内容打磨周期这一行为变量，将外部价值认同转化为可观察的质量提升，印证了互惠规范在时间投入层面的具体化作用机制。深度反馈机制（以评论互动深度为中介的路径）则呈现出部分支持的格局：投币对评论数量的直接影响在统计上不显著（H3a未获支持），但评论互动深度对内容质量的正向影响高度显著（β=2.582，p&lt;0.01）。这一结果表明，丰富的评论互动是高质量内容的重要伴生特征，观众的深度评论为创作者提供了实质性的内容改进信息，但投币激励触发评论参与的路径可能需要更长的时间窗口才能充分显现，当期激励信号向评论行为的转化存在更长的时间滞后。</w:t>
      </w:r>
    </w:p>
    <w:p w14:paraId="264BB5B9">
      <w:pPr>
        <w:spacing w:line="288" w:lineRule="auto"/>
        <w:ind w:firstLine="480"/>
        <w:rPr>
          <w:rFonts w:ascii="Times New Roman" w:hAnsi="Times New Roman" w:cs="Times New Roman"/>
        </w:rPr>
      </w:pPr>
      <w:r>
        <w:rPr>
          <w:rFonts w:ascii="Times New Roman" w:hAnsi="Times New Roman" w:cs="Times New Roman"/>
        </w:rPr>
        <w:t>在价值信号与流量信号的比较检验层面，本文发现分享传播路径对创作者内容质量的中介效应不成立：投币激励对视频分享数的影响完全不显著（H4支持），这一结果确认了投币本质上传递的是观众对内容深度价值的认同信号，而非流量导向的传播信号，其激励逻辑有别于点赞、分享等低成本互动行为。同时，总的来看，变动收入确实会引起主播直播时长的变化，而直播时长也会正向影响主播直播的业绩，分享数与内容质量之间虽然存在显著正相关，但其方向为</w:t>
      </w:r>
      <w:r>
        <w:rPr>
          <w:rFonts w:hint="eastAsia" w:ascii="Times New Roman" w:hAnsi="Times New Roman" w:cs="Times New Roman"/>
        </w:rPr>
        <w:t>“</w:t>
      </w:r>
      <w:r>
        <w:rPr>
          <w:rFonts w:ascii="Times New Roman" w:hAnsi="Times New Roman" w:cs="Times New Roman"/>
        </w:rPr>
        <w:t>高质量内容天然引发更多传播</w:t>
      </w:r>
      <w:r>
        <w:rPr>
          <w:rFonts w:hint="eastAsia" w:ascii="Times New Roman" w:hAnsi="Times New Roman" w:cs="Times New Roman"/>
        </w:rPr>
        <w:t>”</w:t>
      </w:r>
      <w:r>
        <w:rPr>
          <w:rFonts w:ascii="Times New Roman" w:hAnsi="Times New Roman" w:cs="Times New Roman"/>
        </w:rPr>
        <w:t>，而非</w:t>
      </w:r>
      <w:r>
        <w:rPr>
          <w:rFonts w:hint="eastAsia" w:ascii="Times New Roman" w:hAnsi="Times New Roman" w:cs="Times New Roman"/>
        </w:rPr>
        <w:t>“</w:t>
      </w:r>
      <w:r>
        <w:rPr>
          <w:rFonts w:ascii="Times New Roman" w:hAnsi="Times New Roman" w:cs="Times New Roman"/>
        </w:rPr>
        <w:t>分享促进创作者改善质量</w:t>
      </w:r>
      <w:r>
        <w:rPr>
          <w:rFonts w:hint="eastAsia" w:ascii="Times New Roman" w:hAnsi="Times New Roman" w:cs="Times New Roman"/>
        </w:rPr>
        <w:t>”</w:t>
      </w:r>
      <w:r>
        <w:rPr>
          <w:rFonts w:ascii="Times New Roman" w:hAnsi="Times New Roman" w:cs="Times New Roman"/>
        </w:rPr>
        <w:t>。这与信号理论对</w:t>
      </w:r>
      <w:r>
        <w:rPr>
          <w:rFonts w:hint="eastAsia" w:ascii="Times New Roman" w:hAnsi="Times New Roman" w:cs="Times New Roman"/>
        </w:rPr>
        <w:t>“</w:t>
      </w:r>
      <w:r>
        <w:rPr>
          <w:rFonts w:ascii="Times New Roman" w:hAnsi="Times New Roman" w:cs="Times New Roman"/>
        </w:rPr>
        <w:t>可靠信号</w:t>
      </w:r>
      <w:r>
        <w:rPr>
          <w:rFonts w:hint="eastAsia" w:ascii="Times New Roman" w:hAnsi="Times New Roman" w:cs="Times New Roman"/>
        </w:rPr>
        <w:t>”</w:t>
      </w:r>
      <w:r>
        <w:rPr>
          <w:rFonts w:ascii="Times New Roman" w:hAnsi="Times New Roman" w:cs="Times New Roman"/>
        </w:rPr>
        <w:t>的界定高度契合：只有具备足够高发送成本的信号，才能有效传递创作者可信赖的质量认可信息。</w:t>
      </w:r>
    </w:p>
    <w:p w14:paraId="41628898">
      <w:pPr>
        <w:spacing w:line="288" w:lineRule="auto"/>
        <w:ind w:firstLine="480"/>
        <w:rPr>
          <w:rFonts w:ascii="Times New Roman" w:hAnsi="Times New Roman" w:cs="Times New Roman"/>
        </w:rPr>
      </w:pPr>
      <w:r>
        <w:rPr>
          <w:rFonts w:ascii="Times New Roman" w:hAnsi="Times New Roman" w:cs="Times New Roman"/>
        </w:rPr>
        <w:t>异质性分析进一步揭示，激励效应的释放存在明显的群体分化：头部创作者（粉丝数超过百万）对投币激励的内容质量响应幅度（β=1.611）显著高于尾部创作者（β=1.284），长视频内容（时长超过15分钟）的激励响应幅度（β=1.695）同样明显大于短视频（β=1.129）。这表明，拥有更成熟制作体系的头部创作者和制作空间更宽裕的长视频内容，能够更有效地将投币激励的互惠动机转化为可见的质量增量，而资源有限的尾部创作者和格式固定的短视频则在激励转化效率上受到更多客观约束。激励机制对内容质量存在两段式影响：激励机制首先正向影响了创作者的打磨周期与互动深度，这些中介变量再正向影响内容质量。因此，合理的激励机制设计不仅需要关注激励强度，更需要关注不同群体将激励转化为质量提升的能力差异。</w:t>
      </w:r>
    </w:p>
    <w:p w14:paraId="1BDE8524">
      <w:pPr>
        <w:spacing w:line="288" w:lineRule="auto"/>
        <w:ind w:firstLine="480"/>
        <w:rPr>
          <w:rFonts w:ascii="Times New Roman" w:hAnsi="Times New Roman" w:cs="Times New Roman"/>
        </w:rPr>
      </w:pPr>
      <w:r>
        <w:rPr>
          <w:rFonts w:ascii="Times New Roman" w:hAnsi="Times New Roman" w:cs="Times New Roman"/>
        </w:rPr>
        <w:t>基于以上，对于内容平台的激励机制设计有以下一些启示：</w:t>
      </w:r>
    </w:p>
    <w:p w14:paraId="0437B279">
      <w:pPr>
        <w:spacing w:line="288" w:lineRule="auto"/>
        <w:ind w:firstLine="480"/>
        <w:rPr>
          <w:rFonts w:ascii="Times New Roman" w:hAnsi="Times New Roman" w:cs="Times New Roman"/>
        </w:rPr>
      </w:pPr>
      <w:r>
        <w:rPr>
          <w:rFonts w:ascii="Times New Roman" w:hAnsi="Times New Roman" w:cs="Times New Roman"/>
        </w:rPr>
        <w:t>（1）坚守投币机制的稀缺性设计，维护价值信号的可信度。</w:t>
      </w:r>
    </w:p>
    <w:p w14:paraId="6CD1FE36">
      <w:pPr>
        <w:spacing w:line="288" w:lineRule="auto"/>
        <w:ind w:firstLine="480"/>
        <w:rPr>
          <w:rFonts w:ascii="Times New Roman" w:hAnsi="Times New Roman" w:cs="Times New Roman"/>
        </w:rPr>
      </w:pPr>
      <w:r>
        <w:rPr>
          <w:rFonts w:ascii="Times New Roman" w:hAnsi="Times New Roman" w:cs="Times New Roman"/>
        </w:rPr>
        <w:t>本文的核心发现表明，投币激励之所以能够有效驱动内容质量提升，根本原因在于其稀缺性设计赋予了投币行为超越普通互动的价值认同属性。一旦稀缺性被破坏——例如通过无节制地扩大每日硬币发放量，或将投币数据与流量分发强行挂钩——投币信号的可靠性将大幅下降，其作为高成本价值认可信号的独特激励功能也将随之失效。因此，平台在优化激励机制时，应将维护投币机制的稀缺性设计作为核心原则，抵制以扩大互动数量为目的的异化改造，确保投币数据能够持续承担内容质量甄别的信号功能。</w:t>
      </w:r>
    </w:p>
    <w:p w14:paraId="6F0ECF43">
      <w:pPr>
        <w:spacing w:line="288" w:lineRule="auto"/>
        <w:ind w:firstLine="480"/>
        <w:rPr>
          <w:rFonts w:ascii="Times New Roman" w:hAnsi="Times New Roman" w:cs="Times New Roman"/>
        </w:rPr>
      </w:pPr>
      <w:r>
        <w:rPr>
          <w:rFonts w:ascii="Times New Roman" w:hAnsi="Times New Roman" w:cs="Times New Roman"/>
        </w:rPr>
        <w:t>（2）重视非金钱激励对内容创作者的驱动作用。</w:t>
      </w:r>
    </w:p>
    <w:p w14:paraId="74C01306">
      <w:pPr>
        <w:spacing w:line="288" w:lineRule="auto"/>
        <w:ind w:firstLine="480"/>
        <w:rPr>
          <w:rFonts w:ascii="Times New Roman" w:hAnsi="Times New Roman" w:cs="Times New Roman"/>
        </w:rPr>
      </w:pPr>
      <w:r>
        <w:rPr>
          <w:rFonts w:ascii="Times New Roman" w:hAnsi="Times New Roman" w:cs="Times New Roman"/>
        </w:rPr>
        <w:t>非金钱激励是当前UGC创作者激励研究中被低估的一个维度。在过去的创作者激励研究中，货币激励始终是核心关注点，而非金钱激励往往作为辅助手段被一带而过。本文的研究结果发现，投币激励同样会对创作者的内容质量产生积极影响，非金钱激励在内容创作领域具有不可忽视的作用。精神层面的价值认可对于知识工作者而言，能够有效补充创作过程中消耗的认知资源，激励他们维持高强度的内容深耕。对于平台而言，除分成奖励、商单合作等货币激励渠道外，应积极完善弹幕、评论、投币等非金钱互动的社区生态建设，利用互动和认可等方式激励创作者的内容产出热情，保持创作者的创作积极性。</w:t>
      </w:r>
    </w:p>
    <w:p w14:paraId="6C4C9040">
      <w:pPr>
        <w:spacing w:line="288" w:lineRule="auto"/>
        <w:ind w:firstLine="480"/>
        <w:rPr>
          <w:rFonts w:ascii="Times New Roman" w:hAnsi="Times New Roman" w:cs="Times New Roman"/>
        </w:rPr>
      </w:pPr>
      <w:r>
        <w:rPr>
          <w:rFonts w:ascii="Times New Roman" w:hAnsi="Times New Roman" w:cs="Times New Roman"/>
        </w:rPr>
        <w:t>（3）针对不同创作者群体实施差异化激励策略。</w:t>
      </w:r>
    </w:p>
    <w:p w14:paraId="78A47E4A">
      <w:pPr>
        <w:spacing w:line="288" w:lineRule="auto"/>
        <w:ind w:firstLine="480"/>
        <w:rPr>
          <w:rFonts w:ascii="Times New Roman" w:hAnsi="Times New Roman" w:cs="Times New Roman"/>
        </w:rPr>
      </w:pPr>
      <w:r>
        <w:rPr>
          <w:rFonts w:ascii="Times New Roman" w:hAnsi="Times New Roman" w:cs="Times New Roman"/>
        </w:rPr>
        <w:t>异质性分析表明，头部创作者和长视频内容对投币激励的质量响应幅度更为突出，尾部创作者和短视频受制于资源约束，激励转化效率相对有限。这意味着</w:t>
      </w:r>
      <w:r>
        <w:rPr>
          <w:rFonts w:hint="eastAsia" w:ascii="Times New Roman" w:hAnsi="Times New Roman" w:cs="Times New Roman"/>
        </w:rPr>
        <w:t>“</w:t>
      </w:r>
      <w:r>
        <w:rPr>
          <w:rFonts w:ascii="Times New Roman" w:hAnsi="Times New Roman" w:cs="Times New Roman"/>
        </w:rPr>
        <w:t>一刀切</w:t>
      </w:r>
      <w:r>
        <w:rPr>
          <w:rFonts w:hint="eastAsia" w:ascii="Times New Roman" w:hAnsi="Times New Roman" w:cs="Times New Roman"/>
        </w:rPr>
        <w:t>”</w:t>
      </w:r>
      <w:r>
        <w:rPr>
          <w:rFonts w:ascii="Times New Roman" w:hAnsi="Times New Roman" w:cs="Times New Roman"/>
        </w:rPr>
        <w:t>的激励方案在效率上存在明显局限。各类平台在运用激励机制来引导创作者提升内容质量的同时，也要适当结合对不同群体的差异化资源支持。相比而言，对于成长期的尾部创作者，单纯依赖非金钱激励成本更低，但对于将激励信号转化为质量改善的能力培育同样不可忽视——平台可在非金钱激励之外叠加流量扶持、制作培训、选题指导等工具性支持，帮助尾部创作者突破资源瓶颈，提升其激励响应能力。</w:t>
      </w:r>
    </w:p>
    <w:p w14:paraId="44B26664">
      <w:pPr>
        <w:spacing w:line="288" w:lineRule="auto"/>
        <w:ind w:firstLine="480"/>
        <w:rPr>
          <w:rFonts w:ascii="Times New Roman" w:hAnsi="Times New Roman" w:cs="Times New Roman"/>
        </w:rPr>
      </w:pPr>
      <w:r>
        <w:rPr>
          <w:rFonts w:ascii="Times New Roman" w:hAnsi="Times New Roman" w:cs="Times New Roman"/>
        </w:rPr>
        <w:t>（4）将内容评价导向从流量优先切换为质量优先。</w:t>
      </w:r>
    </w:p>
    <w:p w14:paraId="5631B59D">
      <w:pPr>
        <w:spacing w:line="288" w:lineRule="auto"/>
        <w:ind w:firstLine="480"/>
        <w:rPr>
          <w:rFonts w:ascii="Times New Roman" w:hAnsi="Times New Roman" w:cs="Times New Roman"/>
        </w:rPr>
      </w:pPr>
      <w:r>
        <w:rPr>
          <w:rFonts w:ascii="Times New Roman" w:hAnsi="Times New Roman" w:cs="Times New Roman"/>
        </w:rPr>
        <w:t>本文以B站知识区作为研究场景，研究了投币激励对创作者内容质量的影响及其传导路径。作为一种典型的知识内容生产平台，B站知识区的创作者面临创作深度与传播广度之间的持续张力。研究结果表明，以投币率（币播比）为核心的质量导向激励，比以播放量、分享数为核心的流量导向激励，在提升内容质量方面具有更为直接的激励效果。本文的结论在逻辑上同样适用于短视频平台的知识创作板块、专业问答社区等其他知识类UGC场景——在这些场景中，深化质量信号的可见性、提升质量导向指标在激励评估体系中的权重，同样是驱动内容生态向好发展的有效路径。对于平台运营方而言，建议逐步将激励计划的评估体系向质量优先切换，实现创作者与平台在内容质量上的双赢。</w:t>
      </w:r>
    </w:p>
    <w:p w14:paraId="0D901C58">
      <w:pPr>
        <w:spacing w:before="300" w:after="150"/>
        <w:outlineLvl w:val="2"/>
        <w:rPr>
          <w:rFonts w:ascii="Times New Roman" w:hAnsi="Times New Roman" w:cs="Times New Roman"/>
        </w:rPr>
      </w:pPr>
      <w:bookmarkStart w:id="85" w:name="_Toc26341"/>
      <w:r>
        <w:rPr>
          <w:rFonts w:ascii="Times New Roman" w:hAnsi="Times New Roman" w:eastAsia="黑体" w:cs="Times New Roman"/>
          <w:b/>
          <w:bCs/>
          <w:sz w:val="28"/>
          <w:szCs w:val="28"/>
        </w:rPr>
        <w:t>6.2 局限性与展望</w:t>
      </w:r>
      <w:bookmarkEnd w:id="85"/>
    </w:p>
    <w:p w14:paraId="2B162DE6">
      <w:pPr>
        <w:spacing w:line="288" w:lineRule="auto"/>
        <w:ind w:firstLine="480"/>
        <w:rPr>
          <w:rFonts w:ascii="Times New Roman" w:hAnsi="Times New Roman" w:cs="Times New Roman"/>
        </w:rPr>
      </w:pPr>
      <w:r>
        <w:rPr>
          <w:rFonts w:ascii="Times New Roman" w:hAnsi="Times New Roman" w:cs="Times New Roman"/>
        </w:rPr>
        <w:t>由于时间、资源与技术条件的限制，本研究在样本规模、测量方法和研究设计等层面存在若干不足，有待未来研究加以改进与深化。</w:t>
      </w:r>
    </w:p>
    <w:p w14:paraId="123FE1AA">
      <w:pPr>
        <w:spacing w:line="288" w:lineRule="auto"/>
        <w:ind w:firstLine="480"/>
        <w:rPr>
          <w:rFonts w:ascii="Times New Roman" w:hAnsi="Times New Roman" w:cs="Times New Roman"/>
        </w:rPr>
      </w:pPr>
      <w:r>
        <w:rPr>
          <w:rFonts w:ascii="Times New Roman" w:hAnsi="Times New Roman" w:cs="Times New Roman"/>
        </w:rPr>
        <w:t>在样本覆盖方面，本研究仅采集了86位B站知识区活跃UP主在2019年3月至2025年12月间发布的视频数据，最终进入回归分析的有效样本为7050条。受限于爬虫数据采集速度和API接口的频率限制，样本UP主数量尚不足以覆盖知识区所有细分领域的代表性创作者。此外，样本构建过程中对</w:t>
      </w:r>
      <w:r>
        <w:rPr>
          <w:rFonts w:hint="eastAsia" w:ascii="Times New Roman" w:hAnsi="Times New Roman" w:cs="Times New Roman"/>
        </w:rPr>
        <w:t>“</w:t>
      </w:r>
      <w:r>
        <w:rPr>
          <w:rFonts w:ascii="Times New Roman" w:hAnsi="Times New Roman" w:cs="Times New Roman"/>
        </w:rPr>
        <w:t>持续活跃</w:t>
      </w:r>
      <w:r>
        <w:rPr>
          <w:rFonts w:hint="eastAsia" w:ascii="Times New Roman" w:hAnsi="Times New Roman" w:cs="Times New Roman"/>
        </w:rPr>
        <w:t>”</w:t>
      </w:r>
      <w:r>
        <w:rPr>
          <w:rFonts w:ascii="Times New Roman" w:hAnsi="Times New Roman" w:cs="Times New Roman"/>
        </w:rPr>
        <w:t>和</w:t>
      </w:r>
      <w:r>
        <w:rPr>
          <w:rFonts w:hint="eastAsia" w:ascii="Times New Roman" w:hAnsi="Times New Roman" w:cs="Times New Roman"/>
        </w:rPr>
        <w:t>“</w:t>
      </w:r>
      <w:r>
        <w:rPr>
          <w:rFonts w:ascii="Times New Roman" w:hAnsi="Times New Roman" w:cs="Times New Roman"/>
        </w:rPr>
        <w:t>原创内容</w:t>
      </w:r>
      <w:r>
        <w:rPr>
          <w:rFonts w:hint="eastAsia" w:ascii="Times New Roman" w:hAnsi="Times New Roman" w:cs="Times New Roman"/>
        </w:rPr>
        <w:t>”</w:t>
      </w:r>
      <w:r>
        <w:rPr>
          <w:rFonts w:ascii="Times New Roman" w:hAnsi="Times New Roman" w:cs="Times New Roman"/>
        </w:rPr>
        <w:t>的筛选标准，可能导致对间歇性更新创作者和早期退出平台创作者的系统性遗漏，使得样本对知识区整体创作生态的代表性存在一定局限。未来研究可考虑与平台方或数据服务商合作，获取不受爬虫限制的完整数据，并将样本范围扩展至更宽泛的创作者群体，包括不同活跃程度和不同退出状态的创作者，以增强结论的外部效度。</w:t>
      </w:r>
    </w:p>
    <w:p w14:paraId="191D7A95">
      <w:pPr>
        <w:spacing w:line="288" w:lineRule="auto"/>
        <w:ind w:firstLine="480"/>
        <w:rPr>
          <w:rFonts w:ascii="Times New Roman" w:hAnsi="Times New Roman" w:cs="Times New Roman"/>
        </w:rPr>
      </w:pPr>
      <w:r>
        <w:rPr>
          <w:rFonts w:ascii="Times New Roman" w:hAnsi="Times New Roman" w:cs="Times New Roman"/>
        </w:rPr>
        <w:t>在因变量测量方面，本文提出的多模态内容质量指数依然存在一定局限。弹幕情感得分的准确性在一定程度上依赖于专属情感词典的覆盖范围和SnowNLP模型的识别精度，对于讽刺语气、复杂语境下的情感反转以及新兴网络用语的处理，现有方法仍有提升空间。同时，币播比虽然能够有效代理内容的深度认可程度，但对于初发视频或冷启动内容而言，早期播放量偏低可能导致币播比数值异常波动。此外，平台流量分发算法的周期性调整也可能对不同时期视频的曝光机会产生系统性影响，进而影响质量指数的可比性。未来研究可引入大语言模型对弹幕和评论文本进行更精细的语义理解，或结合人工标注构建更高质量的测试集，以提升内容质量测量的准确性与稳定性。</w:t>
      </w:r>
    </w:p>
    <w:p w14:paraId="0E3338B5">
      <w:pPr>
        <w:spacing w:line="288" w:lineRule="auto"/>
        <w:ind w:firstLine="480"/>
        <w:rPr>
          <w:rFonts w:ascii="Times New Roman" w:hAnsi="Times New Roman" w:cs="Times New Roman"/>
        </w:rPr>
      </w:pPr>
      <w:r>
        <w:rPr>
          <w:rFonts w:ascii="Times New Roman" w:hAnsi="Times New Roman" w:cs="Times New Roman"/>
        </w:rPr>
        <w:t>本文没有讨论创作者主观内容策略对投币激励效应传导路径的调节作用。在现有的内容创作研究中，创作者的内容生产策略——如内容垂直化程度、题材的选择逻辑、与观众互动方式的主动调整——是影响激励信号内化方式的重要因素。部分创作者倾向于将高投币量解读为</w:t>
      </w:r>
      <w:r>
        <w:rPr>
          <w:rFonts w:hint="eastAsia" w:ascii="Times New Roman" w:hAnsi="Times New Roman" w:cs="Times New Roman"/>
        </w:rPr>
        <w:t>“</w:t>
      </w:r>
      <w:r>
        <w:rPr>
          <w:rFonts w:ascii="Times New Roman" w:hAnsi="Times New Roman" w:cs="Times New Roman"/>
        </w:rPr>
        <w:t>深化当前选题方向</w:t>
      </w:r>
      <w:r>
        <w:rPr>
          <w:rFonts w:hint="eastAsia" w:ascii="Times New Roman" w:hAnsi="Times New Roman" w:cs="Times New Roman"/>
        </w:rPr>
        <w:t>”</w:t>
      </w:r>
      <w:r>
        <w:rPr>
          <w:rFonts w:ascii="Times New Roman" w:hAnsi="Times New Roman" w:cs="Times New Roman"/>
        </w:rPr>
        <w:t>的信号，另一部分则可能将其理解为</w:t>
      </w:r>
      <w:r>
        <w:rPr>
          <w:rFonts w:hint="eastAsia" w:ascii="Times New Roman" w:hAnsi="Times New Roman" w:cs="Times New Roman"/>
        </w:rPr>
        <w:t>“</w:t>
      </w:r>
      <w:r>
        <w:rPr>
          <w:rFonts w:ascii="Times New Roman" w:hAnsi="Times New Roman" w:cs="Times New Roman"/>
        </w:rPr>
        <w:t>维持现有内容风格</w:t>
      </w:r>
      <w:r>
        <w:rPr>
          <w:rFonts w:hint="eastAsia" w:ascii="Times New Roman" w:hAnsi="Times New Roman" w:cs="Times New Roman"/>
        </w:rPr>
        <w:t>”</w:t>
      </w:r>
      <w:r>
        <w:rPr>
          <w:rFonts w:ascii="Times New Roman" w:hAnsi="Times New Roman" w:cs="Times New Roman"/>
        </w:rPr>
        <w:t>的肯定，两种策略对打磨周期和质量提升路径的影响可能存在实质差异。然而，创作者的内容策略属于较难通过公开平台数据直接观测的主观变量，本文由于无法获取创作者的自陈数据，未能对这一层面展开系统检验。此外，本研究在机制分析中发现，投币激励对评论互动深度的直接影响不显著（H3a），而这一路径在理论上具有合理的逻辑依据，未来研究若要进行深入探讨，可依旧选择与平台或创作者社区合作，获取更为细粒度的互动时间序列数据，并尝试更长时间窗口的滞后设定，以更充分地识别投币激励触发深度评论互动的动态机制。这对于理解非金钱激励作用于知识内容质量的完整路径，将是更为深入的推进。</w:t>
      </w:r>
    </w:p>
    <w:p w14:paraId="3FE97D33">
      <w:pPr>
        <w:rPr>
          <w:rFonts w:ascii="Times New Roman" w:hAnsi="Times New Roman" w:cs="Times New Roman"/>
        </w:rPr>
      </w:pPr>
      <w:r>
        <w:rPr>
          <w:rFonts w:ascii="Times New Roman" w:hAnsi="Times New Roman" w:cs="Times New Roman"/>
        </w:rPr>
        <w:br w:type="page"/>
      </w:r>
    </w:p>
    <w:p w14:paraId="5DAE7E67">
      <w:pPr>
        <w:spacing w:line="288" w:lineRule="auto"/>
        <w:ind w:firstLine="480"/>
        <w:jc w:val="center"/>
        <w:rPr>
          <w:rFonts w:ascii="黑体" w:hAnsi="黑体" w:eastAsia="黑体" w:cs="黑体"/>
          <w:b/>
          <w:bCs/>
          <w:sz w:val="32"/>
          <w:szCs w:val="32"/>
        </w:rPr>
      </w:pPr>
      <w:r>
        <w:rPr>
          <w:rFonts w:hint="eastAsia" w:ascii="黑体" w:hAnsi="黑体" w:eastAsia="黑体" w:cs="黑体"/>
          <w:b/>
          <w:bCs/>
          <w:sz w:val="32"/>
          <w:szCs w:val="32"/>
        </w:rPr>
        <w:t>参考文献</w:t>
      </w:r>
    </w:p>
    <w:sectPr>
      <w:footerReference r:id="rId7" w:type="default"/>
      <w:pgSz w:w="11906" w:h="16838"/>
      <w:pgMar w:top="1440" w:right="1260" w:bottom="1440" w:left="1260" w:header="708" w:footer="708"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novo" w:date="2026-03-21T01:40:00Z" w:initials="l">
    <w:p w14:paraId="74E66770">
      <w:pPr>
        <w:pStyle w:val="9"/>
        <w:rPr>
          <w:rFonts w:ascii="Times New Roman" w:hAnsi="Times New Roman" w:cs="Times New Roman"/>
        </w:rPr>
      </w:pPr>
      <w:r>
        <w:rPr>
          <w:rFonts w:hint="eastAsia" w:ascii="Times New Roman" w:hAnsi="Times New Roman" w:cs="Times New Roman"/>
          <w:b/>
          <w:color w:val="FF0000"/>
        </w:rPr>
        <w:t xml:space="preserve">[最严重问题：内生性问题]  </w:t>
      </w:r>
      <w:r>
        <w:rPr>
          <w:rFonts w:ascii="Times New Roman" w:hAnsi="Times New Roman" w:cs="Times New Roman"/>
        </w:rPr>
        <w:t>你的因变量“内容质量指数”由两部分构成：</w:t>
      </w:r>
    </w:p>
    <w:p w14:paraId="114CAE32">
      <w:pPr>
        <w:pStyle w:val="9"/>
        <w:numPr>
          <w:ilvl w:val="0"/>
          <w:numId w:val="1"/>
        </w:numPr>
        <w:rPr>
          <w:rFonts w:ascii="Times New Roman" w:hAnsi="Times New Roman" w:cs="Times New Roman"/>
        </w:rPr>
      </w:pPr>
      <w:r>
        <w:rPr>
          <w:rFonts w:ascii="Times New Roman" w:hAnsi="Times New Roman" w:cs="Times New Roman"/>
        </w:rPr>
        <w:t xml:space="preserve"> 弹幕情感得分</w:t>
      </w:r>
    </w:p>
    <w:p w14:paraId="0E99C59D">
      <w:pPr>
        <w:pStyle w:val="9"/>
        <w:numPr>
          <w:ilvl w:val="0"/>
          <w:numId w:val="1"/>
        </w:numPr>
        <w:rPr>
          <w:rFonts w:ascii="Times New Roman" w:hAnsi="Times New Roman" w:cs="Times New Roman"/>
        </w:rPr>
      </w:pPr>
      <w:r>
        <w:rPr>
          <w:rFonts w:ascii="Times New Roman" w:hAnsi="Times New Roman" w:cs="Times New Roman"/>
        </w:rPr>
        <w:t xml:space="preserve"> 币播比（coin/view）</w:t>
      </w:r>
    </w:p>
    <w:p w14:paraId="41207CE9">
      <w:pPr>
        <w:pStyle w:val="9"/>
        <w:ind w:firstLine="360"/>
        <w:rPr>
          <w:rFonts w:ascii="Times New Roman" w:hAnsi="Times New Roman" w:cs="Times New Roman"/>
        </w:rPr>
      </w:pPr>
      <w:r>
        <w:rPr>
          <w:rFonts w:ascii="Times New Roman" w:hAnsi="Times New Roman" w:cs="Times New Roman"/>
        </w:rPr>
        <w:t>而核心解释变量是：滞后两期投币数的对数（L2_ln_coin）</w:t>
      </w:r>
    </w:p>
    <w:p w14:paraId="4AACA5DF">
      <w:pPr>
        <w:pStyle w:val="9"/>
        <w:rPr>
          <w:rFonts w:ascii="Times New Roman" w:hAnsi="Times New Roman" w:cs="Times New Roman"/>
        </w:rPr>
      </w:pPr>
    </w:p>
    <w:p w14:paraId="4E8DF71F">
      <w:pPr>
        <w:pStyle w:val="9"/>
        <w:rPr>
          <w:rFonts w:ascii="Times New Roman" w:hAnsi="Times New Roman" w:cs="Times New Roman"/>
        </w:rPr>
      </w:pPr>
      <w:r>
        <w:rPr>
          <w:rFonts w:ascii="Times New Roman" w:hAnsi="Times New Roman" w:cs="Times New Roman"/>
        </w:rPr>
        <w:t>因变量的一部分本身就直接包含“coin”，解释变量也是“coin”的滞后项。即使使用了滞后二期，也无法消除这种结构上的同源性问题。因为：投币行为本身具有明显的创作者惯性、粉丝黏性和账号风格延续性；</w:t>
      </w:r>
    </w:p>
    <w:p w14:paraId="055F5ED6">
      <w:pPr>
        <w:pStyle w:val="9"/>
        <w:rPr>
          <w:rFonts w:ascii="Times New Roman" w:hAnsi="Times New Roman" w:cs="Times New Roman"/>
        </w:rPr>
      </w:pPr>
    </w:p>
    <w:p w14:paraId="05FCFEBB">
      <w:pPr>
        <w:pStyle w:val="9"/>
        <w:rPr>
          <w:rFonts w:ascii="Times New Roman" w:hAnsi="Times New Roman" w:cs="Times New Roman"/>
        </w:rPr>
      </w:pPr>
      <w:r>
        <w:rPr>
          <w:rFonts w:ascii="Times New Roman" w:hAnsi="Times New Roman" w:cs="Times New Roman"/>
        </w:rPr>
        <w:t>前期投币高的UP主，后期视频的投币率也更可能高；于是“前期投币数”解释“后期含币播比的质量指数”，很可能部分是在解释同一行为倾向的时间延续，而不是“激励导致质量提高”。</w:t>
      </w:r>
    </w:p>
    <w:p w14:paraId="0DAD2F4E">
      <w:pPr>
        <w:pStyle w:val="9"/>
        <w:rPr>
          <w:rFonts w:ascii="Times New Roman" w:hAnsi="Times New Roman" w:cs="Times New Roman"/>
        </w:rPr>
      </w:pPr>
    </w:p>
    <w:p w14:paraId="41FA1D61">
      <w:pPr>
        <w:pStyle w:val="9"/>
        <w:rPr>
          <w:rFonts w:ascii="Times New Roman" w:hAnsi="Times New Roman" w:cs="Times New Roman"/>
        </w:rPr>
      </w:pPr>
      <w:r>
        <w:rPr>
          <w:rFonts w:hint="eastAsia" w:ascii="Times New Roman" w:hAnsi="Times New Roman" w:cs="Times New Roman"/>
          <w:color w:val="FF0000"/>
        </w:rPr>
        <w:t>我看到后面你尝试用IV工具证明自己没有内生性，然而事实上IV工具并不显著，反正佐证你确实存在内生性问题。我个人觉得，至少</w:t>
      </w:r>
      <w:r>
        <w:rPr>
          <w:rFonts w:ascii="Times New Roman" w:hAnsi="Times New Roman" w:cs="Times New Roman"/>
          <w:color w:val="FF0000"/>
        </w:rPr>
        <w:t>内容质量指数（CQI）这个预测变量中不应该包含投币相关的信息，不然你就无法避免内生性</w:t>
      </w:r>
    </w:p>
  </w:comment>
  <w:comment w:id="1" w:author="lenovo" w:date="2026-03-21T01:32:00Z" w:initials="l">
    <w:p w14:paraId="3A8F586C">
      <w:pPr>
        <w:pStyle w:val="9"/>
      </w:pPr>
      <w:r>
        <w:rPr>
          <w:rFonts w:hint="eastAsia"/>
          <w:b/>
          <w:color w:val="FF0000"/>
        </w:rPr>
        <w:t xml:space="preserve">[小问题] </w:t>
      </w:r>
      <w:r>
        <w:t>编号重复</w:t>
      </w:r>
    </w:p>
  </w:comment>
  <w:comment w:id="2" w:author="lenovo" w:date="2026-03-21T01:54:00Z" w:initials="l">
    <w:p w14:paraId="4A79A05F">
      <w:pPr>
        <w:pStyle w:val="9"/>
        <w:rPr>
          <w:rFonts w:ascii="Times New Roman" w:hAnsi="Times New Roman" w:cs="Times New Roman"/>
        </w:rPr>
      </w:pPr>
      <w:r>
        <w:rPr>
          <w:rFonts w:ascii="Times New Roman" w:hAnsi="Times New Roman" w:cs="Times New Roman"/>
          <w:b/>
          <w:color w:val="FF0000"/>
        </w:rPr>
        <w:t xml:space="preserve">[小问题] </w:t>
      </w:r>
      <w:r>
        <w:rPr>
          <w:rFonts w:ascii="Times New Roman" w:hAnsi="Times New Roman" w:cs="Times New Roman"/>
        </w:rPr>
        <w:t>理论有点多，作为硕士论文，个人认为3个理论就差不多了。如果非要写这么多，最好可以确保，写到的理论都和你的内容深度绑定，不然可以删掉一些</w:t>
      </w:r>
    </w:p>
  </w:comment>
  <w:comment w:id="3" w:author="lenovo" w:date="2026-03-21T01:45:00Z" w:initials="l">
    <w:p w14:paraId="285102C6">
      <w:pPr>
        <w:pStyle w:val="9"/>
      </w:pPr>
      <w:r>
        <w:rPr>
          <w:rFonts w:hint="eastAsia"/>
          <w:b/>
          <w:color w:val="FF0000"/>
        </w:rPr>
        <w:t>[严重</w:t>
      </w:r>
      <w:r>
        <w:rPr>
          <w:b/>
          <w:color w:val="FF0000"/>
        </w:rPr>
        <w:t>问题</w:t>
      </w:r>
      <w:r>
        <w:rPr>
          <w:rFonts w:hint="eastAsia"/>
          <w:b/>
          <w:color w:val="FF0000"/>
        </w:rPr>
        <w:t xml:space="preserve">] </w:t>
      </w:r>
      <w:r>
        <w:rPr>
          <w:rFonts w:ascii="Times New Roman" w:hAnsi="Times New Roman" w:cs="Times New Roman"/>
          <w:bCs/>
        </w:rPr>
        <w:t>应该改为：</w:t>
      </w:r>
      <w:r>
        <w:rPr>
          <w:rFonts w:ascii="Times New Roman" w:hAnsi="Times New Roman" w:cs="Times New Roman"/>
          <w:bCs/>
          <w:color w:val="FF0000"/>
        </w:rPr>
        <w:t>“分享传播路径对创作者内容质量的中介效应不显著”</w:t>
      </w:r>
      <w:r>
        <w:rPr>
          <w:rFonts w:ascii="Times New Roman" w:hAnsi="Times New Roman" w:cs="Times New Roman"/>
          <w:bCs/>
        </w:rPr>
        <w:t>？在后文</w:t>
      </w:r>
      <w:r>
        <w:rPr>
          <w:rFonts w:hint="eastAsia" w:ascii="Times New Roman" w:hAnsi="Times New Roman" w:cs="Times New Roman"/>
          <w:bCs/>
        </w:rPr>
        <w:t>表</w:t>
      </w:r>
      <w:r>
        <w:rPr>
          <w:rFonts w:ascii="Times New Roman" w:hAnsi="Times New Roman" w:cs="Times New Roman"/>
          <w:bCs/>
        </w:rPr>
        <w:t xml:space="preserve"> 5 基准逐步回归结果中你计算ln</w:t>
      </w:r>
      <w:r>
        <w:rPr>
          <w:rFonts w:hint="eastAsia" w:ascii="Times New Roman" w:hAnsi="Times New Roman" w:cs="Times New Roman"/>
          <w:bCs/>
        </w:rPr>
        <w:t>_share对质量指数的系数是</w:t>
      </w:r>
      <w:r>
        <w:rPr>
          <w:rFonts w:ascii="Times New Roman" w:hAnsi="Times New Roman" w:cs="Times New Roman"/>
          <w:bCs/>
        </w:rPr>
        <w:t>3.381***，是严格显著的。只是L2_ln_coin 到ln_share不显著而已，中介效应不成立。你这个</w:t>
      </w:r>
      <w:r>
        <w:rPr>
          <w:rFonts w:hint="eastAsia" w:ascii="Times New Roman" w:hAnsi="Times New Roman" w:cs="Times New Roman"/>
          <w:bCs/>
        </w:rPr>
        <w:t>H4手滑写错了？</w:t>
      </w:r>
    </w:p>
  </w:comment>
  <w:comment w:id="4" w:author="lenovo" w:date="2026-03-21T01:34:00Z" w:initials="l">
    <w:p w14:paraId="1A92290C">
      <w:pPr>
        <w:pStyle w:val="9"/>
        <w:rPr>
          <w:rFonts w:ascii="Times New Roman" w:hAnsi="Times New Roman" w:cs="Times New Roman"/>
        </w:rPr>
      </w:pPr>
      <w:r>
        <w:rPr>
          <w:rFonts w:ascii="Times New Roman" w:hAnsi="Times New Roman" w:cs="Times New Roman"/>
          <w:b/>
          <w:color w:val="FF0000"/>
        </w:rPr>
        <w:t xml:space="preserve">[严重问题] </w:t>
      </w:r>
      <w:r>
        <w:rPr>
          <w:rFonts w:ascii="Times New Roman" w:hAnsi="Times New Roman" w:cs="Times New Roman"/>
        </w:rPr>
        <w:t>评论深度的构造与4.2.1不一致。</w:t>
      </w:r>
    </w:p>
    <w:p w14:paraId="5738E5F1">
      <w:pPr>
        <w:pStyle w:val="9"/>
        <w:rPr>
          <w:rFonts w:ascii="Times New Roman" w:hAnsi="Times New Roman" w:cs="Times New Roman"/>
        </w:rPr>
      </w:pPr>
    </w:p>
    <w:p w14:paraId="241B4729">
      <w:pPr>
        <w:pStyle w:val="9"/>
        <w:rPr>
          <w:rFonts w:ascii="Times New Roman" w:hAnsi="Times New Roman" w:cs="Times New Roman"/>
        </w:rPr>
      </w:pPr>
      <w:r>
        <w:rPr>
          <w:rFonts w:ascii="Times New Roman" w:hAnsi="Times New Roman" w:cs="Times New Roman"/>
        </w:rPr>
        <w:t>在表1/表2中，评论互动深度定义为：评论数的自然对数值</w:t>
      </w:r>
    </w:p>
    <w:p w14:paraId="43513D6C">
      <w:pPr>
        <w:pStyle w:val="9"/>
        <w:rPr>
          <w:rFonts w:ascii="Times New Roman" w:hAnsi="Times New Roman" w:cs="Times New Roman"/>
        </w:rPr>
      </w:pPr>
      <w:r>
        <w:rPr>
          <w:rFonts w:ascii="Times New Roman" w:hAnsi="Times New Roman" w:cs="Times New Roman"/>
        </w:rPr>
        <w:t>但在4.2.1中又写：抓取前20条热门评论，计算平均字符数，以此作为评论深度（comment_depth）的操作化测量</w:t>
      </w:r>
    </w:p>
    <w:p w14:paraId="6BCD797E">
      <w:pPr>
        <w:pStyle w:val="9"/>
        <w:rPr>
          <w:rFonts w:ascii="Times New Roman" w:hAnsi="Times New Roman" w:cs="Times New Roman"/>
        </w:rPr>
      </w:pPr>
    </w:p>
    <w:p w14:paraId="0618EDA4">
      <w:pPr>
        <w:pStyle w:val="9"/>
      </w:pPr>
      <w:r>
        <w:rPr>
          <w:rFonts w:hint="eastAsia" w:ascii="Times New Roman" w:hAnsi="Times New Roman" w:cs="Times New Roman"/>
          <w:color w:val="FF0000"/>
        </w:rPr>
        <w:t>从后文来看你实际使用的是评论数对数，这个我个人认为不太符合“评论深度”这个定义</w:t>
      </w:r>
    </w:p>
  </w:comment>
  <w:comment w:id="5" w:author="lenovo" w:date="2026-03-21T01:54:00Z" w:initials="l">
    <w:p w14:paraId="6D2C5959">
      <w:pPr>
        <w:pStyle w:val="16"/>
        <w:rPr>
          <w:rFonts w:ascii="Times New Roman" w:hAnsi="Times New Roman" w:cs="Times New Roman"/>
        </w:rPr>
      </w:pPr>
      <w:r>
        <w:rPr>
          <w:rFonts w:ascii="Times New Roman" w:hAnsi="Times New Roman" w:cs="Times New Roman"/>
          <w:b/>
          <w:color w:val="FF0000"/>
        </w:rPr>
        <w:t xml:space="preserve">[严重问题] </w:t>
      </w:r>
      <w:r>
        <w:rPr>
          <w:rFonts w:ascii="Times New Roman" w:hAnsi="Times New Roman" w:cs="Times New Roman"/>
        </w:rPr>
        <w:t>关于B站硬币规则，文中至少出现了三种说法：</w:t>
      </w:r>
    </w:p>
    <w:p w14:paraId="0A018BF4">
      <w:pPr>
        <w:pStyle w:val="16"/>
        <w:numPr>
          <w:ilvl w:val="0"/>
          <w:numId w:val="2"/>
        </w:numPr>
        <w:rPr>
          <w:rFonts w:ascii="Times New Roman" w:hAnsi="Times New Roman" w:cs="Times New Roman"/>
        </w:rPr>
      </w:pPr>
      <w:r>
        <w:rPr>
          <w:rFonts w:ascii="Times New Roman" w:hAnsi="Times New Roman" w:cs="Times New Roman"/>
        </w:rPr>
        <w:t>“注册用户每日仅获有限硬币”</w:t>
      </w:r>
    </w:p>
    <w:p w14:paraId="3B4AFC8F">
      <w:pPr>
        <w:pStyle w:val="16"/>
        <w:numPr>
          <w:ilvl w:val="0"/>
          <w:numId w:val="2"/>
        </w:numPr>
        <w:rPr>
          <w:rFonts w:ascii="Times New Roman" w:hAnsi="Times New Roman" w:cs="Times New Roman"/>
        </w:rPr>
      </w:pPr>
      <w:r>
        <w:rPr>
          <w:rFonts w:ascii="Times New Roman" w:hAnsi="Times New Roman" w:cs="Times New Roman"/>
        </w:rPr>
        <w:t>“哔哩哔哩的注册用户每日仅可获得一枚硬币”</w:t>
      </w:r>
    </w:p>
    <w:p w14:paraId="0A48E1D5">
      <w:pPr>
        <w:pStyle w:val="16"/>
        <w:numPr>
          <w:ilvl w:val="0"/>
          <w:numId w:val="2"/>
        </w:numPr>
        <w:rPr>
          <w:rFonts w:ascii="Times New Roman" w:hAnsi="Times New Roman" w:cs="Times New Roman"/>
        </w:rPr>
      </w:pPr>
      <w:r>
        <w:rPr>
          <w:rFonts w:ascii="Times New Roman" w:hAnsi="Times New Roman" w:cs="Times New Roman"/>
        </w:rPr>
        <w:t>“每位注册用户每日可获得的硬币数量有上限（通常为5至10枚）”</w:t>
      </w:r>
    </w:p>
    <w:p w14:paraId="3495B7BA">
      <w:pPr>
        <w:pStyle w:val="9"/>
        <w:rPr>
          <w:rFonts w:ascii="Times New Roman" w:hAnsi="Times New Roman" w:cs="Times New Roman"/>
        </w:rPr>
      </w:pPr>
    </w:p>
    <w:p w14:paraId="7F520862">
      <w:pPr>
        <w:pStyle w:val="9"/>
      </w:pPr>
      <w:r>
        <w:rPr>
          <w:rFonts w:ascii="Times New Roman" w:hAnsi="Times New Roman" w:cs="Times New Roman"/>
          <w:color w:val="FF0000"/>
        </w:rPr>
        <w:t>论文中应该保持精确的陈述，可以换说法，但是不能不一致。你这里2和3显然是不一致的</w:t>
      </w:r>
    </w:p>
  </w:comment>
  <w:comment w:id="6" w:author="lenovo" w:date="2026-03-21T01:55:00Z" w:initials="l">
    <w:p w14:paraId="0FB9E805">
      <w:pPr>
        <w:pStyle w:val="9"/>
      </w:pPr>
      <w:r>
        <w:t>评论深度的构造前后不一致。个人认为用这个更合理。这一条已经在</w:t>
      </w:r>
      <w:r>
        <w:rPr>
          <w:b/>
          <w:color w:val="FF0000"/>
        </w:rPr>
        <w:t>批注</w:t>
      </w:r>
      <w:r>
        <w:rPr>
          <w:rFonts w:hint="eastAsia"/>
          <w:b/>
          <w:color w:val="FF0000"/>
        </w:rPr>
        <w:t>15</w:t>
      </w:r>
      <w:r>
        <w:rPr>
          <w:rFonts w:hint="eastAsia"/>
        </w:rPr>
        <w:t>中详细说明了</w:t>
      </w:r>
    </w:p>
  </w:comment>
  <w:comment w:id="7" w:author="lenovo" w:date="2026-03-21T02:01:00Z" w:initials="l">
    <w:p w14:paraId="6C268FD6">
      <w:pPr>
        <w:pStyle w:val="9"/>
        <w:rPr>
          <w:rFonts w:ascii="Times New Roman" w:hAnsi="Times New Roman" w:cs="Times New Roman"/>
        </w:rPr>
      </w:pPr>
      <w:r>
        <w:rPr>
          <w:rFonts w:ascii="Times New Roman" w:hAnsi="Times New Roman" w:cs="Times New Roman"/>
          <w:b/>
          <w:color w:val="FF0000"/>
        </w:rPr>
        <w:t xml:space="preserve">[提升优化] </w:t>
      </w:r>
      <w:r>
        <w:rPr>
          <w:rFonts w:ascii="Times New Roman" w:hAnsi="Times New Roman" w:cs="Times New Roman"/>
        </w:rPr>
        <w:t>对于评论上千上万的视频而言，随机抽取500条是十分不稳定的。但是似乎也ok，所以我放在提升优化类，可以不改</w:t>
      </w:r>
    </w:p>
  </w:comment>
  <w:comment w:id="8" w:author="lenovo" w:date="2026-03-21T02:01:00Z" w:initials="l">
    <w:p w14:paraId="52758F9C">
      <w:pPr>
        <w:pStyle w:val="16"/>
        <w:rPr>
          <w:rFonts w:hint="eastAsia" w:ascii="Times New Roman" w:hAnsi="Times New Roman" w:cs="Times New Roman"/>
        </w:rPr>
      </w:pPr>
      <w:r>
        <w:rPr>
          <w:rFonts w:ascii="Times New Roman" w:hAnsi="Times New Roman" w:cs="Times New Roman"/>
          <w:b/>
          <w:color w:val="FF0000"/>
        </w:rPr>
        <w:t xml:space="preserve">[提升优化] </w:t>
      </w:r>
      <w:r>
        <w:rPr>
          <w:rFonts w:ascii="Times New Roman" w:hAnsi="Times New Roman" w:cs="Times New Roman"/>
        </w:rPr>
        <w:t>命中正向词直接赋0.95，命中负向词直接赋0.05，未命中才用SnowNLP。这是一种非常强硬的规则，会导致：</w:t>
      </w:r>
    </w:p>
    <w:p w14:paraId="7FAC86B9">
      <w:pPr>
        <w:pStyle w:val="16"/>
        <w:numPr>
          <w:ilvl w:val="0"/>
          <w:numId w:val="3"/>
        </w:numPr>
        <w:rPr>
          <w:rFonts w:ascii="Times New Roman" w:hAnsi="Times New Roman" w:cs="Times New Roman"/>
        </w:rPr>
      </w:pPr>
      <w:r>
        <w:rPr>
          <w:rFonts w:ascii="Times New Roman" w:hAnsi="Times New Roman" w:cs="Times New Roman"/>
        </w:rPr>
        <w:t>同一情绪强度被离散化处理；</w:t>
      </w:r>
    </w:p>
    <w:p w14:paraId="478AEF54">
      <w:pPr>
        <w:pStyle w:val="16"/>
        <w:numPr>
          <w:ilvl w:val="0"/>
          <w:numId w:val="3"/>
        </w:numPr>
        <w:rPr>
          <w:rFonts w:ascii="Times New Roman" w:hAnsi="Times New Roman" w:cs="Times New Roman"/>
        </w:rPr>
      </w:pPr>
      <w:r>
        <w:rPr>
          <w:rFonts w:ascii="Times New Roman" w:hAnsi="Times New Roman" w:cs="Times New Roman"/>
        </w:rPr>
        <w:t xml:space="preserve"> 讽刺、反语、上下文依赖很难正确识别；</w:t>
      </w:r>
    </w:p>
    <w:p w14:paraId="482753CE">
      <w:pPr>
        <w:pStyle w:val="16"/>
        <w:numPr>
          <w:ilvl w:val="0"/>
          <w:numId w:val="3"/>
        </w:numPr>
        <w:rPr>
          <w:rFonts w:ascii="Times New Roman" w:hAnsi="Times New Roman" w:cs="Times New Roman"/>
        </w:rPr>
      </w:pPr>
      <w:r>
        <w:rPr>
          <w:rFonts w:ascii="Times New Roman" w:hAnsi="Times New Roman" w:cs="Times New Roman"/>
        </w:rPr>
        <w:t xml:space="preserve"> 高频黑话被“一刀切”处理，缺乏验证。</w:t>
      </w:r>
    </w:p>
    <w:p w14:paraId="3F5FE5AE">
      <w:pPr>
        <w:pStyle w:val="16"/>
      </w:pPr>
      <w:r>
        <w:rPr>
          <w:rFonts w:ascii="Times New Roman" w:hAnsi="Times New Roman" w:cs="Times New Roman"/>
          <w:color w:val="FF0000"/>
        </w:rPr>
        <w:t>既然可以用机器学习，为什么不能主要依赖机器学习呢？</w:t>
      </w:r>
    </w:p>
  </w:comment>
  <w:comment w:id="9" w:author="lenovo" w:date="2026-03-21T01:29:00Z" w:initials="l">
    <w:p w14:paraId="1BDA3E3C">
      <w:pPr>
        <w:pStyle w:val="9"/>
      </w:pPr>
      <w:r>
        <w:rPr>
          <w:rFonts w:hint="eastAsia"/>
          <w:b/>
          <w:color w:val="FF0000"/>
        </w:rPr>
        <w:t xml:space="preserve">[提升优化] </w:t>
      </w:r>
      <w:r>
        <w:t>这个解释很牵强。我更倾向于认为，因变量构造不够完整和全面？这里还是换一下说法吧，有各种可能，但是不太可能因为“</w:t>
      </w:r>
      <w:r>
        <w:rPr>
          <w:rFonts w:ascii="Times New Roman" w:hAnsi="Times New Roman" w:cs="Times New Roman"/>
        </w:rPr>
        <w:t>播放量越大的视频由于受众范围扩大，内容质量指数反而倾向于摊薄</w:t>
      </w:r>
      <w:r>
        <w:t>”，除非审稿人不看b站的视频</w:t>
      </w:r>
    </w:p>
  </w:comment>
  <w:comment w:id="10" w:author="lenovo" w:date="2026-03-21T02:02:00Z" w:initials="l">
    <w:p w14:paraId="1CA7B9F2">
      <w:pPr>
        <w:pStyle w:val="9"/>
        <w:rPr>
          <w:rFonts w:ascii="Times New Roman" w:hAnsi="Times New Roman" w:cs="Times New Roman"/>
        </w:rPr>
      </w:pPr>
      <w:r>
        <w:rPr>
          <w:rFonts w:ascii="Times New Roman" w:hAnsi="Times New Roman" w:cs="Times New Roman"/>
          <w:b/>
          <w:color w:val="FF0000"/>
        </w:rPr>
        <w:t xml:space="preserve">[提升优化] </w:t>
      </w:r>
      <w:r>
        <w:rPr>
          <w:rFonts w:ascii="Times New Roman" w:hAnsi="Times New Roman" w:cs="Times New Roman"/>
        </w:rPr>
        <w:t>可是你的投币数量不是对数吗？直接说“滞后两期投币数每增加1%”是否不够严谨。但是从某种意义上而言，对数的1%和真实数据的1%差别不大，所以可以理解，</w:t>
      </w:r>
      <w:r>
        <w:rPr>
          <w:rFonts w:ascii="Times New Roman" w:hAnsi="Times New Roman" w:cs="Times New Roman"/>
          <w:color w:val="FF0000"/>
        </w:rPr>
        <w:t>但是我还是建议你换成更严谨的表达</w:t>
      </w:r>
    </w:p>
  </w:comment>
  <w:comment w:id="11" w:author="lenovo" w:date="2026-03-21T01:50:00Z" w:initials="l">
    <w:p w14:paraId="65AB6139">
      <w:pPr>
        <w:pStyle w:val="9"/>
        <w:rPr>
          <w:rFonts w:ascii="Times New Roman" w:hAnsi="Times New Roman" w:cs="Times New Roman"/>
        </w:rPr>
      </w:pPr>
      <w:r>
        <w:rPr>
          <w:rFonts w:ascii="Times New Roman" w:hAnsi="Times New Roman" w:cs="Times New Roman"/>
          <w:b/>
          <w:color w:val="FF0000"/>
        </w:rPr>
        <w:t xml:space="preserve">[小问题] </w:t>
      </w:r>
      <w:r>
        <w:rPr>
          <w:rFonts w:ascii="Times New Roman" w:hAnsi="Times New Roman" w:cs="Times New Roman"/>
        </w:rPr>
        <w:t>前文提到“最终进入回归分析的有效样本为7050条视频记录，涵盖86位UP主2019年3月至2025年12月间的创作数据。”，为什么这里的up主是72位</w:t>
      </w:r>
    </w:p>
  </w:comment>
  <w:comment w:id="12" w:author="lenovo" w:date="2026-03-21T01:51:00Z" w:initials="l">
    <w:p w14:paraId="7DDBCE5A">
      <w:pPr>
        <w:pStyle w:val="9"/>
        <w:rPr>
          <w:rFonts w:ascii="Times New Roman" w:hAnsi="Times New Roman" w:cs="Times New Roman" w:eastAsiaTheme="minorEastAsia"/>
          <w:color w:val="FF0000"/>
        </w:rPr>
      </w:pPr>
      <w:r>
        <w:rPr>
          <w:rFonts w:ascii="Times New Roman" w:hAnsi="Times New Roman" w:cs="Times New Roman" w:eastAsiaTheme="minorEastAsia"/>
          <w:b/>
          <w:color w:val="FF0000"/>
        </w:rPr>
        <w:t xml:space="preserve">[严重问题] </w:t>
      </w:r>
      <w:r>
        <w:rPr>
          <w:rFonts w:ascii="Times New Roman" w:hAnsi="Times New Roman" w:cs="Times New Roman" w:eastAsiaTheme="minorEastAsia"/>
        </w:rPr>
        <w:t>是否略微牵强？论文最严重的问题是内生性问题，你试图用IV工具增强说服力，但是工具变量不显著，反而一定程度上佐证了内生性为题。这一点我在前面也强调过，</w:t>
      </w:r>
      <w:r>
        <w:rPr>
          <w:rFonts w:ascii="Times New Roman" w:hAnsi="Times New Roman" w:cs="Times New Roman" w:eastAsiaTheme="minorEastAsia"/>
          <w:color w:val="FF0000"/>
        </w:rPr>
        <w:t>不应该同时把投币作为核心解释变量和被解释变量</w:t>
      </w:r>
    </w:p>
  </w:comment>
  <w:comment w:id="13" w:author="lenovo" w:date="2026-03-21T02:03:00Z" w:initials="l">
    <w:p w14:paraId="47AE0AD1">
      <w:pPr>
        <w:pStyle w:val="9"/>
        <w:rPr>
          <w:rFonts w:ascii="Times New Roman" w:hAnsi="Times New Roman" w:cs="Times New Roman"/>
        </w:rPr>
      </w:pPr>
      <w:r>
        <w:rPr>
          <w:rFonts w:ascii="Times New Roman" w:hAnsi="Times New Roman" w:cs="Times New Roman"/>
          <w:b/>
          <w:color w:val="FF0000"/>
        </w:rPr>
        <w:t xml:space="preserve">[小问题] </w:t>
      </w:r>
      <w:r>
        <w:rPr>
          <w:rFonts w:ascii="Times New Roman" w:hAnsi="Times New Roman" w:cs="Times New Roman"/>
        </w:rPr>
        <w:t>前文提到“头部up主有35位”，是否数据处理过程中丢失一部分？需要给出说明</w:t>
      </w:r>
    </w:p>
  </w:comment>
  <w:comment w:id="14" w:author="lenovo" w:date="2026-03-21T01:59:00Z" w:initials="l">
    <w:p w14:paraId="268342A6">
      <w:pPr>
        <w:pStyle w:val="16"/>
        <w:rPr>
          <w:rFonts w:ascii="Times New Roman" w:hAnsi="Times New Roman" w:cs="Times New Roman"/>
        </w:rPr>
      </w:pPr>
      <w:r>
        <w:rPr>
          <w:rFonts w:ascii="Times New Roman" w:hAnsi="Times New Roman" w:cs="Times New Roman"/>
          <w:b/>
          <w:color w:val="FF0000"/>
        </w:rPr>
        <w:t xml:space="preserve">[严重问题] </w:t>
      </w:r>
      <w:r>
        <w:rPr>
          <w:rFonts w:hint="eastAsia" w:ascii="Times New Roman" w:hAnsi="Times New Roman" w:cs="Times New Roman"/>
          <w:color w:val="FF0000"/>
        </w:rPr>
        <w:t xml:space="preserve"> </w:t>
      </w:r>
      <w:r>
        <w:rPr>
          <w:rFonts w:ascii="Times New Roman" w:hAnsi="Times New Roman" w:cs="Times New Roman"/>
        </w:rPr>
        <w:t>仅靠a、b路径回归并不足够，最好有：</w:t>
      </w:r>
    </w:p>
    <w:p w14:paraId="15355F66">
      <w:pPr>
        <w:pStyle w:val="16"/>
        <w:numPr>
          <w:ilvl w:val="0"/>
          <w:numId w:val="4"/>
        </w:numPr>
        <w:rPr>
          <w:rFonts w:ascii="Times New Roman" w:hAnsi="Times New Roman" w:cs="Times New Roman"/>
        </w:rPr>
      </w:pPr>
      <w:r>
        <w:rPr>
          <w:rFonts w:ascii="Times New Roman" w:hAnsi="Times New Roman" w:cs="Times New Roman"/>
        </w:rPr>
        <w:t xml:space="preserve"> bootstrap中介效应</w:t>
      </w:r>
    </w:p>
    <w:p w14:paraId="77C76D20">
      <w:pPr>
        <w:pStyle w:val="16"/>
        <w:numPr>
          <w:ilvl w:val="0"/>
          <w:numId w:val="4"/>
        </w:numPr>
        <w:rPr>
          <w:rFonts w:ascii="Times New Roman" w:hAnsi="Times New Roman" w:cs="Times New Roman"/>
        </w:rPr>
      </w:pPr>
      <w:r>
        <w:rPr>
          <w:rFonts w:ascii="Times New Roman" w:hAnsi="Times New Roman" w:cs="Times New Roman"/>
        </w:rPr>
        <w:t xml:space="preserve"> Sobel检验</w:t>
      </w:r>
    </w:p>
    <w:p w14:paraId="390454A0">
      <w:pPr>
        <w:pStyle w:val="16"/>
        <w:numPr>
          <w:ilvl w:val="0"/>
          <w:numId w:val="4"/>
        </w:numPr>
        <w:rPr>
          <w:rFonts w:ascii="Times New Roman" w:hAnsi="Times New Roman" w:cs="Times New Roman"/>
        </w:rPr>
      </w:pPr>
      <w:r>
        <w:rPr>
          <w:rFonts w:ascii="Times New Roman" w:hAnsi="Times New Roman" w:cs="Times New Roman"/>
        </w:rPr>
        <w:t>间接效应占比</w:t>
      </w:r>
    </w:p>
    <w:p w14:paraId="058D0E32">
      <w:pPr>
        <w:pStyle w:val="16"/>
        <w:rPr>
          <w:rFonts w:ascii="Times New Roman" w:hAnsi="Times New Roman" w:cs="Times New Roman"/>
        </w:rPr>
      </w:pPr>
    </w:p>
    <w:p w14:paraId="6A96E6A8">
      <w:pPr>
        <w:pStyle w:val="16"/>
        <w:rPr>
          <w:rFonts w:ascii="Times New Roman" w:hAnsi="Times New Roman" w:cs="Times New Roman"/>
        </w:rPr>
      </w:pPr>
      <w:r>
        <w:rPr>
          <w:rFonts w:hint="eastAsia" w:ascii="Times New Roman" w:hAnsi="Times New Roman" w:cs="Times New Roman"/>
          <w:color w:val="FF0000"/>
        </w:rPr>
        <w:t>我建议你看一下其他的中介效应论文，或者查一下AI，我看过类似文章，你好像缺东西。有那种中介效应流程，一目了然的。当然这个只是</w:t>
      </w:r>
      <w:r>
        <w:rPr>
          <w:rFonts w:hint="eastAsia" w:ascii="Times New Roman" w:hAnsi="Times New Roman" w:cs="Times New Roman"/>
          <w:b/>
          <w:color w:val="FF0000"/>
        </w:rPr>
        <w:t>较严重的问题</w:t>
      </w:r>
      <w:r>
        <w:rPr>
          <w:rFonts w:hint="eastAsia" w:ascii="Times New Roman" w:hAnsi="Times New Roman" w:cs="Times New Roman"/>
          <w:color w:val="FF0000"/>
        </w:rPr>
        <w:t>，</w:t>
      </w:r>
      <w:r>
        <w:rPr>
          <w:rFonts w:hint="eastAsia" w:ascii="Times New Roman" w:hAnsi="Times New Roman" w:cs="Times New Roman"/>
          <w:b/>
          <w:color w:val="FF0000"/>
        </w:rPr>
        <w:t>不致命</w:t>
      </w:r>
      <w:r>
        <w:rPr>
          <w:rFonts w:hint="eastAsia" w:ascii="Times New Roman" w:hAnsi="Times New Roman" w:cs="Times New Roman"/>
          <w:color w:val="FF0000"/>
        </w:rPr>
        <w:t>（如果你答辩和外审没有遇到经济学大佬）</w:t>
      </w:r>
      <w:r>
        <w:rPr>
          <w:rFonts w:hint="eastAsia" w:ascii="Times New Roman" w:hAnsi="Times New Roman" w:cs="Times New Roman"/>
        </w:rPr>
        <w:t>。</w:t>
      </w:r>
    </w:p>
  </w:comment>
  <w:comment w:id="15" w:author="lenovo" w:date="2026-03-21T01:51:00Z" w:initials="l">
    <w:p w14:paraId="70D3C626">
      <w:pPr>
        <w:pStyle w:val="9"/>
      </w:pPr>
      <w:r>
        <w:rPr>
          <w:rFonts w:hint="eastAsia"/>
        </w:rPr>
        <w:t>作为评论深度感觉不是特别合理，前面已经提到过了，兹不赘述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FA1D61" w15:done="0"/>
  <w15:commentEx w15:paraId="3A8F586C" w15:done="0"/>
  <w15:commentEx w15:paraId="4A79A05F" w15:done="0"/>
  <w15:commentEx w15:paraId="285102C6" w15:done="0"/>
  <w15:commentEx w15:paraId="0618EDA4" w15:done="0"/>
  <w15:commentEx w15:paraId="7F520862" w15:done="0"/>
  <w15:commentEx w15:paraId="0FB9E805" w15:done="0"/>
  <w15:commentEx w15:paraId="6C268FD6" w15:done="0"/>
  <w15:commentEx w15:paraId="3F5FE5AE" w15:done="0"/>
  <w15:commentEx w15:paraId="1BDA3E3C" w15:done="0"/>
  <w15:commentEx w15:paraId="1CA7B9F2" w15:done="0"/>
  <w15:commentEx w15:paraId="65AB6139" w15:done="0"/>
  <w15:commentEx w15:paraId="7DDBCE5A" w15:done="0"/>
  <w15:commentEx w15:paraId="47AE0AD1" w15:done="0"/>
  <w15:commentEx w15:paraId="6A96E6A8" w15:done="0"/>
  <w15:commentEx w15:paraId="70D3C62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FB6E789-204A-432D-8766-288FB121571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1C575">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t>40</w:t>
    </w:r>
    <w:r>
      <w:rPr>
        <w:sz w:val="18"/>
        <w:szCs w:val="18"/>
      </w:rPr>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56749431">
      <w:pPr>
        <w:pStyle w:val="14"/>
        <w:wordWrap w:val="0"/>
        <w:snapToGrid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中国互联网络信息中心（CNNIC）. 第54次《中国互联网络发展状况统计报告》[EB/OL]. （2024-08-29）. https://www.cnnic.net.cn/n4/2024/0829/c88-11065.html</w:t>
      </w:r>
    </w:p>
  </w:footnote>
  <w:footnote w:id="1">
    <w:p w14:paraId="42A5784E">
      <w:pPr>
        <w:pStyle w:val="14"/>
        <w:wordWrap w:val="0"/>
        <w:snapToGrid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Bilibili Inc. 2024 Annual Report [EB/OL]. （2025-03）. https://ir.bilibili.com/media/jesfytmo/bilibili-inc-2024-annual-report.pdf</w:t>
      </w:r>
    </w:p>
  </w:footnote>
  <w:footnote w:id="2">
    <w:p w14:paraId="5DCD4546">
      <w:pPr>
        <w:pStyle w:val="14"/>
        <w:wordWrap w:val="0"/>
        <w:snapToGrid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哔哩哔哩. B站发布2024年Q4及全年财报 [EB/OL]. （2025-02-20）. https://www.globenewswire.com/news-release/2025/02/20/3029366/0/en/Bilibili-Inc-Announces-Fourth-Quarter-and-Fiscal-Year-2024-Financial-Results.html</w:t>
      </w:r>
    </w:p>
  </w:footnote>
  <w:footnote w:id="3">
    <w:p w14:paraId="693AC33E">
      <w:pPr>
        <w:pStyle w:val="14"/>
        <w:wordWrap w:val="0"/>
        <w:snapToGrid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腾讯新闻. 2024年B站百大UP主揭晓 [EB/OL]. （2025-01-06）. https://news.qq.com/rain/a/20250106A05CVR00</w:t>
      </w:r>
    </w:p>
  </w:footnote>
  <w:footnote w:id="4">
    <w:p w14:paraId="3D2396B8">
      <w:pPr>
        <w:pStyle w:val="14"/>
        <w:snapToGrid w:val="0"/>
        <w:rPr>
          <w:sz w:val="21"/>
          <w:szCs w:val="21"/>
        </w:rPr>
      </w:pPr>
      <w:r>
        <w:rPr>
          <w:rStyle w:val="24"/>
        </w:rPr>
        <w:footnoteRef/>
      </w:r>
      <w:r>
        <w:t xml:space="preserve"> </w:t>
      </w:r>
      <w:r>
        <w:rPr>
          <w:rFonts w:ascii="Times New Roman" w:hAnsi="Times New Roman" w:cs="Times New Roman"/>
        </w:rPr>
        <w:t>哔哩哔哩. 哔哩哔哩发布2024年环境、社会及管治报告[EB/OL]. (2025-04-09)[2026-03-12]. </w:t>
      </w:r>
      <w:r>
        <w:fldChar w:fldCharType="begin"/>
      </w:r>
      <w:r>
        <w:instrText xml:space="preserve"> HYPERLINK "https://www.globenewswire.com/news-release/2025/04/09/3058555/0/en/Bilibili-Inc-Publishes-2024-Environmental-Social-and-Governance-Report.html" </w:instrText>
      </w:r>
      <w:r>
        <w:fldChar w:fldCharType="separate"/>
      </w:r>
      <w:r>
        <w:rPr>
          <w:rFonts w:ascii="Times New Roman" w:hAnsi="Times New Roman" w:cs="Times New Roman"/>
        </w:rPr>
        <w:t>https://www.globenewswire.com/news-release/2025/04/09/3058555/0/en/Bilibili-Inc-Publishes-2024-Environmental-Social-and-Governance-Report.html</w:t>
      </w:r>
      <w:r>
        <w:rPr>
          <w:rFonts w:ascii="Times New Roman" w:hAnsi="Times New Roman" w:cs="Times New Roman"/>
        </w:rPr>
        <w:fldChar w:fldCharType="end"/>
      </w:r>
      <w:r>
        <w:rPr>
          <w:rFonts w:ascii="Times New Roman" w:hAnsi="Times New Roman" w:cs="Times New Roman"/>
        </w:rPr>
        <w:t>.</w:t>
      </w:r>
    </w:p>
  </w:footnote>
  <w:footnote w:id="5">
    <w:p w14:paraId="30D78446">
      <w:pPr>
        <w:pStyle w:val="14"/>
        <w:snapToGrid w:val="0"/>
      </w:pPr>
      <w:r>
        <w:rPr>
          <w:rStyle w:val="24"/>
        </w:rPr>
        <w:footnoteRef/>
      </w:r>
      <w:r>
        <w:t xml:space="preserve"> </w:t>
      </w:r>
      <w:r>
        <w:rPr>
          <w:rFonts w:ascii="Times New Roman" w:hAnsi="Times New Roman" w:cs="Times New Roman"/>
        </w:rPr>
        <w:t>哔哩哔哩. 哔哩哔哩公布2024年第四季度及全年未经审计的财务报告[EB/OL]. (2025-02-20)[2026-03-12]. </w:t>
      </w:r>
      <w:r>
        <w:fldChar w:fldCharType="begin"/>
      </w:r>
      <w:r>
        <w:instrText xml:space="preserve"> HYPERLINK "https://www.globenewswire.com/news-release/2025/02/20/3029073/0/en/Bilibili-Inc-Announces-Fourth-Quarter-and-Fiscal-Year-2024-Financial-Results.html" </w:instrText>
      </w:r>
      <w:r>
        <w:fldChar w:fldCharType="separate"/>
      </w:r>
      <w:r>
        <w:rPr>
          <w:rFonts w:ascii="Times New Roman" w:hAnsi="Times New Roman" w:cs="Times New Roman"/>
        </w:rPr>
        <w:t>https://www.globenewswire.com/news-release/2025/02/20/3029073/0/en/Bilibili-Inc-Announces-Fourth-Quarter-and-Fiscal-Year-2024-Financial-Results.html</w:t>
      </w:r>
      <w:r>
        <w:rPr>
          <w:rFonts w:ascii="Times New Roman" w:hAnsi="Times New Roman" w:cs="Times New Roman"/>
        </w:rPr>
        <w:fldChar w:fldCharType="end"/>
      </w:r>
      <w:r>
        <w:rPr>
          <w:rFonts w:ascii="Times New Roman" w:hAnsi="Times New Roman" w:cs="Times New Roman"/>
        </w:rPr>
        <w:t>.</w:t>
      </w:r>
    </w:p>
  </w:footnote>
  <w:footnote w:id="6">
    <w:p w14:paraId="27FAD88E">
      <w:pPr>
        <w:pStyle w:val="14"/>
        <w:wordWrap w:val="0"/>
        <w:snapToGrid w:val="0"/>
      </w:pPr>
      <w:r>
        <w:rPr>
          <w:rStyle w:val="24"/>
        </w:rPr>
        <w:footnoteRef/>
      </w:r>
      <w:r>
        <w:t xml:space="preserve"> </w:t>
      </w:r>
      <w:r>
        <w:rPr>
          <w:rFonts w:ascii="Times New Roman" w:hAnsi="Times New Roman" w:cs="Times New Roman"/>
        </w:rPr>
        <w:t>哔哩哔哩, 未来智库, 等. 2024年哔哩哔哩研究报告：内容及用户生态繁荣带动商业化提速，盈利可见性显著提升[EB/OL]. (2025-11-11)[2026-03-12].https://m.vzkoo.com/read/2024071841bab540d6d15b1488df938e.html</w:t>
      </w:r>
    </w:p>
  </w:footnote>
  <w:footnote w:id="7">
    <w:p w14:paraId="0FD54A55">
      <w:pPr>
        <w:pStyle w:val="14"/>
        <w:wordWrap w:val="0"/>
        <w:snapToGrid w:val="0"/>
      </w:pPr>
      <w:r>
        <w:rPr>
          <w:rStyle w:val="24"/>
        </w:rPr>
        <w:footnoteRef/>
      </w:r>
      <w:r>
        <w:t xml:space="preserve"> </w:t>
      </w:r>
      <w:r>
        <w:rPr>
          <w:rFonts w:ascii="Times New Roman" w:hAnsi="Times New Roman" w:cs="Times New Roman"/>
        </w:rPr>
        <w:t>哔哩哔哩. 哔哩哔哩2024年高质量发展财报图解及纪要[EB/OL]. (2025-02-20)[2026-03-12]. </w:t>
      </w:r>
      <w:r>
        <w:fldChar w:fldCharType="begin"/>
      </w:r>
      <w:r>
        <w:instrText xml:space="preserve"> HYPERLINK "http://ir.bilibili.com/" </w:instrText>
      </w:r>
      <w:r>
        <w:fldChar w:fldCharType="separate"/>
      </w:r>
      <w:r>
        <w:rPr>
          <w:rFonts w:ascii="Times New Roman" w:hAnsi="Times New Roman" w:cs="Times New Roman"/>
        </w:rPr>
        <w:t>http://ir.bilibili.com</w:t>
      </w:r>
      <w:r>
        <w:rPr>
          <w:rFonts w:ascii="Times New Roman" w:hAnsi="Times New Roman" w:cs="Times New Roman"/>
        </w:rPr>
        <w:fldChar w:fldCharType="end"/>
      </w:r>
      <w:r>
        <w:rPr>
          <w:rFonts w:ascii="Times New Roman" w:hAnsi="Times New Roman" w:cs="Times New Roman"/>
        </w:rPr>
        <w:t>.</w:t>
      </w:r>
    </w:p>
  </w:footnote>
  <w:footnote w:id="8">
    <w:p w14:paraId="576E70DA">
      <w:pPr>
        <w:pStyle w:val="14"/>
        <w:wordWrap w:val="0"/>
        <w:snapToGrid w:val="0"/>
      </w:pPr>
      <w:r>
        <w:rPr>
          <w:rStyle w:val="24"/>
        </w:rPr>
        <w:footnoteRef/>
      </w:r>
      <w:r>
        <w:t xml:space="preserve"> </w:t>
      </w:r>
      <w:r>
        <w:rPr>
          <w:rFonts w:ascii="Times New Roman" w:hAnsi="Times New Roman" w:cs="Times New Roman"/>
        </w:rPr>
        <w:t>哔哩哔哩. 哔哩哔哩发布2024年视频创作激励计划[EB/OL]. (2024-03-18)[2026-03-12]. https://cloud.tencent.com.cn/developer/news/1331220</w:t>
      </w:r>
    </w:p>
  </w:footnote>
  <w:footnote w:id="9">
    <w:p w14:paraId="1E2E18E2">
      <w:pPr>
        <w:pStyle w:val="14"/>
        <w:wordWrap w:val="0"/>
        <w:snapToGrid w:val="0"/>
      </w:pPr>
      <w:r>
        <w:rPr>
          <w:rStyle w:val="24"/>
        </w:rPr>
        <w:footnoteRef/>
      </w:r>
      <w:r>
        <w:t xml:space="preserve"> </w:t>
      </w:r>
      <w:r>
        <w:rPr>
          <w:rFonts w:hint="eastAsia" w:ascii="Times New Roman" w:hAnsi="Times New Roman" w:cs="Times New Roman"/>
        </w:rPr>
        <w:t>毛军. B站2024年总营收同比增长19% 实现全面利润转正[EB/OL]. (2026-03-12)[2026-03-12]. https://www.stcn.com/article/detail/1535486.html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DBAF3">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C357DE"/>
    <w:multiLevelType w:val="multilevel"/>
    <w:tmpl w:val="29C357DE"/>
    <w:lvl w:ilvl="0" w:tentative="0">
      <w:start w:val="1"/>
      <w:numFmt w:val="decimalEnclosedCircle"/>
      <w:lvlText w:val="%1"/>
      <w:lvlJc w:val="left"/>
      <w:pPr>
        <w:tabs>
          <w:tab w:val="left" w:pos="720"/>
        </w:tabs>
        <w:ind w:left="720" w:hanging="360"/>
      </w:pPr>
      <w:rPr>
        <w:rFonts w:ascii="Times New Roman" w:hAnsi="Times New Roman" w:eastAsia="宋体"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E26EF01"/>
    <w:multiLevelType w:val="singleLevel"/>
    <w:tmpl w:val="5E26EF01"/>
    <w:lvl w:ilvl="0" w:tentative="0">
      <w:start w:val="1"/>
      <w:numFmt w:val="chineseCounting"/>
      <w:suff w:val="nothing"/>
      <w:lvlText w:val="第%1，"/>
      <w:lvlJc w:val="left"/>
      <w:rPr>
        <w:rFonts w:hint="eastAsia"/>
      </w:rPr>
    </w:lvl>
  </w:abstractNum>
  <w:abstractNum w:abstractNumId="2">
    <w:nsid w:val="64640E1C"/>
    <w:multiLevelType w:val="multilevel"/>
    <w:tmpl w:val="64640E1C"/>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4CE028C"/>
    <w:multiLevelType w:val="multilevel"/>
    <w:tmpl w:val="64CE028C"/>
    <w:lvl w:ilvl="0" w:tentative="0">
      <w:start w:val="1"/>
      <w:numFmt w:val="decimalEnclosedCircle"/>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75FDE25A"/>
    <w:multiLevelType w:val="singleLevel"/>
    <w:tmpl w:val="75FDE25A"/>
    <w:lvl w:ilvl="0" w:tentative="0">
      <w:start w:val="2"/>
      <w:numFmt w:val="chineseCounting"/>
      <w:suff w:val="space"/>
      <w:lvlText w:val="第%1章"/>
      <w:lvlJc w:val="left"/>
      <w:rPr>
        <w:rFonts w:hint="eastAsia"/>
      </w:rPr>
    </w:lvl>
  </w:abstractNum>
  <w:abstractNum w:abstractNumId="5">
    <w:nsid w:val="775F3C65"/>
    <w:multiLevelType w:val="multilevel"/>
    <w:tmpl w:val="775F3C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TrueTypeFonts/>
  <w:saveSubsetFonts/>
  <w:bordersDoNotSurroundHeader w:val="1"/>
  <w:bordersDoNotSurroundFooter w:val="1"/>
  <w:documentProtection w:enforcement="0"/>
  <w:defaultTabStop w:val="420"/>
  <w:noPunctuationKerning w:val="1"/>
  <w:characterSpacingControl w:val="doNotCompress"/>
  <w:footnotePr>
    <w:footnote w:id="20"/>
    <w:footnote w:id="21"/>
  </w:footnotePr>
  <w:compat>
    <w:doNotExpandShiftReturn/>
    <w:doNotWrapTextWithPunct/>
    <w:doNotUseEastAsianBreakRules/>
    <w:useFELayout/>
    <w:compatSetting w:name="compatibilityMode" w:uri="http://schemas.microsoft.com/office/word" w:val="14"/>
  </w:compat>
  <w:rsids>
    <w:rsidRoot w:val="009E6E66"/>
    <w:rsid w:val="000638F7"/>
    <w:rsid w:val="00094CC3"/>
    <w:rsid w:val="000956A3"/>
    <w:rsid w:val="000A3AFD"/>
    <w:rsid w:val="000B630D"/>
    <w:rsid w:val="000C28AA"/>
    <w:rsid w:val="00123F27"/>
    <w:rsid w:val="00165041"/>
    <w:rsid w:val="001B2DAB"/>
    <w:rsid w:val="00202D15"/>
    <w:rsid w:val="00217043"/>
    <w:rsid w:val="00253578"/>
    <w:rsid w:val="002807D5"/>
    <w:rsid w:val="00281465"/>
    <w:rsid w:val="0029412A"/>
    <w:rsid w:val="00297B76"/>
    <w:rsid w:val="002B1967"/>
    <w:rsid w:val="002C5791"/>
    <w:rsid w:val="002D526B"/>
    <w:rsid w:val="002F53FA"/>
    <w:rsid w:val="00313BA7"/>
    <w:rsid w:val="00315109"/>
    <w:rsid w:val="00336312"/>
    <w:rsid w:val="00344317"/>
    <w:rsid w:val="00387EF5"/>
    <w:rsid w:val="0040105E"/>
    <w:rsid w:val="00444D88"/>
    <w:rsid w:val="00451249"/>
    <w:rsid w:val="00457C86"/>
    <w:rsid w:val="004761C1"/>
    <w:rsid w:val="004A6C49"/>
    <w:rsid w:val="004D7B8D"/>
    <w:rsid w:val="005070D5"/>
    <w:rsid w:val="005146E7"/>
    <w:rsid w:val="005D6682"/>
    <w:rsid w:val="005F7BBE"/>
    <w:rsid w:val="00610A34"/>
    <w:rsid w:val="00614BBC"/>
    <w:rsid w:val="00711525"/>
    <w:rsid w:val="00727ABF"/>
    <w:rsid w:val="00767938"/>
    <w:rsid w:val="00770F27"/>
    <w:rsid w:val="00777BB1"/>
    <w:rsid w:val="0078264E"/>
    <w:rsid w:val="00790EA9"/>
    <w:rsid w:val="00791B4F"/>
    <w:rsid w:val="00796719"/>
    <w:rsid w:val="007B4D7E"/>
    <w:rsid w:val="00815BDD"/>
    <w:rsid w:val="00830ABD"/>
    <w:rsid w:val="00845485"/>
    <w:rsid w:val="00865BF0"/>
    <w:rsid w:val="008A6FE2"/>
    <w:rsid w:val="008C0898"/>
    <w:rsid w:val="009313CE"/>
    <w:rsid w:val="00990F08"/>
    <w:rsid w:val="009B03D7"/>
    <w:rsid w:val="009D2A1D"/>
    <w:rsid w:val="009E6E66"/>
    <w:rsid w:val="00A562E6"/>
    <w:rsid w:val="00AA1F61"/>
    <w:rsid w:val="00AF4E76"/>
    <w:rsid w:val="00B35E98"/>
    <w:rsid w:val="00B71CAF"/>
    <w:rsid w:val="00BD213B"/>
    <w:rsid w:val="00C02520"/>
    <w:rsid w:val="00C34429"/>
    <w:rsid w:val="00C54595"/>
    <w:rsid w:val="00C83323"/>
    <w:rsid w:val="00C846AF"/>
    <w:rsid w:val="00D2377C"/>
    <w:rsid w:val="00D36DBA"/>
    <w:rsid w:val="00D53A94"/>
    <w:rsid w:val="00D743CC"/>
    <w:rsid w:val="00DD403E"/>
    <w:rsid w:val="00DE1444"/>
    <w:rsid w:val="00DE1F2A"/>
    <w:rsid w:val="00DE5787"/>
    <w:rsid w:val="00E27273"/>
    <w:rsid w:val="00E652C4"/>
    <w:rsid w:val="00E73624"/>
    <w:rsid w:val="00EF65FE"/>
    <w:rsid w:val="00EF7491"/>
    <w:rsid w:val="00F16773"/>
    <w:rsid w:val="00F3406C"/>
    <w:rsid w:val="00FB484D"/>
    <w:rsid w:val="00FB6A82"/>
    <w:rsid w:val="00FD13F9"/>
    <w:rsid w:val="00FD7A00"/>
    <w:rsid w:val="00FE1261"/>
    <w:rsid w:val="00FF658A"/>
    <w:rsid w:val="016022B4"/>
    <w:rsid w:val="029C7664"/>
    <w:rsid w:val="031F6CAB"/>
    <w:rsid w:val="08EC5921"/>
    <w:rsid w:val="0E5057A7"/>
    <w:rsid w:val="126B32F7"/>
    <w:rsid w:val="172B0B5F"/>
    <w:rsid w:val="18144605"/>
    <w:rsid w:val="1AFF2817"/>
    <w:rsid w:val="1BBA3A2F"/>
    <w:rsid w:val="1CDB6B83"/>
    <w:rsid w:val="235A6A54"/>
    <w:rsid w:val="270C4AA5"/>
    <w:rsid w:val="2920273E"/>
    <w:rsid w:val="29C015DB"/>
    <w:rsid w:val="2D9C512F"/>
    <w:rsid w:val="2E33418C"/>
    <w:rsid w:val="2FB15C4D"/>
    <w:rsid w:val="30406FD1"/>
    <w:rsid w:val="32F80037"/>
    <w:rsid w:val="36AA1648"/>
    <w:rsid w:val="39123BB1"/>
    <w:rsid w:val="3A6E53A8"/>
    <w:rsid w:val="3B8E1539"/>
    <w:rsid w:val="3BC46D08"/>
    <w:rsid w:val="3CDE3DFA"/>
    <w:rsid w:val="402554F9"/>
    <w:rsid w:val="40CA1122"/>
    <w:rsid w:val="432E7C48"/>
    <w:rsid w:val="439B47F3"/>
    <w:rsid w:val="50254D92"/>
    <w:rsid w:val="51581F75"/>
    <w:rsid w:val="53B8319F"/>
    <w:rsid w:val="54A24918"/>
    <w:rsid w:val="55A51501"/>
    <w:rsid w:val="58F20F01"/>
    <w:rsid w:val="5AFA5E4B"/>
    <w:rsid w:val="5F1572CC"/>
    <w:rsid w:val="63B0096C"/>
    <w:rsid w:val="652C12F7"/>
    <w:rsid w:val="66D41C46"/>
    <w:rsid w:val="675A65EF"/>
    <w:rsid w:val="6C6B0957"/>
    <w:rsid w:val="6FD54E8A"/>
    <w:rsid w:val="714B0D57"/>
    <w:rsid w:val="771340C5"/>
    <w:rsid w:val="78501970"/>
    <w:rsid w:val="78A74AFF"/>
    <w:rsid w:val="7A0C74F9"/>
    <w:rsid w:val="7D3D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lang w:val="en-US" w:eastAsia="zh-CN" w:bidi="ar-SA"/>
    </w:rPr>
  </w:style>
  <w:style w:type="paragraph" w:styleId="2">
    <w:name w:val="heading 1"/>
    <w:next w:val="1"/>
    <w:qFormat/>
    <w:uiPriority w:val="0"/>
    <w:pPr>
      <w:outlineLvl w:val="0"/>
    </w:pPr>
    <w:rPr>
      <w:rFonts w:ascii="宋体" w:hAnsi="宋体" w:eastAsia="宋体" w:cs="宋体"/>
      <w:color w:val="2E74B5"/>
      <w:sz w:val="32"/>
      <w:szCs w:val="32"/>
      <w:lang w:val="en-US" w:eastAsia="zh-CN" w:bidi="ar-SA"/>
    </w:rPr>
  </w:style>
  <w:style w:type="paragraph" w:styleId="3">
    <w:name w:val="heading 2"/>
    <w:next w:val="1"/>
    <w:qFormat/>
    <w:uiPriority w:val="0"/>
    <w:pPr>
      <w:outlineLvl w:val="1"/>
    </w:pPr>
    <w:rPr>
      <w:rFonts w:ascii="宋体" w:hAnsi="宋体" w:eastAsia="宋体" w:cs="宋体"/>
      <w:color w:val="2E74B5"/>
      <w:sz w:val="26"/>
      <w:szCs w:val="26"/>
      <w:lang w:val="en-US" w:eastAsia="zh-CN" w:bidi="ar-SA"/>
    </w:rPr>
  </w:style>
  <w:style w:type="paragraph" w:styleId="4">
    <w:name w:val="heading 3"/>
    <w:next w:val="1"/>
    <w:qFormat/>
    <w:uiPriority w:val="0"/>
    <w:pPr>
      <w:outlineLvl w:val="2"/>
    </w:pPr>
    <w:rPr>
      <w:rFonts w:ascii="宋体" w:hAnsi="宋体" w:eastAsia="宋体" w:cs="宋体"/>
      <w:color w:val="1F4D78"/>
      <w:sz w:val="24"/>
      <w:szCs w:val="24"/>
      <w:lang w:val="en-US" w:eastAsia="zh-CN" w:bidi="ar-SA"/>
    </w:rPr>
  </w:style>
  <w:style w:type="paragraph" w:styleId="5">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1"/>
    <w:uiPriority w:val="0"/>
    <w:pPr>
      <w:jc w:val="left"/>
    </w:pPr>
  </w:style>
  <w:style w:type="paragraph" w:styleId="10">
    <w:name w:val="toc 3"/>
    <w:basedOn w:val="1"/>
    <w:next w:val="1"/>
    <w:qFormat/>
    <w:uiPriority w:val="0"/>
    <w:pPr>
      <w:ind w:left="840" w:leftChars="400"/>
    </w:pPr>
  </w:style>
  <w:style w:type="paragraph" w:styleId="11">
    <w:name w:val="Balloon Text"/>
    <w:basedOn w:val="1"/>
    <w:link w:val="30"/>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toc 1"/>
    <w:basedOn w:val="1"/>
    <w:next w:val="1"/>
    <w:uiPriority w:val="0"/>
  </w:style>
  <w:style w:type="paragraph" w:styleId="14">
    <w:name w:val="footnote text"/>
    <w:link w:val="26"/>
    <w:semiHidden/>
    <w:unhideWhenUsed/>
    <w:qFormat/>
    <w:uiPriority w:val="99"/>
    <w:rPr>
      <w:rFonts w:ascii="宋体" w:hAnsi="宋体" w:eastAsia="宋体" w:cs="宋体"/>
      <w:lang w:val="en-US" w:eastAsia="zh-CN" w:bidi="ar-SA"/>
    </w:rPr>
  </w:style>
  <w:style w:type="paragraph" w:styleId="15">
    <w:name w:val="toc 2"/>
    <w:basedOn w:val="1"/>
    <w:next w:val="1"/>
    <w:qFormat/>
    <w:uiPriority w:val="0"/>
    <w:pPr>
      <w:ind w:left="420" w:leftChars="200"/>
    </w:pPr>
  </w:style>
  <w:style w:type="paragraph" w:styleId="16">
    <w:name w:val="Normal (Web)"/>
    <w:basedOn w:val="1"/>
    <w:unhideWhenUsed/>
    <w:qFormat/>
    <w:uiPriority w:val="99"/>
    <w:pPr>
      <w:widowControl/>
      <w:spacing w:before="100" w:beforeAutospacing="1" w:after="100" w:afterAutospacing="1"/>
      <w:jc w:val="left"/>
    </w:pPr>
  </w:style>
  <w:style w:type="paragraph" w:styleId="17">
    <w:name w:val="Title"/>
    <w:qFormat/>
    <w:uiPriority w:val="0"/>
    <w:rPr>
      <w:rFonts w:ascii="宋体" w:hAnsi="宋体" w:eastAsia="宋体" w:cs="宋体"/>
      <w:sz w:val="56"/>
      <w:szCs w:val="56"/>
      <w:lang w:val="en-US" w:eastAsia="zh-CN" w:bidi="ar-SA"/>
    </w:rPr>
  </w:style>
  <w:style w:type="paragraph" w:styleId="18">
    <w:name w:val="annotation subject"/>
    <w:basedOn w:val="9"/>
    <w:next w:val="9"/>
    <w:link w:val="32"/>
    <w:uiPriority w:val="0"/>
    <w:rPr>
      <w:b/>
      <w:bCs/>
    </w:rPr>
  </w:style>
  <w:style w:type="character" w:styleId="21">
    <w:name w:val="Strong"/>
    <w:basedOn w:val="20"/>
    <w:qFormat/>
    <w:uiPriority w:val="0"/>
    <w:rPr>
      <w:b/>
    </w:rPr>
  </w:style>
  <w:style w:type="character" w:styleId="22">
    <w:name w:val="Hyperlink"/>
    <w:unhideWhenUsed/>
    <w:qFormat/>
    <w:uiPriority w:val="99"/>
    <w:rPr>
      <w:color w:val="0563C1"/>
      <w:u w:val="single"/>
    </w:rPr>
  </w:style>
  <w:style w:type="character" w:styleId="23">
    <w:name w:val="annotation reference"/>
    <w:basedOn w:val="20"/>
    <w:uiPriority w:val="0"/>
    <w:rPr>
      <w:sz w:val="21"/>
      <w:szCs w:val="21"/>
    </w:rPr>
  </w:style>
  <w:style w:type="character" w:styleId="24">
    <w:name w:val="footnote reference"/>
    <w:semiHidden/>
    <w:unhideWhenUsed/>
    <w:qFormat/>
    <w:uiPriority w:val="99"/>
    <w:rPr>
      <w:vertAlign w:val="superscript"/>
    </w:rPr>
  </w:style>
  <w:style w:type="paragraph" w:styleId="25">
    <w:name w:val="List Paragraph"/>
    <w:qFormat/>
    <w:uiPriority w:val="0"/>
    <w:rPr>
      <w:rFonts w:ascii="宋体" w:hAnsi="宋体" w:eastAsia="宋体" w:cs="宋体"/>
      <w:sz w:val="24"/>
      <w:szCs w:val="24"/>
      <w:lang w:val="en-US" w:eastAsia="zh-CN" w:bidi="ar-SA"/>
    </w:rPr>
  </w:style>
  <w:style w:type="character" w:customStyle="1" w:styleId="26">
    <w:name w:val="脚注文本 Char"/>
    <w:link w:val="14"/>
    <w:semiHidden/>
    <w:unhideWhenUsed/>
    <w:qFormat/>
    <w:uiPriority w:val="99"/>
    <w:rPr>
      <w:sz w:val="20"/>
      <w:szCs w:val="20"/>
    </w:rPr>
  </w:style>
  <w:style w:type="paragraph" w:customStyle="1" w:styleId="27">
    <w:name w:val="WPSOffice手动目录 1"/>
    <w:qFormat/>
    <w:uiPriority w:val="0"/>
    <w:rPr>
      <w:rFonts w:ascii="宋体" w:hAnsi="宋体" w:eastAsia="宋体" w:cs="宋体"/>
      <w:lang w:val="en-US" w:eastAsia="zh-CN" w:bidi="ar-SA"/>
    </w:rPr>
  </w:style>
  <w:style w:type="paragraph" w:customStyle="1" w:styleId="28">
    <w:name w:val="WPSOffice手动目录 2"/>
    <w:qFormat/>
    <w:uiPriority w:val="0"/>
    <w:pPr>
      <w:ind w:left="200" w:leftChars="200"/>
    </w:pPr>
    <w:rPr>
      <w:rFonts w:ascii="宋体" w:hAnsi="宋体" w:eastAsia="宋体" w:cs="宋体"/>
      <w:lang w:val="en-US" w:eastAsia="zh-CN" w:bidi="ar-SA"/>
    </w:rPr>
  </w:style>
  <w:style w:type="paragraph" w:customStyle="1" w:styleId="29">
    <w:name w:val="WPSOffice手动目录 3"/>
    <w:qFormat/>
    <w:uiPriority w:val="0"/>
    <w:pPr>
      <w:ind w:left="400" w:leftChars="400"/>
    </w:pPr>
    <w:rPr>
      <w:rFonts w:ascii="宋体" w:hAnsi="宋体" w:eastAsia="宋体" w:cs="宋体"/>
      <w:lang w:val="en-US" w:eastAsia="zh-CN" w:bidi="ar-SA"/>
    </w:rPr>
  </w:style>
  <w:style w:type="character" w:customStyle="1" w:styleId="30">
    <w:name w:val="批注框文本 Char"/>
    <w:basedOn w:val="20"/>
    <w:link w:val="11"/>
    <w:uiPriority w:val="0"/>
    <w:rPr>
      <w:rFonts w:ascii="宋体" w:hAnsi="宋体" w:cs="宋体"/>
      <w:sz w:val="18"/>
      <w:szCs w:val="18"/>
    </w:rPr>
  </w:style>
  <w:style w:type="character" w:customStyle="1" w:styleId="31">
    <w:name w:val="批注文字 Char"/>
    <w:basedOn w:val="20"/>
    <w:link w:val="9"/>
    <w:uiPriority w:val="0"/>
    <w:rPr>
      <w:rFonts w:ascii="宋体" w:hAnsi="宋体" w:cs="宋体"/>
      <w:sz w:val="24"/>
      <w:szCs w:val="24"/>
    </w:rPr>
  </w:style>
  <w:style w:type="character" w:customStyle="1" w:styleId="32">
    <w:name w:val="批注主题 Char"/>
    <w:basedOn w:val="31"/>
    <w:link w:val="18"/>
    <w:uiPriority w:val="0"/>
    <w:rPr>
      <w:rFonts w:ascii="宋体" w:hAnsi="宋体" w:cs="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E3AD3A-0F79-4E6E-964E-CA7DF6AAFB92}">
  <ds:schemaRefs/>
</ds:datastoreItem>
</file>

<file path=docProps/app.xml><?xml version="1.0" encoding="utf-8"?>
<Properties xmlns="http://schemas.openxmlformats.org/officeDocument/2006/extended-properties" xmlns:vt="http://schemas.openxmlformats.org/officeDocument/2006/docPropsVTypes">
  <Template>Normal.dotm</Template>
  <Pages>49</Pages>
  <Words>30445</Words>
  <Characters>36489</Characters>
  <Lines>441</Lines>
  <Paragraphs>124</Paragraphs>
  <TotalTime>178</TotalTime>
  <ScaleCrop>false</ScaleCrop>
  <LinksUpToDate>false</LinksUpToDate>
  <CharactersWithSpaces>37447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2026-03-15T20:47:00Z</dcterms:created>
  <dc:creator>Un-named</dc:creator>
  <cp:lastModifiedBy>王语心</cp:lastModifiedBy>
  <dcterms:modified xsi:type="dcterms:W3CDTF">2026-04-07T06:20:17Z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eyJoZGlkIjoiZDE3NTZlMzNiNDUzOTg5NTFlMWQzNzA0YmNhZjA3MGUiLCJ1c2VySWQiOiIxNjAwODIxOTA5In0=</vt:lpwstr>
  </property>
  <property fmtid="{D5CDD505-2E9C-101B-9397-08002B2CF9AE}" pid="3" name="KSOProductBuildVer">
    <vt:lpwstr>2052-12.1.0.25225</vt:lpwstr>
  </property>
  <property fmtid="{D5CDD505-2E9C-101B-9397-08002B2CF9AE}" pid="4" name="ICV">
    <vt:lpwstr>8A3DF4879DB648B2B3D8DD0B2176B87F_13</vt:lpwstr>
  </property>
</Properties>
</file>