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200"/>
        <w:jc w:val="center"/>
      </w:pPr>
      <w:r>
        <w:rPr>
          <w:rFonts w:ascii="Times New Roman" w:hAnsi="Times New Roman" w:eastAsia="黑体"/>
          <w:b w:val="0"/>
          <w:sz w:val="44"/>
        </w:rPr>
        <w:t>五个班级学业成绩的数据挖掘与分析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8"/>
        </w:rPr>
        <w:t>——基于KDD流程的数据预处理、统计描述与聚类分析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课程名称：</w:t>
      </w:r>
      <w:r>
        <w:rPr>
          <w:rFonts w:ascii="Times New Roman" w:hAnsi="Times New Roman" w:eastAsia="宋体"/>
          <w:b w:val="0"/>
          <w:sz w:val="28"/>
        </w:rPr>
        <w:t>人工智能（第二章  数据挖掘）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作业题目：</w:t>
      </w:r>
      <w:r>
        <w:rPr>
          <w:rFonts w:ascii="Times New Roman" w:hAnsi="Times New Roman" w:eastAsia="宋体"/>
          <w:b w:val="0"/>
          <w:sz w:val="28"/>
        </w:rPr>
        <w:t>作业一  五个班级成绩数据挖掘与分析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姓    名：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学    号：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学    院：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提交日期：</w:t>
      </w:r>
      <w:r>
        <w:rPr>
          <w:rFonts w:ascii="Times New Roman" w:hAnsi="Times New Roman" w:eastAsia="宋体"/>
          <w:b w:val="0"/>
          <w:sz w:val="28"/>
        </w:rPr>
        <w:t>2026年10月</w:t>
      </w:r>
    </w:p>
    <w:p>
      <w:r>
        <w:br w:type="page"/>
      </w:r>
    </w:p>
    <w:p>
      <w:pPr>
        <w:spacing w:line="360" w:lineRule="auto" w:before="0" w:after="200"/>
        <w:jc w:val="center"/>
      </w:pPr>
      <w:r>
        <w:rPr>
          <w:rFonts w:ascii="Times New Roman" w:hAnsi="Times New Roman" w:eastAsia="黑体"/>
          <w:b w:val="0"/>
          <w:sz w:val="30"/>
        </w:rPr>
        <w:t>摘  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以五个班级178名学生的学期成绩汇总数据为对象，按照知识发现（KDD）流程进行数据挖掘与分析。预处理阶段审查了数据质量，处理了数值以文本存储、通过率记录格式不统一以及修读门数不同导致总分不可比等问题，并构造课程平均分，进行Min-Max归一化与Z-score标准化。分析阶段对各班成绩进行描述性统计与可视化（直方图、箱线图、Q-Q图、平行坐标图），以单因素方差分析和Kruskal-Wallis检验比较班级差异，以主成分分析和K-means聚类识别学生群体。五个班级的学分加权平均分差异显著（</w:t>
      </w:r>
      <w:r>
        <w:rPr>
          <w:rFonts w:ascii="Times New Roman" w:hAnsi="Times New Roman" w:eastAsia="宋体"/>
          <w:b w:val="0"/>
          <w:i/>
          <w:sz w:val="24"/>
        </w:rPr>
        <w:t>H</w:t>
      </w:r>
      <w:r>
        <w:rPr>
          <w:rFonts w:ascii="Times New Roman" w:hAnsi="Times New Roman" w:eastAsia="宋体"/>
          <w:b w:val="0"/>
          <w:sz w:val="24"/>
        </w:rPr>
        <w:t xml:space="preserve"> = 63.28，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</w:t>
      </w:r>
      <w:r>
        <w:rPr>
          <w:rFonts w:ascii="Times New Roman" w:hAnsi="Times New Roman" w:eastAsia="宋体"/>
          <w:b w:val="0"/>
          <w:i/>
          <w:sz w:val="24"/>
        </w:rPr>
        <w:t>ε²</w:t>
      </w:r>
      <w:r>
        <w:rPr>
          <w:rFonts w:ascii="Times New Roman" w:hAnsi="Times New Roman" w:eastAsia="宋体"/>
          <w:b w:val="0"/>
          <w:sz w:val="24"/>
        </w:rPr>
        <w:t xml:space="preserve"> = 0.34），均值由高到低依次为BD、T1、T2、D2与D1；BD班均值最高、标准差最小；D1班不及格率为40.0%，不及格门次占五个班级总数的55%；同一培养方案的平行班之间差异不显著。K-means聚类将学生分为学业优良、中等与学业预警三类，其中学业预警学生22名。</w:t>
      </w:r>
    </w:p>
    <w:p>
      <w:pPr>
        <w:spacing w:line="360" w:lineRule="auto" w:before="160" w:after="0"/>
        <w:jc w:val="both"/>
      </w:pPr>
      <w:r>
        <w:rPr>
          <w:rFonts w:ascii="Times New Roman" w:hAnsi="Times New Roman" w:eastAsia="黑体"/>
          <w:b w:val="0"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数据挖掘；数据预处理；描述性统计；箱线图；K-means聚类；学业预警</w:t>
      </w:r>
    </w:p>
    <w:p>
      <w:r>
        <w:br w:type="page"/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1  引言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高校教学管理积累了大量学生成绩数据。成绩汇总表逐行记录每名学生的学业指标，直接阅读难以看出班级间差异、成绩分布特征和需要关注的学生。数据挖掘是从大量数据中提取隐含的、先前未知的、潜在有用的模式的过程，适用于此类问题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以五个班级同一学期的成绩汇总数据为对象，依据KDD流程完成数据预处理、统计描述、可视化分析与数据挖掘。具体工作包括：评估原始数据质量，经清洗、集成与变换形成分析数据集；比较各班成绩的集中趋势与离散趋势，并检验班级差异的显著性；识别成绩离群的个体，并以聚类方法划分学生群体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2  数据来源与变量说明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来自课程提供的Excel文件，含5个工作表，分别对应D1、D2、BD、T1、T2五个班级，合计178条学生记录，每条记录10个字段。每条记录为一个数据对象，每个字段为一个属性。各字段的定义及属性类型见表1，其中班级与成绩等级为预处理中构造的衍生属性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表1  变量定义与属性类型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1814"/>
        <w:gridCol w:w="4195"/>
        <w:gridCol w:w="2608"/>
      </w:tblGrid>
      <w:tr>
        <w:trPr>
          <w:cantSplit/>
        </w:trP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195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2608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属性类型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学生编号（BD表中列名为“姓名”）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标称属性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学分加权平均分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Σ(课程成绩×学分)/Σ学分，百分制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获得学分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本学期已获得的学分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不及格课程对应的学分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本学期应修学分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不及格门次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不及格课程的门数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平均学分绩点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GPA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通过率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获得学分/总学分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门数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本学期修读课程门数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各门课程成绩之和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班级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数据来源工作表（衍生）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标称属性</w:t>
            </w:r>
          </w:p>
        </w:tc>
      </w:tr>
      <w:tr>
        <w:trPr>
          <w:cantSplit/>
        </w:trPr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成绩等级</w:t>
            </w:r>
          </w:p>
        </w:tc>
        <w:tc>
          <w:tcPr>
            <w:tcW w:type="dxa" w:w="4195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按学分加权平均分离散化（衍生）</w:t>
            </w:r>
          </w:p>
        </w:tc>
        <w:tc>
          <w:tcPr>
            <w:tcW w:type="dxa" w:w="2608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序数属性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3  数据预处理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预处理依次进行数据清洗、数据集成、数据变换与数据规约。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3.1  数据质量审查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从准确性、完整性和一致性三方面审查五个工作表，结果见表2。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表2  各工作表数据质量审查结果</w:t>
      </w:r>
    </w:p>
    <w:tbl>
      <w:tblPr>
        <w:jc w:val="center"/>
        <w:tblLayout w:type="fixed"/>
        <w:tblLook w:firstColumn="1" w:firstRow="1" w:lastColumn="0" w:lastRow="0" w:noHBand="0" w:noVBand="1" w:val="04A0"/>
        <w:tblW w:w="8646" w:type="dxa"/>
      </w:tblPr>
      <w:tblGrid>
        <w:gridCol w:w="3402"/>
        <w:gridCol w:w="1048"/>
        <w:gridCol w:w="1048"/>
        <w:gridCol w:w="1048"/>
        <w:gridCol w:w="1048"/>
        <w:gridCol w:w="1048"/>
      </w:tblGrid>
      <w:tr>
        <w:trPr>
          <w:cantSplit/>
        </w:trPr>
        <w:tc>
          <w:tcPr>
            <w:tcW w:type="dxa" w:w="3402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审查项目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D1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D2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BD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T1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记录数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34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以文本格式存储的数值单元格数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314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306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首列列名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姓名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学号示例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21BD1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21T111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21T211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通过率记录格式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数值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重复学号/重复记录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越界值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违反“获得学分+不及格学分=总学分”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违反“通过率=获得学分/总学分”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应修学分/课程门数（众数）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27/11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25/10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25/10</w:t>
            </w:r>
          </w:p>
        </w:tc>
      </w:tr>
      <w:tr>
        <w:trPr>
          <w:cantSplit/>
        </w:trPr>
        <w:tc>
          <w:tcPr>
            <w:tcW w:type="dxa" w:w="3402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修读门数低于本班标准的人数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注：越界值指学分加权平均分不在[0, 100]、平均学分绩点不在[0, 5]或通过率不在[0, 1]内的取值；“文本(%)”指形如“82.14%”的文本，“数值”指数值型小数。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始数据无缺失值、重复记录和越界值，全部记录均满足两项业务规则（获得学分+不及格学分=总学分；通过率=获得学分/总学分），准确性与完整性符合要求。一致性方面存在三类问题：D1、D2、T1三个工作表的数值几乎全部以文本格式存储，无法直接计算；记录格式不统一，D1、D2、T1三班的通过率为带百分号的文本，BD与T2两班为数值型小数，BD表首列列名为“姓名”而其余各表为“ID”，D1班学号缺少“21”前缀；各班应修学分与课程门数不同，D类班级为28学分、11门，BD班为27学分、11门，T类班级为25学分、10门，另有8名学生的修读门数低于本班标准，因此总分在班级之间和学生之间不可比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3.2  数据清洗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文本存储的数值统一转换为数值型（Python中使用pd.to_numeric，Excel中可用“转换为数字”功能）；通过率去除百分号，统一换算为0～1之间的小数；BD表首列列名统一为“ID”。成绩明显偏低的记录予以保留，在4.5节中按箱线图规则识别为离群点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3.3  数据集成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五个工作表纵向合并为一张178条记录的总表，并增设班级字段标识数据来源。实体识别以学号为唯一标识，合并后178个学号互不重复，D1班学号虽缺少前缀，但与其他班级无冲突；冗余属性通过相关分析检测（见3.5节）；两项业务规则的交叉校验未发现数据值冲突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3.4  数据变换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变换包括四项。课程平均分定义为总分与修读门数之比。总分受修读门数影响较大，如21BD1仅修读10门课程，总分931分在BD班排名靠后，课程平均分93.1分却为该班最高。全体样本中，总分与学分加权平均分的Pearson相关系数为0.66，课程平均分与学分加权平均分的相关系数为0.97，故跨班比较不使用总分。Min-Max归一化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>′ = (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 xml:space="preserve"> − min)/(max − min)将各指标映射至[0, 1]区间，用于平行坐标图。Z-score标准化z = (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 xml:space="preserve"> − μ)/σ用于主成分分析与K-means聚类，班内Z分数用于衡量学生在本班的相对位置。按学分加权平均分将成绩离散化为优秀[85, 100]、良好[80, 85)、中等[70, 80)与及格[60, 70)四个等级，得到序数属性成绩等级。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3.5  数据规约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r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  各数值属性的Pearson相关系数矩阵（</w:t>
      </w:r>
      <w:r>
        <w:rPr>
          <w:rFonts w:ascii="Times New Roman" w:hAnsi="Times New Roman" w:eastAsia="宋体"/>
          <w:b w:val="0"/>
          <w:i/>
          <w:sz w:val="21"/>
        </w:rPr>
        <w:t>N</w:t>
      </w:r>
      <w:r>
        <w:rPr>
          <w:rFonts w:ascii="Times New Roman" w:hAnsi="Times New Roman" w:eastAsia="宋体"/>
          <w:b w:val="0"/>
          <w:sz w:val="21"/>
        </w:rPr>
        <w:t xml:space="preserve"> = 178）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数值属性间的Pearson相关系数见图1。学分加权平均分与平均学分绩点、课程平均分的相关系数分别为0.99和0.97，三者近乎线性相关；通过率与不及格学分的相关系数为−1.00，二者满足通过率=1−不及格学分/总学分。属性间存在明显冗余，因此描述性统计以学分加权平均分衡量学业水平，以不及格门次和不及格率衡量学业风险；第6节用主成分分析将6项指标降为2个主成分（累计方差贡献率98.3%）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4  描述性统计分析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4.1  集中趋势与离散趋势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集中趋势以均值、中位数和众数度量，离散趋势以极差、方差、标准差、四分位距和变异系数度量，各班学分加权平均分的统计结果见表3。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表3  各班学分加权平均分的描述性统计</w:t>
      </w:r>
    </w:p>
    <w:tbl>
      <w:tblPr>
        <w:jc w:val="center"/>
        <w:tblLayout w:type="fixed"/>
        <w:tblLook w:firstColumn="1" w:firstRow="1" w:lastColumn="0" w:lastRow="0" w:noHBand="0" w:noVBand="1" w:val="04A0"/>
        <w:tblW w:w="8901" w:type="dxa"/>
      </w:tblPr>
      <w:tblGrid>
        <w:gridCol w:w="1757"/>
        <w:gridCol w:w="1190"/>
        <w:gridCol w:w="1190"/>
        <w:gridCol w:w="1190"/>
        <w:gridCol w:w="1190"/>
        <w:gridCol w:w="1190"/>
        <w:gridCol w:w="1190"/>
      </w:tblGrid>
      <w:tr>
        <w:trPr>
          <w:cantSplit/>
        </w:trPr>
        <w:tc>
          <w:tcPr>
            <w:tcW w:type="dxa" w:w="175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统计量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D1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D2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BD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T1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T2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全体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样本量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均值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78.90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87.67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81.21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中位数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78.65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87.93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81.37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众数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75.64/81.29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91.26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83.04/85.84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最小值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65.07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80.59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67.68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最大值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86.46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92.19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90.12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91.00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92.19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极差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24.53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24.32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11.60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19.96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23.32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30.26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下四分位数Q1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76.24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85.94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79.17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78.22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上四分位数Q3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81.29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82.28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90.09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85.47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84.43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85.74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四分位距IQR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8.56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26.99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29.64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9.90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18.73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25.43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33.41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标准差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5.20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5.44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3.15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5.04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变异系数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6.9%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3.6%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5.3%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7.1%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偏度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−0.70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−0.24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−0.71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−0.40</w:t>
            </w:r>
          </w:p>
        </w:tc>
      </w:tr>
      <w:tr>
        <w:trPr>
          <w:cantSplit/>
        </w:trPr>
        <w:tc>
          <w:tcPr>
            <w:tcW w:type="dxa" w:w="175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峰度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注：方差与标准差的分母为</w:t>
      </w:r>
      <w:r>
        <w:rPr>
          <w:rFonts w:ascii="Times New Roman" w:hAnsi="Times New Roman" w:eastAsia="宋体"/>
          <w:b w:val="0"/>
          <w:i/>
          <w:sz w:val="18"/>
        </w:rPr>
        <w:t>n</w:t>
      </w:r>
      <w:r>
        <w:rPr>
          <w:rFonts w:ascii="Times New Roman" w:hAnsi="Times New Roman" w:eastAsia="宋体"/>
          <w:b w:val="0"/>
          <w:sz w:val="18"/>
        </w:rPr>
        <w:t>−1；众数栏“无”表示各取值均只出现一次，列出两个值表示存在两个众数；数值按四舍五入保留两位小数。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的均值（87.67）与中位数（87.93）均明显高于其他班级，较全体均值高约6.5分；T1班与T2班接近全体平均水平；D2班与D1班低于全体平均水平，D1班均值最低（77.15）。离散程度方面，BD班标准差为3.15，变异系数为3.6%，成绩最为集中；D2班与D1班的标准差分别为5.44和5.20，极差均超过24分。偏度方面，D1、BD与T2三个班级约为−0.7，呈左偏分布，均值低于中位数，少数低分学生拉低了班级均值；D2班的偏度为0.00，分布对称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4.2  班级均值比较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15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an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1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图2  各班学分加权平均分均值（误差线为95%置信区间，虚线为全体均值）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BD班均值的95%置信区间与其余四个班级均不重叠；T1与T2、D1与D2的置信区间分别大幅重叠（图2），检验结果见第5节。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4.3  成绩分布形态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03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图3  各班学分加权平均分分布直方图（组距2.5分；实线为均值，虚线为中位数）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BD班成绩全部高于80分，集中于85～92分（图3）；T1班与T2班的成绩主体位于77～87分；D1班与D2班的成绩主体位于72～82分，并在70分以下存在左侧拖尾。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4.4  成绩等级构成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ev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图4  各班成绩等级构成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各班成绩等级构成见图4与表4。BD班优秀率为86.7%（26/30），其余学生均为良好；T1班与T2班良好及以上等级的比例分别为67.5%与66.7%；D1班与D2班以中等为主，占比分别为62.9%与58.8%，D1班仅1人达到优秀。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表4  各班成绩等级人数分布</w:t>
      </w:r>
    </w:p>
    <w:tbl>
      <w:tblPr>
        <w:jc w:val="center"/>
        <w:tblLayout w:type="fixed"/>
        <w:tblLook w:firstColumn="1" w:firstRow="1" w:lastColumn="0" w:lastRow="0" w:noHBand="0" w:noVBand="1" w:val="04A0"/>
        <w:tblW w:w="8164" w:type="dxa"/>
      </w:tblPr>
      <w:tblGrid>
        <w:gridCol w:w="1360"/>
        <w:gridCol w:w="1360"/>
        <w:gridCol w:w="1360"/>
        <w:gridCol w:w="1360"/>
        <w:gridCol w:w="1360"/>
        <w:gridCol w:w="1360"/>
      </w:tblGrid>
      <w:tr>
        <w:trPr>
          <w:cantSplit/>
        </w:trPr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班级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优秀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良好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中等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及格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4.5  箱线图与离群点检测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离群点按箱线图规则判定，即落在[Q1 − 1.5×IQR, Q3 + 1.5×IQR]以外的观测值。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44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4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图5  各班学分加权平均分箱线图（空心圆为离群点）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BD班箱体位置最高、高度最小（图5），其最低分（80.59）高于D1班与D2班的中位数；T1班与T2班的中位数接近（81.66与81.96），T2班在低分端有两个离群点。五个班级共识别出4个离群点，均在低分一侧，见表5。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表5  箱线图规则识别出的离群学生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793"/>
        <w:gridCol w:w="1190"/>
        <w:gridCol w:w="1247"/>
        <w:gridCol w:w="907"/>
        <w:gridCol w:w="1134"/>
        <w:gridCol w:w="1134"/>
        <w:gridCol w:w="1020"/>
        <w:gridCol w:w="1190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班级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加权平均分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班内Z分数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61.93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60.7%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−2.93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65.07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53.6%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−2.54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67.68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60.0%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−2.67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21T249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68.84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1.62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56.0%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−2.44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注：加权平均分即学分加权平均分，平均绩点即平均学分绩点，下同。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这4名学生均有2～4门课程不及格，学分通过率为53.6%～60.7%，班内Z分数均低于−2.4，即成绩低于本班均值2.4个标准差以上。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4.6  不及格情况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68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图6  各班不及格率（至少一门课程不及格的学生占比）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将至少一门课程不及格的学生占全班人数的比例称为不及格率。全体样本中有24名学生存在不及格课程，累计38门次（图6）。D1班不及格率为40.0%（14/35），不及格门次为21，占全部不及格门次的55%；BD班无学生不及格，T1班仅1名学生有1门课程不及格。D2班与T2班的均值相差约2.3分，不及格率则相近（14.7%与10.3%）。各班其他学业指标见表6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表6  各班其他学业指标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793"/>
        <w:gridCol w:w="1020"/>
        <w:gridCol w:w="1134"/>
        <w:gridCol w:w="1077"/>
        <w:gridCol w:w="1020"/>
        <w:gridCol w:w="1077"/>
        <w:gridCol w:w="1360"/>
        <w:gridCol w:w="1134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班级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课程平均分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不及格人数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不及格率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不及格门次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人均不及格学分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平均通过率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81.20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40.0%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91.5%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D2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2.71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82.57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14.7%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1.12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96.0%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BD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3.61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88.70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84.57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0.13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2.95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83.72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10.3%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96.7%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4.7  班级成绩分布的Q-Q图比较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Q-Q图以两个班级相同分位数上的成绩为坐标绘点，点位于直线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x上方表示纵轴班级在该分位数上的成绩更高。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0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q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图7  班级间学分加权平均分的Q-Q图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D1与D2相比（图7左），各点总体位于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x上方，D2在大多数分位数上高出D1约1～1.5分，两端（尤其是高分端）差距更大。T1与T2相比，中间分位数的点基本贴合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x，两班中等水平学生的成绩相近；最低分位数的点明显位于直线下方，T2班的相对劣势集中于少数低分学生，即图5中的两个离群点。BD与T1相比，全部点位于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x上方，低分位与中分位相差约6～7分，高分端缩小至3～4分，拟合斜率小于1，BD班在各分位数上均高于T1班且分布更集中。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4.8  多指标的平行坐标分析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08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arall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图8  五个班级多指标均值的平行坐标图（Min-Max归一化）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8将各班6项指标的均值经Min-Max归一化后以折线连接。BD班在成绩类指标上均为最高，在不及格类指标上均为最低，D1班与之相反。T1班的通过率与不及格类指标接近BD班，成绩类指标居中，即不及格少而高分学生比例不高；D2班与T2班的不及格类指标居中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5  班级差异的显著性检验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Shapiro-Wilk检验的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>值均大于0.05（最小为0.105），以中位数为中心的Levene检验（Brown-Forsythe检验）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= 0.155，满足正态性与方差齐性假设。单因素方差分析结果为</w:t>
      </w:r>
      <w:r>
        <w:rPr>
          <w:rFonts w:ascii="Times New Roman" w:hAnsi="Times New Roman" w:eastAsia="宋体"/>
          <w:b w:val="0"/>
          <w:i/>
          <w:sz w:val="24"/>
        </w:rPr>
        <w:t>F</w:t>
      </w:r>
      <w:r>
        <w:rPr>
          <w:rFonts w:ascii="Times New Roman" w:hAnsi="Times New Roman" w:eastAsia="宋体"/>
          <w:b w:val="0"/>
          <w:sz w:val="24"/>
        </w:rPr>
        <w:t xml:space="preserve"> = 22.68，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0.001；非参数Kruskal-Wallis检验结果为</w:t>
      </w:r>
      <w:r>
        <w:rPr>
          <w:rFonts w:ascii="Times New Roman" w:hAnsi="Times New Roman" w:eastAsia="宋体"/>
          <w:b w:val="0"/>
          <w:i/>
          <w:sz w:val="24"/>
        </w:rPr>
        <w:t>H</w:t>
      </w:r>
      <w:r>
        <w:rPr>
          <w:rFonts w:ascii="Times New Roman" w:hAnsi="Times New Roman" w:eastAsia="宋体"/>
          <w:b w:val="0"/>
          <w:sz w:val="24"/>
        </w:rPr>
        <w:t xml:space="preserve"> = 63.28，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</w:t>
      </w:r>
      <w:r>
        <w:rPr>
          <w:rFonts w:ascii="Times New Roman" w:hAnsi="Times New Roman" w:eastAsia="宋体"/>
          <w:b w:val="0"/>
          <w:i/>
          <w:sz w:val="24"/>
        </w:rPr>
        <w:t>ε²</w:t>
      </w:r>
      <w:r>
        <w:rPr>
          <w:rFonts w:ascii="Times New Roman" w:hAnsi="Times New Roman" w:eastAsia="宋体"/>
          <w:b w:val="0"/>
          <w:sz w:val="24"/>
        </w:rPr>
        <w:t xml:space="preserve"> = 0.34（大效应）。五个班级的学分加权平均分存在显著差异。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两两比较采用Mann-Whitney U检验，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>值经Holm法校正，结果见表7。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表7  班级两两比较结果</w:t>
      </w:r>
    </w:p>
    <w:tbl>
      <w:tblPr>
        <w:jc w:val="center"/>
        <w:tblLayout w:type="fixed"/>
        <w:tblLook w:firstColumn="1" w:firstRow="1" w:lastColumn="0" w:lastRow="0" w:noHBand="0" w:noVBand="1" w:val="04A0"/>
        <w:tblW w:w="8051" w:type="dxa"/>
      </w:tblPr>
      <w:tblGrid>
        <w:gridCol w:w="1587"/>
        <w:gridCol w:w="1474"/>
        <w:gridCol w:w="1814"/>
        <w:gridCol w:w="1814"/>
        <w:gridCol w:w="1360"/>
      </w:tblGrid>
      <w:tr>
        <w:trPr>
          <w:cantSplit/>
        </w:trPr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比较组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中位数差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原始p值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Holm校正p值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显著性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−10.75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1.53×10⁻¹⁰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1.53×10⁻⁹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−9.28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2.10×10⁻⁸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1.89×10⁻⁷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+5.97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7.42×10⁻⁸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5.94×10⁻⁷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+6.27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4.29×10⁻⁷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3.00×10⁻⁶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−4.48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9.51×10⁻⁵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5.70×10⁻⁴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−4.78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8.21×10⁻⁴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−3.02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−3.32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D1与D2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−1.47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0.534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  <w:tr>
        <w:trPr>
          <w:cantSplit/>
        </w:trPr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T1与T2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−0.30</w:t>
            </w:r>
          </w:p>
        </w:tc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0.670</w:t>
            </w:r>
          </w:p>
        </w:tc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0.670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注：中位数差为前一班级减去后一班级的中位数；显著性水平α = 0.05；按原始</w:t>
      </w:r>
      <w:r>
        <w:rPr>
          <w:rFonts w:ascii="Times New Roman" w:hAnsi="Times New Roman" w:eastAsia="宋体"/>
          <w:b w:val="0"/>
          <w:i/>
          <w:sz w:val="18"/>
        </w:rPr>
        <w:t>p</w:t>
      </w:r>
      <w:r>
        <w:rPr>
          <w:rFonts w:ascii="Times New Roman" w:hAnsi="Times New Roman" w:eastAsia="宋体"/>
          <w:b w:val="0"/>
          <w:sz w:val="18"/>
        </w:rPr>
        <w:t>值升序排列。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与其余四个班级的差异均显著；D1与T1、D1与T2、D2与T1的差异亦显著；D1与D2、T1与T2两组平行班差异不显著，D2与T2的差异经校正后不显著。成绩差异主要存在于不同培养方案之间，同一培养方案的平行班之间差异不显著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6  学生群体的聚类分析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第4、5节以班级为单位比较，本节不预设分组，用聚类方法识别学生群体。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6.1  主成分分析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选取学分加权平均分、平均学分绩点、课程平均分、不及格门次、不及格学分与通过率6项指标，经Z-score标准化后进行主成分分析。第一主成分的方差贡献率为80.5%，6项指标的载荷绝对值均约为0.41，其中学分加权平均分、平均学分绩点、课程平均分与通过率为正，不及格门次与不及格学分为负，可解释为综合学业水平。第二主成分的方差贡献率为17.8%，其载荷中成绩类指标与不及格门次、不及格学分同号，通过率异号，反映成绩高低与不及格程度之间的不一致。前两个主成分的累计方差贡献率为98.3%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6.2  K-means聚类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在标准化后的六维数据上运行K-means算法，每个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>值重复运行500次（随机初始化与k-means++初始化交替），取簇内误差平方和（SSE）最小的结果；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>值依据肘部法与轮廓系数确定。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55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sc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图9  不同聚类数k下的簇内误差平方和（左）与轮廓系数（右）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2时轮廓系数最高（0.68），但划分结果与是否存在不及格课程基本一致（仅1名有不及格课程的学生归入另一类），仅凭不及格门次即可得到。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3时SSE曲线出现拐点（由439降至234），轮廓系数为0.52，并将其余学生进一步分为高分与中等两类。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4时轮廓系数为0.55，略高于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3，新增的划分是将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3时的学业预警组拆分为8人（不及格2～4门）与15人（不及格1～2门）两类。鉴于预警组规模较小，其内部差异可由表9的排序反映，故取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3（图9）。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856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lus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8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图10  K-means聚类结果在前两个主成分上的投影（</w:t>
      </w:r>
      <w:r>
        <w:rPr>
          <w:rFonts w:ascii="Times New Roman" w:hAnsi="Times New Roman" w:eastAsia="宋体"/>
          <w:b w:val="0"/>
          <w:i/>
          <w:sz w:val="21"/>
        </w:rPr>
        <w:t>k</w:t>
      </w:r>
      <w:r>
        <w:rPr>
          <w:rFonts w:ascii="Times New Roman" w:hAnsi="Times New Roman" w:eastAsia="宋体"/>
          <w:b w:val="0"/>
          <w:sz w:val="21"/>
        </w:rPr>
        <w:t xml:space="preserve"> = 3）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前两个主成分平面上（图10），没有不及格课程的学生（A组全部及B组绝大多数）近似分布于一条直线，其差别主要在分数高低；C组学生以及B组中2名各有1门课程不及格的学生偏离该直线，分布于左侧，反映了平均分之外的不及格信息。三个聚类的特征见表8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表8  三个聚类的特征（各指标均值）</w:t>
      </w:r>
    </w:p>
    <w:tbl>
      <w:tblPr>
        <w:jc w:val="center"/>
        <w:tblLayout w:type="fixed"/>
        <w:tblLook w:firstColumn="1" w:firstRow="1" w:lastColumn="0" w:lastRow="0" w:noHBand="0" w:noVBand="1" w:val="04A0"/>
        <w:tblW w:w="8448" w:type="dxa"/>
      </w:tblPr>
      <w:tblGrid>
        <w:gridCol w:w="2268"/>
        <w:gridCol w:w="680"/>
        <w:gridCol w:w="1247"/>
        <w:gridCol w:w="963"/>
        <w:gridCol w:w="1134"/>
        <w:gridCol w:w="1134"/>
        <w:gridCol w:w="1020"/>
      </w:tblGrid>
      <w:tr>
        <w:trPr>
          <w:cantSplit/>
        </w:trPr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聚类</w:t>
            </w:r>
          </w:p>
        </w:tc>
        <w:tc>
          <w:tcPr>
            <w:tcW w:type="dxa" w:w="68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加权平均分</w:t>
            </w:r>
          </w:p>
        </w:tc>
        <w:tc>
          <w:tcPr>
            <w:tcW w:type="dxa" w:w="96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通过率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A组（学业优良组）</w:t>
            </w:r>
          </w:p>
        </w:tc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86.68</w:t>
            </w:r>
          </w:p>
        </w:tc>
        <w:tc>
          <w:tcPr>
            <w:tcW w:type="dxa" w:w="96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B组（中等组）</w:t>
            </w:r>
          </w:p>
        </w:tc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78.94</w:t>
            </w:r>
          </w:p>
        </w:tc>
        <w:tc>
          <w:tcPr>
            <w:tcW w:type="dxa" w:w="96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2.72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99.8%</w:t>
            </w:r>
          </w:p>
        </w:tc>
      </w:tr>
      <w:tr>
        <w:trPr>
          <w:cantSplit/>
        </w:trPr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C组（学业预警组）</w:t>
            </w:r>
          </w:p>
        </w:tc>
        <w:tc>
          <w:tcPr>
            <w:tcW w:type="dxa" w:w="68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71.65</w:t>
            </w:r>
          </w:p>
        </w:tc>
        <w:tc>
          <w:tcPr>
            <w:tcW w:type="dxa" w:w="96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2.05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1.64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6.95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74.3%</w:t>
            </w:r>
          </w:p>
        </w:tc>
      </w:tr>
    </w:tbl>
    <w:p>
      <w:pPr>
        <w:spacing w:line="240" w:lineRule="auto" w:before="0" w:after="60"/>
        <w:jc w:val="both"/>
      </w:pP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组73人，学分加权平均分均值86.68（82.32～92.19），无人不及格，命名为学业优良组；B组83人，人数最多，均值78.94，仅2人各有1门课程不及格，命名为中等组；C组22人，均值71.65，人均不及格1.64门次，平均通过率74.3%，命名为学业预警组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770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luster_by_cla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7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图11  各班学生在三个聚类中的分布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BD班30名学生中27人属于学业优良组，无学业预警学生（图11）；D1班有12人属于学业预警组，占该班人数的34%、全部预警学生的55%；T1班与T2班学业优良组均为17人，学业预警组分别为1人和4人。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99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9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图12  不及格门次与学分加权平均分的散点图（按聚类着色，</w:t>
      </w:r>
      <w:r>
        <w:rPr>
          <w:rFonts w:ascii="Times New Roman" w:hAnsi="Times New Roman" w:eastAsia="宋体"/>
          <w:b w:val="0"/>
          <w:i/>
          <w:sz w:val="21"/>
        </w:rPr>
        <w:t>r</w:t>
      </w:r>
      <w:r>
        <w:rPr>
          <w:rFonts w:ascii="Times New Roman" w:hAnsi="Times New Roman" w:eastAsia="宋体"/>
          <w:b w:val="0"/>
          <w:sz w:val="21"/>
        </w:rPr>
        <w:t xml:space="preserve"> = −0.64）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不及格门次与学分加权平均分呈中度负相关（</w:t>
      </w:r>
      <w:r>
        <w:rPr>
          <w:rFonts w:ascii="Times New Roman" w:hAnsi="Times New Roman" w:eastAsia="宋体"/>
          <w:b w:val="0"/>
          <w:i/>
          <w:sz w:val="24"/>
        </w:rPr>
        <w:t>r</w:t>
      </w:r>
      <w:r>
        <w:rPr>
          <w:rFonts w:ascii="Times New Roman" w:hAnsi="Times New Roman" w:eastAsia="宋体"/>
          <w:b w:val="0"/>
          <w:sz w:val="24"/>
        </w:rPr>
        <w:t xml:space="preserve"> = −0.64），聚类边界与是否存在不及格课程及82～83分附近的分数线基本一致（图12）。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6.3  学业预警名单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学业预警组（C组）名单按学分加权平均分升序列于表9，其中D45、21D244、21T248、21T249同时为箱线图离群点，预警级别最高。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表9  学业预警学生名单</w:t>
      </w:r>
    </w:p>
    <w:tbl>
      <w:tblPr>
        <w:jc w:val="center"/>
        <w:tblLayout w:type="fixed"/>
        <w:tblLook w:firstColumn="1" w:firstRow="1" w:lastColumn="0" w:lastRow="0" w:noHBand="0" w:noVBand="1" w:val="04A0"/>
        <w:tblW w:w="8164" w:type="dxa"/>
      </w:tblPr>
      <w:tblGrid>
        <w:gridCol w:w="680"/>
        <w:gridCol w:w="793"/>
        <w:gridCol w:w="1247"/>
        <w:gridCol w:w="1247"/>
        <w:gridCol w:w="907"/>
        <w:gridCol w:w="1134"/>
        <w:gridCol w:w="1134"/>
        <w:gridCol w:w="1020"/>
      </w:tblGrid>
      <w:tr>
        <w:trPr>
          <w:cantSplit/>
        </w:trPr>
        <w:tc>
          <w:tcPr>
            <w:tcW w:type="dxa" w:w="68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班级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加权平均分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通过率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60.7%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65.07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66.71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1.88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67.68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68.84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70.00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1.96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70.04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21T150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70.16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1.82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71.14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72.43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72.82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73.00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73.11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73.54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2.20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73.61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73.80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74.64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2.25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D26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75.58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79.2%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75.64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2.41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21T237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76.16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D25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77.64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2.54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7  结论与建议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7.1  研究结论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始数据完整、无重复记录且满足业务规则，但存在数值以文本存储、记录格式不统一和总分不可比等问题，经清洗、集成与变换后形成178×23的分析数据集，跨班比较以学分加权平均分代替总分。五个班级的成绩存在显著差异（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大效应），均值由高到低依次为BD、T1、T2、D2与D1；BD班均值最高、标准差最小，优秀率86.7%，无学生不及格。学业风险集中于D1班：该班不及格率为40.0%，不及格门次与学业预警人数均占全体的55%。同一培养方案的平行班之间差异不显著，班级差异主要来自不同培养方案之间，T2班的相对劣势集中于少数低分学生。聚类将学生分为学业优良（73人）、中等（83人）与学业预警（22人）三类，是否存在不及格课程是区分学业预警群体的主要特征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7.2  对策建议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学业预警组的22名学生，尤其是4名离群学生，开展个别学业指导并制定补考与重修计划；对中等组学生，可将学分加权平均分达到约82分（学业优良组与中等组的分界）作为提升目标。D1班需调取课程层面的成绩明细，找出不及格集中的课程，再判断原因在于课程难度、教学安排还是学习投入。上述预处理与聚类流程可在每学期末重复运行，用于更新学业预警名单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7.3  研究局限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类、BD与T类班级的课程与评分教师可能不同，跨培养方案的平均分比较包含课程难度与评分尺度的影响。数据只有学期汇总指标，无法定位不及格课程，也无法查明8名学生修读门数偏少的原因。各班样本量为30～40人，且只有一个学期，聚类结果与预警名单未经跨学期检验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8  分析工具与人工智能使用说明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数据处理与统计分析使用Python 3完成，程序库包括pandas（数据处理）、SciPy（统计检验）、NumPy（主成分分析与K-means）与Matplotlib（绘图）。按课程人工智能使用规范的要求说明如下：本文的分析代码和正文初稿由Anthropic公司的Claude辅助生成，文中统计结果均由该代码在原始数据上运行得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  <w:highlight w:val="yellow"/>
        </w:rPr>
        <w:t>【提交前请本人如实填写：本人完成的工作，例如在本地运行代码并以Excel“数据分析—描述统计”功能复核表3的结果、对正文所作的修改与补充等】</w:t>
      </w:r>
    </w:p>
    <w:sectPr w:rsidR="00FC693F" w:rsidRPr="0006063C" w:rsidSect="00034616">
      <w:footerReference w:type="default" r:id="rId9"/>
      <w:pgSz w:w="11906" w:h="16838"/>
      <w:pgMar w:top="1417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