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45" w:rsidRDefault="00317C4D" w:rsidP="00317C4D">
      <w:pPr>
        <w:pStyle w:val="Heading1"/>
      </w:pPr>
      <w:r>
        <w:t>Checks for MiSeq SAV</w:t>
      </w:r>
    </w:p>
    <w:p w:rsidR="00D4308E" w:rsidRPr="00483D3A" w:rsidRDefault="00D4308E" w:rsidP="00D4308E">
      <w:pPr>
        <w:spacing w:line="360" w:lineRule="auto"/>
      </w:pPr>
      <w:r>
        <w:t>Criteria used to manually assign MiSeq runs as good or bad. Collated using information obtained during discussions with sequencing operators, the MiSeq SOP Illumina provided documentation and Illumina-run webinars</w:t>
      </w:r>
      <w:r>
        <w:fldChar w:fldCharType="begin" w:fldLock="1"/>
      </w:r>
      <w:r w:rsidR="007853B4">
        <w:instrText>ADDIN CSL_CITATION { "citationItems" : [ { "id" : "ITEM-1", "itemData" : { "author" : [ { "dropping-particle" : "", "family" : "All Wales Medical Genetics Service", "given" : "", "non-dropping-particle" : "", "parse-names" : false, "suffix" : "" } ], "id" : "ITEM-1", "issued" : { "date-parts" : [ [ "2014" ] ] }, "title" : "MiSeq SOP", "type" : "report" }, "uris" : [ "http://www.mendeley.com/documents/?uuid=03498f74-8aa6-423f-9f77-ccc180227d16" ] }, { "id" : "ITEM-2", "itemData" : { "author" : [ { "dropping-particle" : "", "family" : "Illumina Technical Assistance", "given" : "", "non-dropping-particle" : "", "parse-names" : false, "suffix" : "" } ], "id" : "ITEM-2", "issue" : "October 2015", "issued" : { "date-parts" : [ [ "0" ] ] }, "title" : "Sequencing Analysis Viewer v1.10 Software Guide", "type" : "article-journal" }, "uris" : [ "http://www.mendeley.com/documents/?uuid=2784e4de-cb85-4559-8abb-524daee53a53" ] }, { "id" : "ITEM-3", "itemData" : { "URL" : "https://support.illumina.com/content/illumina-support/us/en/sequencing/sequencing_software/sequencing_analysis_viewer_sav.html", "accessed" : { "date-parts" : [ [ "2016", "2", "17" ] ] }, "author" : [ { "dropping-particle" : "", "family" : "Illumina Inc", "given" : "", "non-dropping-particle" : "", "parse-names" : false, "suffix" : "" } ], "id" : "ITEM-3", "issued" : { "date-parts" : [ [ "2016" ] ] }, "title" : "Sequencing Analysis Viewer (SAV)", "type" : "webpage" }, "uris" : [ "http://www.mendeley.com/documents/?uuid=419bd56a-bef6-4778-8301-74ea4cf7400e" ] } ], "mendeley" : { "formattedCitation" : "(1\u20133)", "plainTextFormattedCitation" : "(1\u20133)", "previouslyFormattedCitation" : "(105\u2013107)" }, "properties" : { "noteIndex" : 0 }, "schema" : "https://github.com/citation-style-language/schema/raw/master/csl-citation.json" }</w:instrText>
      </w:r>
      <w:r>
        <w:fldChar w:fldCharType="separate"/>
      </w:r>
      <w:r w:rsidR="007853B4" w:rsidRPr="007853B4">
        <w:rPr>
          <w:noProof/>
        </w:rPr>
        <w:t>(1–3)</w:t>
      </w:r>
      <w:r>
        <w:fldChar w:fldCharType="end"/>
      </w:r>
      <w:r>
        <w:t>. This will be used to form the basis of a new SOP, incorporating information on the immediate QC checks which should accompany each sequencing run.</w:t>
      </w:r>
    </w:p>
    <w:p w:rsidR="00317C4D" w:rsidRDefault="00555775" w:rsidP="00317C4D">
      <w:pPr>
        <w:pStyle w:val="ListParagraph"/>
        <w:numPr>
          <w:ilvl w:val="0"/>
          <w:numId w:val="1"/>
        </w:numPr>
      </w:pPr>
      <w:r>
        <w:t>Inspect graphs</w:t>
      </w:r>
      <w:r w:rsidR="00556FD0">
        <w:t xml:space="preserve"> under the Analysis tab</w:t>
      </w:r>
    </w:p>
    <w:p w:rsidR="00555775" w:rsidRDefault="003C4AA8" w:rsidP="00555775">
      <w:pPr>
        <w:pStyle w:val="ListParagraph"/>
        <w:numPr>
          <w:ilvl w:val="1"/>
          <w:numId w:val="1"/>
        </w:numPr>
      </w:pPr>
      <w:r>
        <w:t xml:space="preserve">  Look at Intensity over cycle plot</w:t>
      </w:r>
      <w:r w:rsidR="00B7771A">
        <w:t xml:space="preserve"> (in Data By Cycle)</w:t>
      </w:r>
    </w:p>
    <w:p w:rsidR="003C4AA8" w:rsidRDefault="00AD38BF" w:rsidP="003C4AA8">
      <w:pPr>
        <w:pStyle w:val="ListParagraph"/>
        <w:numPr>
          <w:ilvl w:val="2"/>
          <w:numId w:val="1"/>
        </w:numPr>
      </w:pPr>
      <w:r>
        <w:t xml:space="preserve">Intensities should be relatively high and </w:t>
      </w:r>
      <w:r w:rsidR="008630C7">
        <w:t>not drop too much below 200 intensity</w:t>
      </w:r>
    </w:p>
    <w:p w:rsidR="008630C7" w:rsidRDefault="008630C7" w:rsidP="008630C7">
      <w:pPr>
        <w:pStyle w:val="ListParagraph"/>
        <w:numPr>
          <w:ilvl w:val="1"/>
          <w:numId w:val="1"/>
        </w:numPr>
      </w:pPr>
      <w:r>
        <w:t xml:space="preserve">Look at </w:t>
      </w:r>
      <w:r>
        <w:tab/>
      </w:r>
      <w:r w:rsidR="000E6DD1">
        <w:t>box plots for cluster density and cluster density passing filter</w:t>
      </w:r>
      <w:r w:rsidR="00E70ECF">
        <w:t xml:space="preserve"> (in Data By Lane)</w:t>
      </w:r>
    </w:p>
    <w:p w:rsidR="000E6DD1" w:rsidRDefault="00C202C7" w:rsidP="000E6DD1">
      <w:pPr>
        <w:pStyle w:val="ListParagraph"/>
        <w:numPr>
          <w:ilvl w:val="2"/>
          <w:numId w:val="1"/>
        </w:numPr>
      </w:pPr>
      <w:r>
        <w:t>These should be close together and passing filter (green) should be lower than cluster density (blue)</w:t>
      </w:r>
    </w:p>
    <w:p w:rsidR="00C202C7" w:rsidRDefault="00E70ECF" w:rsidP="00C202C7">
      <w:pPr>
        <w:pStyle w:val="ListParagraph"/>
        <w:numPr>
          <w:ilvl w:val="1"/>
          <w:numId w:val="1"/>
        </w:numPr>
      </w:pPr>
      <w:r>
        <w:t xml:space="preserve">Look at Q-score </w:t>
      </w:r>
      <w:r w:rsidR="00705D9E">
        <w:t>(in QScore Distribution)</w:t>
      </w:r>
    </w:p>
    <w:p w:rsidR="00705D9E" w:rsidRDefault="00705D9E" w:rsidP="00705D9E">
      <w:pPr>
        <w:pStyle w:val="ListParagraph"/>
        <w:numPr>
          <w:ilvl w:val="2"/>
          <w:numId w:val="1"/>
        </w:numPr>
      </w:pPr>
      <w:r>
        <w:t>&gt;=Q30 should be over 85% (80% at the lowest- this indicates caution)</w:t>
      </w:r>
    </w:p>
    <w:p w:rsidR="00705D9E" w:rsidRDefault="00705D9E" w:rsidP="00705D9E">
      <w:pPr>
        <w:pStyle w:val="ListParagraph"/>
        <w:numPr>
          <w:ilvl w:val="2"/>
          <w:numId w:val="1"/>
        </w:numPr>
      </w:pPr>
      <w:r>
        <w:t>Under Q30 should be as flat as possible on the plot</w:t>
      </w:r>
    </w:p>
    <w:p w:rsidR="00705D9E" w:rsidRDefault="00556FD0" w:rsidP="00705D9E">
      <w:pPr>
        <w:pStyle w:val="ListParagraph"/>
        <w:numPr>
          <w:ilvl w:val="1"/>
          <w:numId w:val="1"/>
        </w:numPr>
      </w:pPr>
      <w:r>
        <w:t>Look at Q-score heatmap (in QScore Heatmap)</w:t>
      </w:r>
    </w:p>
    <w:p w:rsidR="00665F9C" w:rsidRDefault="00A107BE" w:rsidP="00665F9C">
      <w:pPr>
        <w:pStyle w:val="ListParagraph"/>
        <w:numPr>
          <w:ilvl w:val="2"/>
          <w:numId w:val="1"/>
        </w:numPr>
      </w:pPr>
      <w:r>
        <w:t>There should be a clear green line at Q30 (or above). Drops in t</w:t>
      </w:r>
      <w:r w:rsidR="004F1A84">
        <w:t xml:space="preserve">he middle are not of concern and should be </w:t>
      </w:r>
      <w:r w:rsidR="0006680E">
        <w:t>ignored</w:t>
      </w:r>
    </w:p>
    <w:p w:rsidR="004F1A84" w:rsidRDefault="0006680E" w:rsidP="00665F9C">
      <w:pPr>
        <w:pStyle w:val="ListParagraph"/>
        <w:numPr>
          <w:ilvl w:val="2"/>
          <w:numId w:val="1"/>
        </w:numPr>
      </w:pPr>
      <w:r>
        <w:t>There should not be too much (visible) smearing under Q30</w:t>
      </w:r>
    </w:p>
    <w:p w:rsidR="00730324" w:rsidRDefault="00730324" w:rsidP="00730324">
      <w:pPr>
        <w:pStyle w:val="ListParagraph"/>
        <w:numPr>
          <w:ilvl w:val="0"/>
          <w:numId w:val="1"/>
        </w:numPr>
      </w:pPr>
      <w:r>
        <w:t>Go to Summary tab</w:t>
      </w:r>
    </w:p>
    <w:p w:rsidR="00730324" w:rsidRDefault="004D16B0" w:rsidP="00730324">
      <w:pPr>
        <w:pStyle w:val="ListParagraph"/>
        <w:numPr>
          <w:ilvl w:val="1"/>
          <w:numId w:val="1"/>
        </w:numPr>
      </w:pPr>
      <w:r>
        <w:t>C</w:t>
      </w:r>
      <w:r w:rsidR="002E5903">
        <w:t>luster density</w:t>
      </w:r>
      <w:r>
        <w:t xml:space="preserve"> should be</w:t>
      </w:r>
      <w:r w:rsidR="002E5903">
        <w:t xml:space="preserve"> within a sensible range (v2 should be ~1000, v3 should be ~1500)</w:t>
      </w:r>
    </w:p>
    <w:p w:rsidR="004D16B0" w:rsidRDefault="004D16B0" w:rsidP="00730324">
      <w:pPr>
        <w:pStyle w:val="ListParagraph"/>
        <w:numPr>
          <w:ilvl w:val="1"/>
          <w:numId w:val="1"/>
        </w:numPr>
      </w:pPr>
      <w:r>
        <w:t xml:space="preserve">Phasing/prephasing should be </w:t>
      </w:r>
      <w:r w:rsidR="007A4B85">
        <w:t>no greater than 0.5</w:t>
      </w:r>
    </w:p>
    <w:p w:rsidR="007A4B85" w:rsidRDefault="007A4B85" w:rsidP="007A4B85">
      <w:pPr>
        <w:pStyle w:val="ListParagraph"/>
        <w:numPr>
          <w:ilvl w:val="0"/>
          <w:numId w:val="1"/>
        </w:numPr>
      </w:pPr>
      <w:r>
        <w:t>Go to Indexing tab (if available)</w:t>
      </w:r>
    </w:p>
    <w:p w:rsidR="007A4B85" w:rsidRDefault="002B6B71" w:rsidP="007A4B85">
      <w:pPr>
        <w:pStyle w:val="ListParagraph"/>
        <w:numPr>
          <w:ilvl w:val="1"/>
          <w:numId w:val="1"/>
        </w:numPr>
      </w:pPr>
      <w:r>
        <w:t>NTC should be close to 0</w:t>
      </w:r>
    </w:p>
    <w:p w:rsidR="002B6B71" w:rsidRDefault="002B6B71" w:rsidP="007A4B85">
      <w:pPr>
        <w:pStyle w:val="ListParagraph"/>
        <w:numPr>
          <w:ilvl w:val="1"/>
          <w:numId w:val="1"/>
        </w:numPr>
      </w:pPr>
      <w:r>
        <w:t>Sam</w:t>
      </w:r>
      <w:r w:rsidR="00E62066">
        <w:t>ples should be roughly of equal</w:t>
      </w:r>
      <w:bookmarkStart w:id="0" w:name="_GoBack"/>
      <w:bookmarkEnd w:id="0"/>
      <w:r>
        <w:t xml:space="preserve"> proportions and not close to 0 (which indicates a lack of data from that sample)</w:t>
      </w:r>
    </w:p>
    <w:p w:rsidR="007853B4" w:rsidRDefault="007853B4" w:rsidP="007853B4"/>
    <w:p w:rsidR="007853B4" w:rsidRPr="007853B4" w:rsidRDefault="007853B4" w:rsidP="007853B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7853B4">
        <w:rPr>
          <w:rFonts w:ascii="Calibri" w:hAnsi="Calibri" w:cs="Times New Roman"/>
          <w:noProof/>
          <w:szCs w:val="24"/>
        </w:rPr>
        <w:t xml:space="preserve">1. </w:t>
      </w:r>
      <w:r w:rsidRPr="007853B4">
        <w:rPr>
          <w:rFonts w:ascii="Calibri" w:hAnsi="Calibri" w:cs="Times New Roman"/>
          <w:noProof/>
          <w:szCs w:val="24"/>
        </w:rPr>
        <w:tab/>
        <w:t xml:space="preserve">All Wales Medical Genetics Service. MiSeq SOP. 2014. </w:t>
      </w:r>
    </w:p>
    <w:p w:rsidR="007853B4" w:rsidRPr="007853B4" w:rsidRDefault="007853B4" w:rsidP="007853B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Times New Roman"/>
          <w:noProof/>
          <w:szCs w:val="24"/>
        </w:rPr>
      </w:pPr>
      <w:r w:rsidRPr="007853B4">
        <w:rPr>
          <w:rFonts w:ascii="Calibri" w:hAnsi="Calibri" w:cs="Times New Roman"/>
          <w:noProof/>
          <w:szCs w:val="24"/>
        </w:rPr>
        <w:t xml:space="preserve">2. </w:t>
      </w:r>
      <w:r w:rsidRPr="007853B4">
        <w:rPr>
          <w:rFonts w:ascii="Calibri" w:hAnsi="Calibri" w:cs="Times New Roman"/>
          <w:noProof/>
          <w:szCs w:val="24"/>
        </w:rPr>
        <w:tab/>
        <w:t xml:space="preserve">Illumina Technical Assistance. Sequencing Analysis Viewer v1.10 Software Guide. (October 2015). </w:t>
      </w:r>
    </w:p>
    <w:p w:rsidR="007853B4" w:rsidRPr="007853B4" w:rsidRDefault="007853B4" w:rsidP="007853B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/>
          <w:noProof/>
        </w:rPr>
      </w:pPr>
      <w:r w:rsidRPr="007853B4">
        <w:rPr>
          <w:rFonts w:ascii="Calibri" w:hAnsi="Calibri" w:cs="Times New Roman"/>
          <w:noProof/>
          <w:szCs w:val="24"/>
        </w:rPr>
        <w:t xml:space="preserve">3. </w:t>
      </w:r>
      <w:r w:rsidRPr="007853B4">
        <w:rPr>
          <w:rFonts w:ascii="Calibri" w:hAnsi="Calibri" w:cs="Times New Roman"/>
          <w:noProof/>
          <w:szCs w:val="24"/>
        </w:rPr>
        <w:tab/>
        <w:t>Illumina Inc. Sequencing Analysis Viewer (SAV) [Internet]. 2016 [cited 2016 Feb 17]. Available from: https://support.illumina.com/content/illumina-support/us/en/sequencing/sequencing_software/sequencing_analysis_viewer_sav.html</w:t>
      </w:r>
    </w:p>
    <w:p w:rsidR="007853B4" w:rsidRPr="00317C4D" w:rsidRDefault="007853B4" w:rsidP="007853B4">
      <w:r>
        <w:fldChar w:fldCharType="end"/>
      </w:r>
    </w:p>
    <w:sectPr w:rsidR="007853B4" w:rsidRPr="00317C4D" w:rsidSect="00AA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246E"/>
    <w:multiLevelType w:val="hybridMultilevel"/>
    <w:tmpl w:val="7270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4D"/>
    <w:rsid w:val="0006680E"/>
    <w:rsid w:val="00073E72"/>
    <w:rsid w:val="000E6DD1"/>
    <w:rsid w:val="002B6B71"/>
    <w:rsid w:val="002E5903"/>
    <w:rsid w:val="00312CF6"/>
    <w:rsid w:val="00317C4D"/>
    <w:rsid w:val="003C4AA8"/>
    <w:rsid w:val="004D16B0"/>
    <w:rsid w:val="004F1A84"/>
    <w:rsid w:val="00555775"/>
    <w:rsid w:val="00556FD0"/>
    <w:rsid w:val="00665F9C"/>
    <w:rsid w:val="00705D9E"/>
    <w:rsid w:val="00730324"/>
    <w:rsid w:val="007853B4"/>
    <w:rsid w:val="007A4B85"/>
    <w:rsid w:val="008630C7"/>
    <w:rsid w:val="009F53BA"/>
    <w:rsid w:val="00A107BE"/>
    <w:rsid w:val="00AA5345"/>
    <w:rsid w:val="00AD38BF"/>
    <w:rsid w:val="00B7771A"/>
    <w:rsid w:val="00C16ACA"/>
    <w:rsid w:val="00C202C7"/>
    <w:rsid w:val="00CA066B"/>
    <w:rsid w:val="00D4308E"/>
    <w:rsid w:val="00E62066"/>
    <w:rsid w:val="00E7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2D8A"/>
  <w15:docId w15:val="{559E3479-22C4-4D41-9298-50FF2136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5345"/>
  </w:style>
  <w:style w:type="paragraph" w:styleId="Heading1">
    <w:name w:val="heading 1"/>
    <w:basedOn w:val="Normal"/>
    <w:next w:val="Normal"/>
    <w:link w:val="Heading1Char"/>
    <w:uiPriority w:val="9"/>
    <w:qFormat/>
    <w:rsid w:val="00317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C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17C4D"/>
    <w:pPr>
      <w:ind w:left="720"/>
      <w:contextualSpacing/>
    </w:pPr>
  </w:style>
  <w:style w:type="paragraph" w:customStyle="1" w:styleId="FigureLegends">
    <w:name w:val="FigureLegends"/>
    <w:basedOn w:val="Normal"/>
    <w:link w:val="FigureLegendsChar"/>
    <w:qFormat/>
    <w:rsid w:val="00D4308E"/>
    <w:pPr>
      <w:spacing w:line="240" w:lineRule="auto"/>
      <w:contextualSpacing/>
      <w:jc w:val="both"/>
    </w:pPr>
    <w:rPr>
      <w:sz w:val="24"/>
    </w:rPr>
  </w:style>
  <w:style w:type="character" w:customStyle="1" w:styleId="FigureLegendsChar">
    <w:name w:val="FigureLegends Char"/>
    <w:basedOn w:val="DefaultParagraphFont"/>
    <w:link w:val="FigureLegends"/>
    <w:rsid w:val="00D4308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35F8C-364C-4659-B3D7-B3564829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CVUHB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CVUHB</dc:creator>
  <cp:lastModifiedBy>Sara R</cp:lastModifiedBy>
  <cp:revision>6</cp:revision>
  <dcterms:created xsi:type="dcterms:W3CDTF">2016-03-27T21:10:00Z</dcterms:created>
  <dcterms:modified xsi:type="dcterms:W3CDTF">2016-03-27T21:11:00Z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saramrey@gmail.com@www.mendeley.com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