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8646F" w14:textId="3E2C99E8" w:rsidR="00D250FB" w:rsidRDefault="00D664CF">
      <w:r w:rsidRPr="00D664CF">
        <w:t>The Historical Sheet serves as the foundation of the entire financial model. It captures Apple's actual financial performance for the historical period FY2023A to FY2025A and forms the basis for forecasting future financial statements and valuation analysis.</w:t>
      </w:r>
    </w:p>
    <w:p w14:paraId="4A8D0385" w14:textId="77777777" w:rsidR="00D664CF" w:rsidRDefault="00D664CF"/>
    <w:tbl>
      <w:tblPr>
        <w:tblStyle w:val="ListTable2-Accent6"/>
        <w:tblW w:w="9372" w:type="dxa"/>
        <w:tblLook w:val="04A0" w:firstRow="1" w:lastRow="0" w:firstColumn="1" w:lastColumn="0" w:noHBand="0" w:noVBand="1"/>
      </w:tblPr>
      <w:tblGrid>
        <w:gridCol w:w="3235"/>
        <w:gridCol w:w="6120"/>
        <w:gridCol w:w="17"/>
      </w:tblGrid>
      <w:tr w:rsidR="00D250FB" w14:paraId="6E5859DB" w14:textId="77777777" w:rsidTr="00BA670A">
        <w:trPr>
          <w:gridAfter w:val="1"/>
          <w:cnfStyle w:val="100000000000" w:firstRow="1" w:lastRow="0" w:firstColumn="0" w:lastColumn="0" w:oddVBand="0" w:evenVBand="0" w:oddHBand="0" w:evenHBand="0" w:firstRowFirstColumn="0" w:firstRowLastColumn="0" w:lastRowFirstColumn="0" w:lastRowLastColumn="0"/>
          <w:wAfter w:w="17" w:type="dxa"/>
          <w:trHeight w:val="539"/>
        </w:trPr>
        <w:tc>
          <w:tcPr>
            <w:cnfStyle w:val="001000000000" w:firstRow="0" w:lastRow="0" w:firstColumn="1" w:lastColumn="0" w:oddVBand="0" w:evenVBand="0" w:oddHBand="0" w:evenHBand="0" w:firstRowFirstColumn="0" w:firstRowLastColumn="0" w:lastRowFirstColumn="0" w:lastRowLastColumn="0"/>
            <w:tcW w:w="3235" w:type="dxa"/>
          </w:tcPr>
          <w:p w14:paraId="22F85A5F" w14:textId="6E1A05CC" w:rsidR="00D250FB" w:rsidRDefault="00D250FB" w:rsidP="000741C0">
            <w:r w:rsidRPr="00D250FB">
              <w:t>Item</w:t>
            </w:r>
          </w:p>
        </w:tc>
        <w:tc>
          <w:tcPr>
            <w:tcW w:w="6120" w:type="dxa"/>
          </w:tcPr>
          <w:p w14:paraId="2CAFC654" w14:textId="775D5C7D" w:rsidR="00D250FB" w:rsidRDefault="00D250FB" w:rsidP="000741C0">
            <w:pPr>
              <w:jc w:val="center"/>
              <w:cnfStyle w:val="100000000000" w:firstRow="1" w:lastRow="0" w:firstColumn="0" w:lastColumn="0" w:oddVBand="0" w:evenVBand="0" w:oddHBand="0" w:evenHBand="0" w:firstRowFirstColumn="0" w:firstRowLastColumn="0" w:lastRowFirstColumn="0" w:lastRowLastColumn="0"/>
            </w:pPr>
            <w:r w:rsidRPr="00D250FB">
              <w:t>Meaning</w:t>
            </w:r>
          </w:p>
        </w:tc>
      </w:tr>
      <w:tr w:rsidR="00D250FB" w14:paraId="4AC21EF4" w14:textId="77777777" w:rsidTr="00BA670A">
        <w:trPr>
          <w:gridAfter w:val="1"/>
          <w:cnfStyle w:val="000000100000" w:firstRow="0" w:lastRow="0" w:firstColumn="0" w:lastColumn="0" w:oddVBand="0" w:evenVBand="0" w:oddHBand="1" w:evenHBand="0" w:firstRowFirstColumn="0" w:firstRowLastColumn="0" w:lastRowFirstColumn="0" w:lastRowLastColumn="0"/>
          <w:wAfter w:w="17" w:type="dxa"/>
          <w:trHeight w:val="521"/>
        </w:trPr>
        <w:tc>
          <w:tcPr>
            <w:cnfStyle w:val="001000000000" w:firstRow="0" w:lastRow="0" w:firstColumn="1" w:lastColumn="0" w:oddVBand="0" w:evenVBand="0" w:oddHBand="0" w:evenHBand="0" w:firstRowFirstColumn="0" w:firstRowLastColumn="0" w:lastRowFirstColumn="0" w:lastRowLastColumn="0"/>
            <w:tcW w:w="3235" w:type="dxa"/>
          </w:tcPr>
          <w:p w14:paraId="4E7C227D" w14:textId="18C7A566" w:rsidR="00D250FB" w:rsidRPr="00D250FB" w:rsidRDefault="00D250FB" w:rsidP="000741C0">
            <w:pPr>
              <w:rPr>
                <w:sz w:val="22"/>
                <w:szCs w:val="22"/>
              </w:rPr>
            </w:pPr>
            <w:r w:rsidRPr="00D250FB">
              <w:rPr>
                <w:sz w:val="22"/>
                <w:szCs w:val="22"/>
              </w:rPr>
              <w:t>Revenue</w:t>
            </w:r>
          </w:p>
        </w:tc>
        <w:tc>
          <w:tcPr>
            <w:tcW w:w="6120" w:type="dxa"/>
          </w:tcPr>
          <w:p w14:paraId="0B440009" w14:textId="6B8B0C25" w:rsidR="00D250FB" w:rsidRPr="000741C0" w:rsidRDefault="00D250FB" w:rsidP="000741C0">
            <w:pPr>
              <w:jc w:val="center"/>
              <w:cnfStyle w:val="000000100000" w:firstRow="0" w:lastRow="0" w:firstColumn="0" w:lastColumn="0" w:oddVBand="0" w:evenVBand="0" w:oddHBand="1" w:evenHBand="0" w:firstRowFirstColumn="0" w:firstRowLastColumn="0" w:lastRowFirstColumn="0" w:lastRowLastColumn="0"/>
              <w:rPr>
                <w:sz w:val="22"/>
                <w:szCs w:val="22"/>
              </w:rPr>
            </w:pPr>
            <w:r w:rsidRPr="000741C0">
              <w:rPr>
                <w:sz w:val="22"/>
                <w:szCs w:val="22"/>
              </w:rPr>
              <w:t>Total sales generated by Apple from products and services.</w:t>
            </w:r>
          </w:p>
        </w:tc>
      </w:tr>
      <w:tr w:rsidR="00D250FB" w14:paraId="7CC9D499" w14:textId="77777777" w:rsidTr="00BA670A">
        <w:trPr>
          <w:gridAfter w:val="1"/>
          <w:wAfter w:w="17" w:type="dxa"/>
          <w:trHeight w:val="539"/>
        </w:trPr>
        <w:tc>
          <w:tcPr>
            <w:cnfStyle w:val="001000000000" w:firstRow="0" w:lastRow="0" w:firstColumn="1" w:lastColumn="0" w:oddVBand="0" w:evenVBand="0" w:oddHBand="0" w:evenHBand="0" w:firstRowFirstColumn="0" w:firstRowLastColumn="0" w:lastRowFirstColumn="0" w:lastRowLastColumn="0"/>
            <w:tcW w:w="3235" w:type="dxa"/>
          </w:tcPr>
          <w:p w14:paraId="142A4DA3" w14:textId="3E20F506" w:rsidR="00D250FB" w:rsidRPr="00D250FB" w:rsidRDefault="00D250FB" w:rsidP="000741C0">
            <w:pPr>
              <w:rPr>
                <w:sz w:val="22"/>
                <w:szCs w:val="22"/>
              </w:rPr>
            </w:pPr>
            <w:r w:rsidRPr="00D250FB">
              <w:rPr>
                <w:sz w:val="22"/>
                <w:szCs w:val="22"/>
              </w:rPr>
              <w:t>Cost of Revenue</w:t>
            </w:r>
          </w:p>
        </w:tc>
        <w:tc>
          <w:tcPr>
            <w:tcW w:w="6120" w:type="dxa"/>
          </w:tcPr>
          <w:p w14:paraId="35F11545" w14:textId="505DD85C" w:rsidR="00D250FB" w:rsidRPr="000741C0" w:rsidRDefault="00D250FB" w:rsidP="000741C0">
            <w:pPr>
              <w:jc w:val="center"/>
              <w:cnfStyle w:val="000000000000" w:firstRow="0" w:lastRow="0" w:firstColumn="0" w:lastColumn="0" w:oddVBand="0" w:evenVBand="0" w:oddHBand="0" w:evenHBand="0" w:firstRowFirstColumn="0" w:firstRowLastColumn="0" w:lastRowFirstColumn="0" w:lastRowLastColumn="0"/>
              <w:rPr>
                <w:sz w:val="22"/>
                <w:szCs w:val="22"/>
              </w:rPr>
            </w:pPr>
            <w:r w:rsidRPr="000741C0">
              <w:rPr>
                <w:sz w:val="22"/>
                <w:szCs w:val="22"/>
              </w:rPr>
              <w:t xml:space="preserve">Direct costs </w:t>
            </w:r>
            <w:proofErr w:type="gramStart"/>
            <w:r w:rsidRPr="000741C0">
              <w:rPr>
                <w:sz w:val="22"/>
                <w:szCs w:val="22"/>
              </w:rPr>
              <w:t>incurred</w:t>
            </w:r>
            <w:proofErr w:type="gramEnd"/>
            <w:r w:rsidRPr="000741C0">
              <w:rPr>
                <w:sz w:val="22"/>
                <w:szCs w:val="22"/>
              </w:rPr>
              <w:t xml:space="preserve"> to produce and deliver the products and services.</w:t>
            </w:r>
          </w:p>
        </w:tc>
      </w:tr>
      <w:tr w:rsidR="00D250FB" w14:paraId="4B149C2C" w14:textId="77777777" w:rsidTr="00BA670A">
        <w:trPr>
          <w:gridAfter w:val="1"/>
          <w:cnfStyle w:val="000000100000" w:firstRow="0" w:lastRow="0" w:firstColumn="0" w:lastColumn="0" w:oddVBand="0" w:evenVBand="0" w:oddHBand="1" w:evenHBand="0" w:firstRowFirstColumn="0" w:firstRowLastColumn="0" w:lastRowFirstColumn="0" w:lastRowLastColumn="0"/>
          <w:wAfter w:w="17" w:type="dxa"/>
          <w:trHeight w:val="611"/>
        </w:trPr>
        <w:tc>
          <w:tcPr>
            <w:cnfStyle w:val="001000000000" w:firstRow="0" w:lastRow="0" w:firstColumn="1" w:lastColumn="0" w:oddVBand="0" w:evenVBand="0" w:oddHBand="0" w:evenHBand="0" w:firstRowFirstColumn="0" w:firstRowLastColumn="0" w:lastRowFirstColumn="0" w:lastRowLastColumn="0"/>
            <w:tcW w:w="3235" w:type="dxa"/>
          </w:tcPr>
          <w:p w14:paraId="65EDFE4C" w14:textId="1164BF26" w:rsidR="00D250FB" w:rsidRPr="00D250FB" w:rsidRDefault="00D250FB" w:rsidP="000741C0">
            <w:pPr>
              <w:rPr>
                <w:sz w:val="22"/>
                <w:szCs w:val="22"/>
              </w:rPr>
            </w:pPr>
            <w:r w:rsidRPr="00D250FB">
              <w:rPr>
                <w:sz w:val="22"/>
                <w:szCs w:val="22"/>
              </w:rPr>
              <w:t>Gross Profit</w:t>
            </w:r>
          </w:p>
        </w:tc>
        <w:tc>
          <w:tcPr>
            <w:tcW w:w="6120" w:type="dxa"/>
          </w:tcPr>
          <w:p w14:paraId="7641883E" w14:textId="0436BCC8" w:rsidR="00D250FB" w:rsidRPr="000741C0" w:rsidRDefault="00D250FB" w:rsidP="000741C0">
            <w:pPr>
              <w:jc w:val="center"/>
              <w:cnfStyle w:val="000000100000" w:firstRow="0" w:lastRow="0" w:firstColumn="0" w:lastColumn="0" w:oddVBand="0" w:evenVBand="0" w:oddHBand="1" w:evenHBand="0" w:firstRowFirstColumn="0" w:firstRowLastColumn="0" w:lastRowFirstColumn="0" w:lastRowLastColumn="0"/>
              <w:rPr>
                <w:sz w:val="22"/>
                <w:szCs w:val="22"/>
              </w:rPr>
            </w:pPr>
            <w:r w:rsidRPr="000741C0">
              <w:rPr>
                <w:sz w:val="22"/>
                <w:szCs w:val="22"/>
              </w:rPr>
              <w:t>Revenue minus Cost of Revenue. Shows profitability before operating expenses.</w:t>
            </w:r>
          </w:p>
        </w:tc>
      </w:tr>
      <w:tr w:rsidR="00D250FB" w14:paraId="7C569021" w14:textId="77777777" w:rsidTr="00BA670A">
        <w:trPr>
          <w:gridAfter w:val="1"/>
          <w:wAfter w:w="17" w:type="dxa"/>
          <w:trHeight w:val="620"/>
        </w:trPr>
        <w:tc>
          <w:tcPr>
            <w:cnfStyle w:val="001000000000" w:firstRow="0" w:lastRow="0" w:firstColumn="1" w:lastColumn="0" w:oddVBand="0" w:evenVBand="0" w:oddHBand="0" w:evenHBand="0" w:firstRowFirstColumn="0" w:firstRowLastColumn="0" w:lastRowFirstColumn="0" w:lastRowLastColumn="0"/>
            <w:tcW w:w="3235" w:type="dxa"/>
          </w:tcPr>
          <w:p w14:paraId="70B82251" w14:textId="6105D1B8" w:rsidR="00D250FB" w:rsidRPr="00D250FB" w:rsidRDefault="00D250FB" w:rsidP="000741C0">
            <w:pPr>
              <w:rPr>
                <w:sz w:val="22"/>
                <w:szCs w:val="22"/>
              </w:rPr>
            </w:pPr>
            <w:r w:rsidRPr="00D250FB">
              <w:rPr>
                <w:sz w:val="22"/>
                <w:szCs w:val="22"/>
              </w:rPr>
              <w:t>R&amp;D (Research &amp; Development)</w:t>
            </w:r>
          </w:p>
        </w:tc>
        <w:tc>
          <w:tcPr>
            <w:tcW w:w="6120" w:type="dxa"/>
          </w:tcPr>
          <w:p w14:paraId="63097190" w14:textId="3B421112" w:rsidR="00D250FB" w:rsidRPr="000741C0" w:rsidRDefault="00D250FB" w:rsidP="000741C0">
            <w:pPr>
              <w:jc w:val="center"/>
              <w:cnfStyle w:val="000000000000" w:firstRow="0" w:lastRow="0" w:firstColumn="0" w:lastColumn="0" w:oddVBand="0" w:evenVBand="0" w:oddHBand="0" w:evenHBand="0" w:firstRowFirstColumn="0" w:firstRowLastColumn="0" w:lastRowFirstColumn="0" w:lastRowLastColumn="0"/>
              <w:rPr>
                <w:sz w:val="22"/>
                <w:szCs w:val="22"/>
              </w:rPr>
            </w:pPr>
            <w:r w:rsidRPr="000741C0">
              <w:rPr>
                <w:sz w:val="22"/>
                <w:szCs w:val="22"/>
              </w:rPr>
              <w:t>Spending on innovation, product development and technology improvements.</w:t>
            </w:r>
          </w:p>
        </w:tc>
      </w:tr>
      <w:tr w:rsidR="00D250FB" w14:paraId="44B693E1" w14:textId="77777777" w:rsidTr="00BA670A">
        <w:trPr>
          <w:gridAfter w:val="1"/>
          <w:cnfStyle w:val="000000100000" w:firstRow="0" w:lastRow="0" w:firstColumn="0" w:lastColumn="0" w:oddVBand="0" w:evenVBand="0" w:oddHBand="1" w:evenHBand="0" w:firstRowFirstColumn="0" w:firstRowLastColumn="0" w:lastRowFirstColumn="0" w:lastRowLastColumn="0"/>
          <w:wAfter w:w="17" w:type="dxa"/>
          <w:trHeight w:val="719"/>
        </w:trPr>
        <w:tc>
          <w:tcPr>
            <w:cnfStyle w:val="001000000000" w:firstRow="0" w:lastRow="0" w:firstColumn="1" w:lastColumn="0" w:oddVBand="0" w:evenVBand="0" w:oddHBand="0" w:evenHBand="0" w:firstRowFirstColumn="0" w:firstRowLastColumn="0" w:lastRowFirstColumn="0" w:lastRowLastColumn="0"/>
            <w:tcW w:w="3235" w:type="dxa"/>
          </w:tcPr>
          <w:p w14:paraId="1FE434A2" w14:textId="374B7389" w:rsidR="00D250FB" w:rsidRPr="00D250FB" w:rsidRDefault="00D250FB" w:rsidP="000741C0">
            <w:pPr>
              <w:rPr>
                <w:sz w:val="22"/>
                <w:szCs w:val="22"/>
              </w:rPr>
            </w:pPr>
            <w:r w:rsidRPr="00D250FB">
              <w:rPr>
                <w:sz w:val="22"/>
                <w:szCs w:val="22"/>
              </w:rPr>
              <w:t>SG&amp;A (Selling, General &amp; Administrative)</w:t>
            </w:r>
          </w:p>
        </w:tc>
        <w:tc>
          <w:tcPr>
            <w:tcW w:w="6120" w:type="dxa"/>
          </w:tcPr>
          <w:p w14:paraId="10C3DB09" w14:textId="7095BC99" w:rsidR="00D250FB" w:rsidRPr="000741C0" w:rsidRDefault="00D250FB" w:rsidP="000741C0">
            <w:pPr>
              <w:jc w:val="center"/>
              <w:cnfStyle w:val="000000100000" w:firstRow="0" w:lastRow="0" w:firstColumn="0" w:lastColumn="0" w:oddVBand="0" w:evenVBand="0" w:oddHBand="1" w:evenHBand="0" w:firstRowFirstColumn="0" w:firstRowLastColumn="0" w:lastRowFirstColumn="0" w:lastRowLastColumn="0"/>
              <w:rPr>
                <w:sz w:val="22"/>
                <w:szCs w:val="22"/>
              </w:rPr>
            </w:pPr>
            <w:r w:rsidRPr="000741C0">
              <w:rPr>
                <w:sz w:val="22"/>
                <w:szCs w:val="22"/>
              </w:rPr>
              <w:t>Operating expenses related to sales, marketing, administration and corporate functions.</w:t>
            </w:r>
          </w:p>
        </w:tc>
      </w:tr>
      <w:tr w:rsidR="00D250FB" w14:paraId="59BCAABD" w14:textId="77777777" w:rsidTr="00BA670A">
        <w:trPr>
          <w:gridAfter w:val="1"/>
          <w:wAfter w:w="17" w:type="dxa"/>
          <w:trHeight w:val="611"/>
        </w:trPr>
        <w:tc>
          <w:tcPr>
            <w:cnfStyle w:val="001000000000" w:firstRow="0" w:lastRow="0" w:firstColumn="1" w:lastColumn="0" w:oddVBand="0" w:evenVBand="0" w:oddHBand="0" w:evenHBand="0" w:firstRowFirstColumn="0" w:firstRowLastColumn="0" w:lastRowFirstColumn="0" w:lastRowLastColumn="0"/>
            <w:tcW w:w="3235" w:type="dxa"/>
          </w:tcPr>
          <w:p w14:paraId="59CBC9F9" w14:textId="35EEEFB3" w:rsidR="00D250FB" w:rsidRPr="00D250FB" w:rsidRDefault="00D250FB" w:rsidP="000741C0">
            <w:pPr>
              <w:rPr>
                <w:sz w:val="22"/>
                <w:szCs w:val="22"/>
              </w:rPr>
            </w:pPr>
            <w:r w:rsidRPr="00D250FB">
              <w:rPr>
                <w:sz w:val="22"/>
                <w:szCs w:val="22"/>
              </w:rPr>
              <w:t>Operating Income</w:t>
            </w:r>
          </w:p>
        </w:tc>
        <w:tc>
          <w:tcPr>
            <w:tcW w:w="6120" w:type="dxa"/>
          </w:tcPr>
          <w:p w14:paraId="7A102DDF" w14:textId="3B712A5A" w:rsidR="00D250FB" w:rsidRPr="000741C0" w:rsidRDefault="00D250FB" w:rsidP="000741C0">
            <w:pPr>
              <w:jc w:val="center"/>
              <w:cnfStyle w:val="000000000000" w:firstRow="0" w:lastRow="0" w:firstColumn="0" w:lastColumn="0" w:oddVBand="0" w:evenVBand="0" w:oddHBand="0" w:evenHBand="0" w:firstRowFirstColumn="0" w:firstRowLastColumn="0" w:lastRowFirstColumn="0" w:lastRowLastColumn="0"/>
              <w:rPr>
                <w:sz w:val="22"/>
                <w:szCs w:val="22"/>
              </w:rPr>
            </w:pPr>
            <w:r w:rsidRPr="000741C0">
              <w:rPr>
                <w:sz w:val="22"/>
                <w:szCs w:val="22"/>
              </w:rPr>
              <w:t>Profit earned from core business operations after operating expenses.</w:t>
            </w:r>
          </w:p>
        </w:tc>
      </w:tr>
      <w:tr w:rsidR="000741C0" w14:paraId="79D3FD95" w14:textId="6D5BD675" w:rsidTr="00BA670A">
        <w:trPr>
          <w:gridAfter w:val="1"/>
          <w:cnfStyle w:val="000000100000" w:firstRow="0" w:lastRow="0" w:firstColumn="0" w:lastColumn="0" w:oddVBand="0" w:evenVBand="0" w:oddHBand="1" w:evenHBand="0" w:firstRowFirstColumn="0" w:firstRowLastColumn="0" w:lastRowFirstColumn="0" w:lastRowLastColumn="0"/>
          <w:wAfter w:w="17" w:type="dxa"/>
          <w:trHeight w:val="620"/>
        </w:trPr>
        <w:tc>
          <w:tcPr>
            <w:cnfStyle w:val="001000000000" w:firstRow="0" w:lastRow="0" w:firstColumn="1" w:lastColumn="0" w:oddVBand="0" w:evenVBand="0" w:oddHBand="0" w:evenHBand="0" w:firstRowFirstColumn="0" w:firstRowLastColumn="0" w:lastRowFirstColumn="0" w:lastRowLastColumn="0"/>
            <w:tcW w:w="3235" w:type="dxa"/>
          </w:tcPr>
          <w:p w14:paraId="37094620" w14:textId="3B6229FD" w:rsidR="000741C0" w:rsidRDefault="000741C0" w:rsidP="000741C0">
            <w:pPr>
              <w:spacing w:after="160" w:line="278" w:lineRule="auto"/>
              <w:ind w:left="-5"/>
            </w:pPr>
            <w:r>
              <w:t>Other Income/Expenses</w:t>
            </w:r>
          </w:p>
        </w:tc>
        <w:tc>
          <w:tcPr>
            <w:tcW w:w="6120" w:type="dxa"/>
          </w:tcPr>
          <w:p w14:paraId="773F2EBA" w14:textId="7F728067" w:rsidR="000741C0" w:rsidRPr="000741C0" w:rsidRDefault="000741C0" w:rsidP="000741C0">
            <w:pPr>
              <w:ind w:left="-5"/>
              <w:jc w:val="center"/>
              <w:cnfStyle w:val="000000100000" w:firstRow="0" w:lastRow="0" w:firstColumn="0" w:lastColumn="0" w:oddVBand="0" w:evenVBand="0" w:oddHBand="1" w:evenHBand="0" w:firstRowFirstColumn="0" w:firstRowLastColumn="0" w:lastRowFirstColumn="0" w:lastRowLastColumn="0"/>
              <w:rPr>
                <w:sz w:val="22"/>
                <w:szCs w:val="22"/>
              </w:rPr>
            </w:pPr>
            <w:r w:rsidRPr="000741C0">
              <w:rPr>
                <w:sz w:val="22"/>
                <w:szCs w:val="22"/>
              </w:rPr>
              <w:t>Non-operating gains or losses such as interest income/expense and other miscellaneous items.</w:t>
            </w:r>
          </w:p>
        </w:tc>
      </w:tr>
      <w:tr w:rsidR="000741C0" w14:paraId="2BBB0E03" w14:textId="70916867" w:rsidTr="00BA670A">
        <w:trPr>
          <w:gridAfter w:val="1"/>
          <w:wAfter w:w="17" w:type="dxa"/>
          <w:trHeight w:val="359"/>
        </w:trPr>
        <w:tc>
          <w:tcPr>
            <w:cnfStyle w:val="001000000000" w:firstRow="0" w:lastRow="0" w:firstColumn="1" w:lastColumn="0" w:oddVBand="0" w:evenVBand="0" w:oddHBand="0" w:evenHBand="0" w:firstRowFirstColumn="0" w:firstRowLastColumn="0" w:lastRowFirstColumn="0" w:lastRowLastColumn="0"/>
            <w:tcW w:w="3235" w:type="dxa"/>
          </w:tcPr>
          <w:p w14:paraId="1FC034EC" w14:textId="579F1890" w:rsidR="000741C0" w:rsidRDefault="000741C0" w:rsidP="000741C0">
            <w:pPr>
              <w:spacing w:after="160" w:line="278" w:lineRule="auto"/>
              <w:ind w:left="-5"/>
            </w:pPr>
            <w:r>
              <w:t>Pre-Tax Income</w:t>
            </w:r>
          </w:p>
        </w:tc>
        <w:tc>
          <w:tcPr>
            <w:tcW w:w="6120" w:type="dxa"/>
          </w:tcPr>
          <w:p w14:paraId="155F312E" w14:textId="5C9A39AC" w:rsidR="000741C0" w:rsidRPr="000741C0" w:rsidRDefault="000741C0" w:rsidP="000741C0">
            <w:pPr>
              <w:ind w:left="-5"/>
              <w:jc w:val="center"/>
              <w:cnfStyle w:val="000000000000" w:firstRow="0" w:lastRow="0" w:firstColumn="0" w:lastColumn="0" w:oddVBand="0" w:evenVBand="0" w:oddHBand="0" w:evenHBand="0" w:firstRowFirstColumn="0" w:firstRowLastColumn="0" w:lastRowFirstColumn="0" w:lastRowLastColumn="0"/>
              <w:rPr>
                <w:sz w:val="22"/>
                <w:szCs w:val="22"/>
              </w:rPr>
            </w:pPr>
            <w:r w:rsidRPr="000741C0">
              <w:rPr>
                <w:sz w:val="22"/>
                <w:szCs w:val="22"/>
              </w:rPr>
              <w:t>Earnings before taxes are deducted.</w:t>
            </w:r>
          </w:p>
        </w:tc>
      </w:tr>
      <w:tr w:rsidR="000741C0" w14:paraId="40FFD210" w14:textId="00EAA64B" w:rsidTr="00BA670A">
        <w:trPr>
          <w:gridAfter w:val="1"/>
          <w:cnfStyle w:val="000000100000" w:firstRow="0" w:lastRow="0" w:firstColumn="0" w:lastColumn="0" w:oddVBand="0" w:evenVBand="0" w:oddHBand="1" w:evenHBand="0" w:firstRowFirstColumn="0" w:firstRowLastColumn="0" w:lastRowFirstColumn="0" w:lastRowLastColumn="0"/>
          <w:wAfter w:w="17" w:type="dxa"/>
          <w:trHeight w:val="395"/>
        </w:trPr>
        <w:tc>
          <w:tcPr>
            <w:cnfStyle w:val="001000000000" w:firstRow="0" w:lastRow="0" w:firstColumn="1" w:lastColumn="0" w:oddVBand="0" w:evenVBand="0" w:oddHBand="0" w:evenHBand="0" w:firstRowFirstColumn="0" w:firstRowLastColumn="0" w:lastRowFirstColumn="0" w:lastRowLastColumn="0"/>
            <w:tcW w:w="3235" w:type="dxa"/>
          </w:tcPr>
          <w:p w14:paraId="1F0C96BF" w14:textId="1B248F18" w:rsidR="000741C0" w:rsidRDefault="000741C0" w:rsidP="000741C0">
            <w:pPr>
              <w:spacing w:after="160" w:line="278" w:lineRule="auto"/>
              <w:ind w:left="-5"/>
            </w:pPr>
            <w:r>
              <w:t>Tax Provision</w:t>
            </w:r>
          </w:p>
        </w:tc>
        <w:tc>
          <w:tcPr>
            <w:tcW w:w="6120" w:type="dxa"/>
          </w:tcPr>
          <w:p w14:paraId="44FA470A" w14:textId="66B4FB15" w:rsidR="000741C0" w:rsidRPr="000741C0" w:rsidRDefault="000741C0" w:rsidP="000741C0">
            <w:pPr>
              <w:ind w:left="-5"/>
              <w:jc w:val="center"/>
              <w:cnfStyle w:val="000000100000" w:firstRow="0" w:lastRow="0" w:firstColumn="0" w:lastColumn="0" w:oddVBand="0" w:evenVBand="0" w:oddHBand="1" w:evenHBand="0" w:firstRowFirstColumn="0" w:firstRowLastColumn="0" w:lastRowFirstColumn="0" w:lastRowLastColumn="0"/>
              <w:rPr>
                <w:sz w:val="22"/>
                <w:szCs w:val="22"/>
              </w:rPr>
            </w:pPr>
            <w:r w:rsidRPr="000741C0">
              <w:rPr>
                <w:sz w:val="22"/>
                <w:szCs w:val="22"/>
              </w:rPr>
              <w:t>Income tax expense recognized during the year.</w:t>
            </w:r>
          </w:p>
        </w:tc>
      </w:tr>
      <w:tr w:rsidR="000741C0" w14:paraId="4A643407" w14:textId="121BF442" w:rsidTr="00BA670A">
        <w:trPr>
          <w:gridAfter w:val="1"/>
          <w:wAfter w:w="17" w:type="dxa"/>
          <w:trHeight w:val="773"/>
        </w:trPr>
        <w:tc>
          <w:tcPr>
            <w:cnfStyle w:val="001000000000" w:firstRow="0" w:lastRow="0" w:firstColumn="1" w:lastColumn="0" w:oddVBand="0" w:evenVBand="0" w:oddHBand="0" w:evenHBand="0" w:firstRowFirstColumn="0" w:firstRowLastColumn="0" w:lastRowFirstColumn="0" w:lastRowLastColumn="0"/>
            <w:tcW w:w="3235" w:type="dxa"/>
          </w:tcPr>
          <w:p w14:paraId="1BC24218" w14:textId="77777777" w:rsidR="000741C0" w:rsidRDefault="000741C0" w:rsidP="000741C0"/>
          <w:p w14:paraId="2D44FB2A" w14:textId="3E26ED05" w:rsidR="000741C0" w:rsidRDefault="000741C0" w:rsidP="000741C0">
            <w:r>
              <w:t>Net Income</w:t>
            </w:r>
          </w:p>
        </w:tc>
        <w:tc>
          <w:tcPr>
            <w:tcW w:w="6120" w:type="dxa"/>
          </w:tcPr>
          <w:p w14:paraId="35187433" w14:textId="77777777" w:rsidR="000741C0" w:rsidRPr="000741C0" w:rsidRDefault="000741C0" w:rsidP="000741C0">
            <w:pPr>
              <w:jc w:val="center"/>
              <w:cnfStyle w:val="000000000000" w:firstRow="0" w:lastRow="0" w:firstColumn="0" w:lastColumn="0" w:oddVBand="0" w:evenVBand="0" w:oddHBand="0" w:evenHBand="0" w:firstRowFirstColumn="0" w:firstRowLastColumn="0" w:lastRowFirstColumn="0" w:lastRowLastColumn="0"/>
              <w:rPr>
                <w:sz w:val="22"/>
                <w:szCs w:val="22"/>
              </w:rPr>
            </w:pPr>
          </w:p>
          <w:p w14:paraId="557643EB" w14:textId="481144A6" w:rsidR="000741C0" w:rsidRPr="000741C0" w:rsidRDefault="000741C0" w:rsidP="000741C0">
            <w:pPr>
              <w:jc w:val="center"/>
              <w:cnfStyle w:val="000000000000" w:firstRow="0" w:lastRow="0" w:firstColumn="0" w:lastColumn="0" w:oddVBand="0" w:evenVBand="0" w:oddHBand="0" w:evenHBand="0" w:firstRowFirstColumn="0" w:firstRowLastColumn="0" w:lastRowFirstColumn="0" w:lastRowLastColumn="0"/>
              <w:rPr>
                <w:sz w:val="22"/>
                <w:szCs w:val="22"/>
              </w:rPr>
            </w:pPr>
            <w:r w:rsidRPr="000741C0">
              <w:rPr>
                <w:sz w:val="22"/>
                <w:szCs w:val="22"/>
              </w:rPr>
              <w:t>Final profit available to shareholders after all expenses and taxes.</w:t>
            </w:r>
          </w:p>
        </w:tc>
      </w:tr>
      <w:tr w:rsidR="000741C0" w14:paraId="4B87964D" w14:textId="7458F7F1" w:rsidTr="00BA670A">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3235" w:type="dxa"/>
          </w:tcPr>
          <w:p w14:paraId="031EB161" w14:textId="7C826493" w:rsidR="000741C0" w:rsidRDefault="000741C0" w:rsidP="000741C0">
            <w:r>
              <w:t>Depreciation &amp; Amortization</w:t>
            </w:r>
          </w:p>
        </w:tc>
        <w:tc>
          <w:tcPr>
            <w:tcW w:w="6137" w:type="dxa"/>
            <w:gridSpan w:val="2"/>
          </w:tcPr>
          <w:p w14:paraId="142CC653" w14:textId="59835CFC" w:rsidR="000741C0" w:rsidRPr="000741C0" w:rsidRDefault="000741C0" w:rsidP="000741C0">
            <w:pPr>
              <w:jc w:val="center"/>
              <w:cnfStyle w:val="000000100000" w:firstRow="0" w:lastRow="0" w:firstColumn="0" w:lastColumn="0" w:oddVBand="0" w:evenVBand="0" w:oddHBand="1" w:evenHBand="0" w:firstRowFirstColumn="0" w:firstRowLastColumn="0" w:lastRowFirstColumn="0" w:lastRowLastColumn="0"/>
              <w:rPr>
                <w:sz w:val="22"/>
                <w:szCs w:val="22"/>
              </w:rPr>
            </w:pPr>
            <w:r w:rsidRPr="000741C0">
              <w:rPr>
                <w:sz w:val="22"/>
                <w:szCs w:val="22"/>
              </w:rPr>
              <w:t xml:space="preserve">Non-cash expenses </w:t>
            </w:r>
            <w:proofErr w:type="gramStart"/>
            <w:r w:rsidRPr="000741C0">
              <w:rPr>
                <w:sz w:val="22"/>
                <w:szCs w:val="22"/>
              </w:rPr>
              <w:t>reflecting</w:t>
            </w:r>
            <w:proofErr w:type="gramEnd"/>
            <w:r w:rsidRPr="000741C0">
              <w:rPr>
                <w:sz w:val="22"/>
                <w:szCs w:val="22"/>
              </w:rPr>
              <w:t xml:space="preserve"> the gradual reduction in value of assets over time.</w:t>
            </w:r>
          </w:p>
        </w:tc>
      </w:tr>
      <w:tr w:rsidR="000741C0" w14:paraId="76C5FE88" w14:textId="688ED94B" w:rsidTr="00BA670A">
        <w:trPr>
          <w:trHeight w:val="620"/>
        </w:trPr>
        <w:tc>
          <w:tcPr>
            <w:cnfStyle w:val="001000000000" w:firstRow="0" w:lastRow="0" w:firstColumn="1" w:lastColumn="0" w:oddVBand="0" w:evenVBand="0" w:oddHBand="0" w:evenHBand="0" w:firstRowFirstColumn="0" w:firstRowLastColumn="0" w:lastRowFirstColumn="0" w:lastRowLastColumn="0"/>
            <w:tcW w:w="3235" w:type="dxa"/>
          </w:tcPr>
          <w:p w14:paraId="64AA5D31" w14:textId="5BCA816B" w:rsidR="000741C0" w:rsidRDefault="000741C0" w:rsidP="000741C0">
            <w:pPr>
              <w:spacing w:after="160" w:line="278" w:lineRule="auto"/>
              <w:ind w:left="-5"/>
            </w:pPr>
            <w:proofErr w:type="spellStart"/>
            <w:r>
              <w:t>CapEx</w:t>
            </w:r>
            <w:proofErr w:type="spellEnd"/>
            <w:r>
              <w:t xml:space="preserve"> (Capital Expenditure)</w:t>
            </w:r>
          </w:p>
        </w:tc>
        <w:tc>
          <w:tcPr>
            <w:tcW w:w="6137" w:type="dxa"/>
            <w:gridSpan w:val="2"/>
          </w:tcPr>
          <w:p w14:paraId="4B331153" w14:textId="1F9310BB" w:rsidR="000741C0" w:rsidRPr="000741C0" w:rsidRDefault="000741C0" w:rsidP="000741C0">
            <w:pPr>
              <w:ind w:left="-5"/>
              <w:jc w:val="center"/>
              <w:cnfStyle w:val="000000000000" w:firstRow="0" w:lastRow="0" w:firstColumn="0" w:lastColumn="0" w:oddVBand="0" w:evenVBand="0" w:oddHBand="0" w:evenHBand="0" w:firstRowFirstColumn="0" w:firstRowLastColumn="0" w:lastRowFirstColumn="0" w:lastRowLastColumn="0"/>
              <w:rPr>
                <w:sz w:val="22"/>
                <w:szCs w:val="22"/>
              </w:rPr>
            </w:pPr>
            <w:r w:rsidRPr="000741C0">
              <w:rPr>
                <w:sz w:val="22"/>
                <w:szCs w:val="22"/>
              </w:rPr>
              <w:t xml:space="preserve">Investments </w:t>
            </w:r>
            <w:proofErr w:type="gramStart"/>
            <w:r w:rsidRPr="000741C0">
              <w:rPr>
                <w:sz w:val="22"/>
                <w:szCs w:val="22"/>
              </w:rPr>
              <w:t>made</w:t>
            </w:r>
            <w:proofErr w:type="gramEnd"/>
            <w:r w:rsidRPr="000741C0">
              <w:rPr>
                <w:sz w:val="22"/>
                <w:szCs w:val="22"/>
              </w:rPr>
              <w:t xml:space="preserve"> in property, equipment and infrastructure to support future growth.</w:t>
            </w:r>
          </w:p>
        </w:tc>
      </w:tr>
    </w:tbl>
    <w:p w14:paraId="0FEBDAFA" w14:textId="77777777" w:rsidR="000741C0" w:rsidRDefault="000741C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9"/>
        <w:gridCol w:w="81"/>
      </w:tblGrid>
      <w:tr w:rsidR="000741C0" w:rsidRPr="00D250FB" w14:paraId="7E221C6D" w14:textId="77777777" w:rsidTr="00F54708">
        <w:trPr>
          <w:tblCellSpacing w:w="15" w:type="dxa"/>
        </w:trPr>
        <w:tc>
          <w:tcPr>
            <w:tcW w:w="0" w:type="auto"/>
            <w:vAlign w:val="center"/>
          </w:tcPr>
          <w:p w14:paraId="3C15BF6C" w14:textId="60E7AFC4" w:rsidR="000741C0" w:rsidRPr="00D250FB" w:rsidRDefault="000741C0" w:rsidP="00D250FB"/>
        </w:tc>
        <w:tc>
          <w:tcPr>
            <w:tcW w:w="0" w:type="auto"/>
            <w:vAlign w:val="center"/>
          </w:tcPr>
          <w:p w14:paraId="295D5F6A" w14:textId="663380F9" w:rsidR="000741C0" w:rsidRPr="00D250FB" w:rsidRDefault="000741C0" w:rsidP="00D250FB"/>
        </w:tc>
      </w:tr>
      <w:tr w:rsidR="000741C0" w:rsidRPr="00D250FB" w14:paraId="6FC701EC" w14:textId="77777777" w:rsidTr="00F54708">
        <w:trPr>
          <w:tblCellSpacing w:w="15" w:type="dxa"/>
        </w:trPr>
        <w:tc>
          <w:tcPr>
            <w:tcW w:w="0" w:type="auto"/>
            <w:vAlign w:val="center"/>
          </w:tcPr>
          <w:p w14:paraId="74A324A7" w14:textId="77777777" w:rsidR="000741C0" w:rsidRDefault="00D664CF" w:rsidP="00D250FB">
            <w:r>
              <w:t xml:space="preserve">Apple demonstrated consistent financial strength during the historical period. Revenue increased from $383.3 billion in FY 2023 to $416.2 billion in FY 2025, indicating sustained demand for the company’s products and services. Gross Profit also improved over the period, reflecting Apple’s ability to maintain strong margins. </w:t>
            </w:r>
          </w:p>
          <w:p w14:paraId="620191E0" w14:textId="77777777" w:rsidR="00D664CF" w:rsidRDefault="00D664CF" w:rsidP="00D250FB">
            <w:r>
              <w:lastRenderedPageBreak/>
              <w:t>Operating Income and Net Income exhibited stable growth, highlighting efficient cost management and continued profitability. The company maintained significant investments in R</w:t>
            </w:r>
            <w:proofErr w:type="gramStart"/>
            <w:r>
              <w:t>&amp; D</w:t>
            </w:r>
            <w:proofErr w:type="gramEnd"/>
            <w:r>
              <w:t xml:space="preserve">, emphasizing its focus on innovation and long-term growth. </w:t>
            </w:r>
          </w:p>
          <w:p w14:paraId="40615B04" w14:textId="77777777" w:rsidR="00D664CF" w:rsidRDefault="00D664CF" w:rsidP="00D250FB">
            <w:r>
              <w:t xml:space="preserve">Additionally, Apple continued investing in capital expenditures while generating substantial earnings, demonstrating strong operational efficiency and financial stability. </w:t>
            </w:r>
          </w:p>
          <w:p w14:paraId="3E89F5FB" w14:textId="77777777" w:rsidR="00D664CF" w:rsidRDefault="00D664CF" w:rsidP="00D250FB"/>
          <w:p w14:paraId="27B0B6EB" w14:textId="6E2E9E13" w:rsidR="00D664CF" w:rsidRDefault="00D664CF" w:rsidP="00D250FB">
            <w:r>
              <w:t>ASSUMPTIONS</w:t>
            </w:r>
          </w:p>
          <w:p w14:paraId="7DA98744" w14:textId="550053DF" w:rsidR="00D664CF" w:rsidRPr="00D250FB" w:rsidRDefault="00D664CF" w:rsidP="00D250FB">
            <w:r w:rsidRPr="00D664CF">
              <w:t>The Assumptions Sheet contains the key forecasting drivers used to project Apple's future financial performance from FY2026E to FY2030E. These assumptions are based on historical trends, industry expectations, and analyst judgment.</w:t>
            </w:r>
          </w:p>
        </w:tc>
        <w:tc>
          <w:tcPr>
            <w:tcW w:w="0" w:type="auto"/>
            <w:vAlign w:val="center"/>
          </w:tcPr>
          <w:p w14:paraId="6BB73DB4" w14:textId="334ECDD7" w:rsidR="000741C0" w:rsidRPr="00D250FB" w:rsidRDefault="000741C0" w:rsidP="00D250FB"/>
        </w:tc>
      </w:tr>
    </w:tbl>
    <w:tbl>
      <w:tblPr>
        <w:tblStyle w:val="TableGrid"/>
        <w:tblpPr w:leftFromText="180" w:rightFromText="180" w:vertAnchor="text" w:horzAnchor="margin" w:tblpY="377"/>
        <w:tblW w:w="9360" w:type="dxa"/>
        <w:tblLook w:val="04A0" w:firstRow="1" w:lastRow="0" w:firstColumn="1" w:lastColumn="0" w:noHBand="0" w:noVBand="1"/>
      </w:tblPr>
      <w:tblGrid>
        <w:gridCol w:w="3240"/>
        <w:gridCol w:w="6120"/>
      </w:tblGrid>
      <w:tr w:rsidR="003B5D5E" w14:paraId="5C8C5217" w14:textId="77777777" w:rsidTr="003B5D5E">
        <w:tc>
          <w:tcPr>
            <w:tcW w:w="3240" w:type="dxa"/>
          </w:tcPr>
          <w:p w14:paraId="25DC075F" w14:textId="77777777" w:rsidR="003B5D5E" w:rsidRPr="003B5D5E" w:rsidRDefault="003B5D5E" w:rsidP="003B5D5E">
            <w:pPr>
              <w:rPr>
                <w:b/>
                <w:bCs/>
                <w:sz w:val="28"/>
                <w:szCs w:val="28"/>
              </w:rPr>
            </w:pPr>
            <w:r w:rsidRPr="003B5D5E">
              <w:rPr>
                <w:b/>
                <w:bCs/>
                <w:sz w:val="28"/>
                <w:szCs w:val="28"/>
              </w:rPr>
              <w:t>Assumption</w:t>
            </w:r>
          </w:p>
        </w:tc>
        <w:tc>
          <w:tcPr>
            <w:tcW w:w="6120" w:type="dxa"/>
          </w:tcPr>
          <w:p w14:paraId="05139D75" w14:textId="77777777" w:rsidR="003B5D5E" w:rsidRPr="003B5D5E" w:rsidRDefault="003B5D5E" w:rsidP="003B5D5E">
            <w:pPr>
              <w:rPr>
                <w:b/>
                <w:bCs/>
                <w:sz w:val="28"/>
                <w:szCs w:val="28"/>
              </w:rPr>
            </w:pPr>
            <w:r w:rsidRPr="003B5D5E">
              <w:rPr>
                <w:b/>
                <w:bCs/>
                <w:sz w:val="28"/>
                <w:szCs w:val="28"/>
              </w:rPr>
              <w:t>Description</w:t>
            </w:r>
          </w:p>
        </w:tc>
      </w:tr>
      <w:tr w:rsidR="003B5D5E" w:rsidRPr="003B5D5E" w14:paraId="1ADA7FFD" w14:textId="77777777" w:rsidTr="003B5D5E">
        <w:tc>
          <w:tcPr>
            <w:tcW w:w="3240" w:type="dxa"/>
          </w:tcPr>
          <w:p w14:paraId="0E362C3A" w14:textId="77777777" w:rsidR="003B5D5E" w:rsidRPr="003B5D5E" w:rsidRDefault="003B5D5E" w:rsidP="003B5D5E">
            <w:pPr>
              <w:rPr>
                <w:sz w:val="22"/>
                <w:szCs w:val="22"/>
              </w:rPr>
            </w:pPr>
            <w:r w:rsidRPr="003B5D5E">
              <w:rPr>
                <w:sz w:val="22"/>
                <w:szCs w:val="22"/>
              </w:rPr>
              <w:t>Revenue Growth</w:t>
            </w:r>
          </w:p>
        </w:tc>
        <w:tc>
          <w:tcPr>
            <w:tcW w:w="6120" w:type="dxa"/>
          </w:tcPr>
          <w:p w14:paraId="4F4B67D0" w14:textId="77777777" w:rsidR="003B5D5E" w:rsidRPr="003B5D5E" w:rsidRDefault="003B5D5E" w:rsidP="003B5D5E">
            <w:pPr>
              <w:rPr>
                <w:sz w:val="22"/>
                <w:szCs w:val="22"/>
              </w:rPr>
            </w:pPr>
            <w:r w:rsidRPr="003B5D5E">
              <w:rPr>
                <w:sz w:val="22"/>
                <w:szCs w:val="22"/>
              </w:rPr>
              <w:t>Expected annual growth in sales.</w:t>
            </w:r>
          </w:p>
        </w:tc>
      </w:tr>
      <w:tr w:rsidR="003B5D5E" w:rsidRPr="003B5D5E" w14:paraId="2B280FCA" w14:textId="77777777" w:rsidTr="003B5D5E">
        <w:tc>
          <w:tcPr>
            <w:tcW w:w="3240" w:type="dxa"/>
          </w:tcPr>
          <w:p w14:paraId="4B6CD631" w14:textId="77777777" w:rsidR="003B5D5E" w:rsidRPr="003B5D5E" w:rsidRDefault="003B5D5E" w:rsidP="003B5D5E">
            <w:pPr>
              <w:rPr>
                <w:sz w:val="22"/>
                <w:szCs w:val="22"/>
              </w:rPr>
            </w:pPr>
            <w:r w:rsidRPr="003B5D5E">
              <w:rPr>
                <w:sz w:val="22"/>
                <w:szCs w:val="22"/>
              </w:rPr>
              <w:t>Cost of Revenue (% Sales)</w:t>
            </w:r>
          </w:p>
        </w:tc>
        <w:tc>
          <w:tcPr>
            <w:tcW w:w="6120" w:type="dxa"/>
          </w:tcPr>
          <w:p w14:paraId="2961E201" w14:textId="77777777" w:rsidR="003B5D5E" w:rsidRPr="003B5D5E" w:rsidRDefault="003B5D5E" w:rsidP="003B5D5E">
            <w:pPr>
              <w:rPr>
                <w:sz w:val="22"/>
                <w:szCs w:val="22"/>
              </w:rPr>
            </w:pPr>
            <w:r w:rsidRPr="003B5D5E">
              <w:rPr>
                <w:sz w:val="22"/>
                <w:szCs w:val="22"/>
              </w:rPr>
              <w:t>Assumed percentage of revenue consumed by production costs.</w:t>
            </w:r>
          </w:p>
        </w:tc>
      </w:tr>
      <w:tr w:rsidR="003B5D5E" w:rsidRPr="003B5D5E" w14:paraId="40DAD26E" w14:textId="77777777" w:rsidTr="003B5D5E">
        <w:tc>
          <w:tcPr>
            <w:tcW w:w="3240" w:type="dxa"/>
          </w:tcPr>
          <w:p w14:paraId="3AF2808A" w14:textId="77777777" w:rsidR="003B5D5E" w:rsidRPr="003B5D5E" w:rsidRDefault="003B5D5E" w:rsidP="003B5D5E">
            <w:pPr>
              <w:rPr>
                <w:sz w:val="22"/>
                <w:szCs w:val="22"/>
              </w:rPr>
            </w:pPr>
            <w:r w:rsidRPr="003B5D5E">
              <w:rPr>
                <w:sz w:val="22"/>
                <w:szCs w:val="22"/>
              </w:rPr>
              <w:t>R&amp;D (% Sales)</w:t>
            </w:r>
          </w:p>
        </w:tc>
        <w:tc>
          <w:tcPr>
            <w:tcW w:w="6120" w:type="dxa"/>
          </w:tcPr>
          <w:p w14:paraId="043A04E7" w14:textId="77777777" w:rsidR="003B5D5E" w:rsidRPr="003B5D5E" w:rsidRDefault="003B5D5E" w:rsidP="003B5D5E">
            <w:pPr>
              <w:rPr>
                <w:sz w:val="22"/>
                <w:szCs w:val="22"/>
              </w:rPr>
            </w:pPr>
            <w:r w:rsidRPr="003B5D5E">
              <w:rPr>
                <w:sz w:val="22"/>
                <w:szCs w:val="22"/>
              </w:rPr>
              <w:t>Projected research and development spending as a percentage of revenue.</w:t>
            </w:r>
          </w:p>
        </w:tc>
      </w:tr>
      <w:tr w:rsidR="003B5D5E" w:rsidRPr="003B5D5E" w14:paraId="30C781DB" w14:textId="77777777" w:rsidTr="003B5D5E">
        <w:tc>
          <w:tcPr>
            <w:tcW w:w="3240" w:type="dxa"/>
          </w:tcPr>
          <w:p w14:paraId="25C7AEDD" w14:textId="77777777" w:rsidR="003B5D5E" w:rsidRPr="003B5D5E" w:rsidRDefault="003B5D5E" w:rsidP="003B5D5E">
            <w:pPr>
              <w:rPr>
                <w:sz w:val="22"/>
                <w:szCs w:val="22"/>
              </w:rPr>
            </w:pPr>
            <w:r w:rsidRPr="003B5D5E">
              <w:rPr>
                <w:sz w:val="22"/>
                <w:szCs w:val="22"/>
              </w:rPr>
              <w:t>SG&amp;A (% Sales)</w:t>
            </w:r>
          </w:p>
        </w:tc>
        <w:tc>
          <w:tcPr>
            <w:tcW w:w="6120" w:type="dxa"/>
          </w:tcPr>
          <w:p w14:paraId="788C1326" w14:textId="77777777" w:rsidR="003B5D5E" w:rsidRPr="003B5D5E" w:rsidRDefault="003B5D5E" w:rsidP="003B5D5E">
            <w:pPr>
              <w:rPr>
                <w:sz w:val="22"/>
                <w:szCs w:val="22"/>
              </w:rPr>
            </w:pPr>
            <w:r w:rsidRPr="003B5D5E">
              <w:rPr>
                <w:sz w:val="22"/>
                <w:szCs w:val="22"/>
              </w:rPr>
              <w:t>Expected selling and administrative expenses as a percentage of revenue.</w:t>
            </w:r>
          </w:p>
        </w:tc>
      </w:tr>
      <w:tr w:rsidR="003B5D5E" w:rsidRPr="003B5D5E" w14:paraId="4FB2CDEA" w14:textId="77777777" w:rsidTr="003B5D5E">
        <w:trPr>
          <w:trHeight w:val="377"/>
        </w:trPr>
        <w:tc>
          <w:tcPr>
            <w:tcW w:w="3240" w:type="dxa"/>
          </w:tcPr>
          <w:p w14:paraId="70CD7B82" w14:textId="77777777" w:rsidR="003B5D5E" w:rsidRPr="003B5D5E" w:rsidRDefault="003B5D5E" w:rsidP="003B5D5E">
            <w:pPr>
              <w:rPr>
                <w:sz w:val="22"/>
                <w:szCs w:val="22"/>
              </w:rPr>
            </w:pPr>
            <w:r w:rsidRPr="003B5D5E">
              <w:rPr>
                <w:sz w:val="22"/>
                <w:szCs w:val="22"/>
              </w:rPr>
              <w:t>Accounts Receivable (% Sales)</w:t>
            </w:r>
          </w:p>
        </w:tc>
        <w:tc>
          <w:tcPr>
            <w:tcW w:w="6120" w:type="dxa"/>
          </w:tcPr>
          <w:p w14:paraId="160818F9" w14:textId="77777777" w:rsidR="003B5D5E" w:rsidRPr="003B5D5E" w:rsidRDefault="003B5D5E" w:rsidP="003B5D5E">
            <w:pPr>
              <w:rPr>
                <w:sz w:val="22"/>
                <w:szCs w:val="22"/>
              </w:rPr>
            </w:pPr>
            <w:r w:rsidRPr="003B5D5E">
              <w:rPr>
                <w:sz w:val="22"/>
                <w:szCs w:val="22"/>
              </w:rPr>
              <w:t>Working capital assumption for receivables.</w:t>
            </w:r>
          </w:p>
        </w:tc>
      </w:tr>
      <w:tr w:rsidR="003B5D5E" w:rsidRPr="003B5D5E" w14:paraId="7A330D35" w14:textId="77777777" w:rsidTr="003B5D5E">
        <w:trPr>
          <w:trHeight w:val="539"/>
        </w:trPr>
        <w:tc>
          <w:tcPr>
            <w:tcW w:w="3240" w:type="dxa"/>
          </w:tcPr>
          <w:p w14:paraId="19927276" w14:textId="77777777" w:rsidR="003B5D5E" w:rsidRPr="003B5D5E" w:rsidRDefault="003B5D5E" w:rsidP="003B5D5E">
            <w:pPr>
              <w:rPr>
                <w:sz w:val="22"/>
                <w:szCs w:val="22"/>
              </w:rPr>
            </w:pPr>
            <w:r w:rsidRPr="003B5D5E">
              <w:rPr>
                <w:sz w:val="22"/>
                <w:szCs w:val="22"/>
              </w:rPr>
              <w:t>Inventory Growth</w:t>
            </w:r>
          </w:p>
        </w:tc>
        <w:tc>
          <w:tcPr>
            <w:tcW w:w="6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5D5E" w:rsidRPr="003B5D5E" w14:paraId="3905CFEF" w14:textId="77777777" w:rsidTr="00D90A55">
              <w:trPr>
                <w:tblCellSpacing w:w="15" w:type="dxa"/>
              </w:trPr>
              <w:tc>
                <w:tcPr>
                  <w:tcW w:w="0" w:type="auto"/>
                  <w:vAlign w:val="center"/>
                  <w:hideMark/>
                </w:tcPr>
                <w:p w14:paraId="223DD44A" w14:textId="77777777" w:rsidR="003B5D5E" w:rsidRPr="003B5D5E" w:rsidRDefault="003B5D5E" w:rsidP="003B5D5E">
                  <w:pPr>
                    <w:framePr w:hSpace="180" w:wrap="around" w:vAnchor="text" w:hAnchor="margin" w:y="377"/>
                    <w:spacing w:after="0" w:line="240" w:lineRule="auto"/>
                    <w:rPr>
                      <w:sz w:val="22"/>
                      <w:szCs w:val="22"/>
                    </w:rPr>
                  </w:pPr>
                </w:p>
              </w:tc>
            </w:tr>
          </w:tbl>
          <w:p w14:paraId="2F06CE61" w14:textId="77777777" w:rsidR="003B5D5E" w:rsidRPr="003B5D5E" w:rsidRDefault="003B5D5E" w:rsidP="003B5D5E">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3"/>
            </w:tblGrid>
            <w:tr w:rsidR="003B5D5E" w:rsidRPr="003B5D5E" w14:paraId="2798B7A8" w14:textId="77777777" w:rsidTr="00D90A55">
              <w:trPr>
                <w:tblCellSpacing w:w="15" w:type="dxa"/>
              </w:trPr>
              <w:tc>
                <w:tcPr>
                  <w:tcW w:w="0" w:type="auto"/>
                  <w:vAlign w:val="center"/>
                  <w:hideMark/>
                </w:tcPr>
                <w:p w14:paraId="33282ED0" w14:textId="77777777" w:rsidR="003B5D5E" w:rsidRPr="003B5D5E" w:rsidRDefault="003B5D5E" w:rsidP="003B5D5E">
                  <w:pPr>
                    <w:framePr w:hSpace="180" w:wrap="around" w:vAnchor="text" w:hAnchor="margin" w:y="377"/>
                    <w:spacing w:after="0" w:line="240" w:lineRule="auto"/>
                    <w:rPr>
                      <w:sz w:val="22"/>
                      <w:szCs w:val="22"/>
                    </w:rPr>
                  </w:pPr>
                  <w:r w:rsidRPr="003B5D5E">
                    <w:rPr>
                      <w:sz w:val="22"/>
                      <w:szCs w:val="22"/>
                    </w:rPr>
                    <w:t>Assumed increase in inventory levels over time.</w:t>
                  </w:r>
                </w:p>
              </w:tc>
            </w:tr>
          </w:tbl>
          <w:p w14:paraId="28CA768F" w14:textId="77777777" w:rsidR="003B5D5E" w:rsidRPr="003B5D5E" w:rsidRDefault="003B5D5E" w:rsidP="003B5D5E">
            <w:pPr>
              <w:rPr>
                <w:sz w:val="22"/>
                <w:szCs w:val="22"/>
              </w:rPr>
            </w:pPr>
          </w:p>
        </w:tc>
      </w:tr>
      <w:tr w:rsidR="003B5D5E" w:rsidRPr="003B5D5E" w14:paraId="48750B16" w14:textId="77777777" w:rsidTr="003B5D5E">
        <w:trPr>
          <w:trHeight w:val="449"/>
        </w:trPr>
        <w:tc>
          <w:tcPr>
            <w:tcW w:w="3240" w:type="dxa"/>
          </w:tcPr>
          <w:p w14:paraId="138EB27A" w14:textId="77777777" w:rsidR="003B5D5E" w:rsidRPr="003B5D5E" w:rsidRDefault="003B5D5E" w:rsidP="003B5D5E">
            <w:pPr>
              <w:rPr>
                <w:sz w:val="22"/>
                <w:szCs w:val="22"/>
              </w:rPr>
            </w:pPr>
            <w:proofErr w:type="spellStart"/>
            <w:r w:rsidRPr="003B5D5E">
              <w:rPr>
                <w:sz w:val="22"/>
                <w:szCs w:val="22"/>
              </w:rPr>
              <w:t>CapEx</w:t>
            </w:r>
            <w:proofErr w:type="spellEnd"/>
            <w:r w:rsidRPr="003B5D5E">
              <w:rPr>
                <w:sz w:val="22"/>
                <w:szCs w:val="22"/>
              </w:rPr>
              <w:t xml:space="preserve"> (% Sales)</w:t>
            </w:r>
          </w:p>
        </w:tc>
        <w:tc>
          <w:tcPr>
            <w:tcW w:w="6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5D5E" w:rsidRPr="003B5D5E" w14:paraId="126FC5C8" w14:textId="77777777" w:rsidTr="00D90A55">
              <w:trPr>
                <w:tblCellSpacing w:w="15" w:type="dxa"/>
              </w:trPr>
              <w:tc>
                <w:tcPr>
                  <w:tcW w:w="0" w:type="auto"/>
                  <w:vAlign w:val="center"/>
                  <w:hideMark/>
                </w:tcPr>
                <w:p w14:paraId="6461AE7C" w14:textId="77777777" w:rsidR="003B5D5E" w:rsidRPr="003B5D5E" w:rsidRDefault="003B5D5E" w:rsidP="003B5D5E">
                  <w:pPr>
                    <w:framePr w:hSpace="180" w:wrap="around" w:vAnchor="text" w:hAnchor="margin" w:y="377"/>
                    <w:spacing w:after="0" w:line="240" w:lineRule="auto"/>
                    <w:rPr>
                      <w:sz w:val="22"/>
                      <w:szCs w:val="22"/>
                    </w:rPr>
                  </w:pPr>
                </w:p>
              </w:tc>
            </w:tr>
          </w:tbl>
          <w:p w14:paraId="6503515C" w14:textId="77777777" w:rsidR="003B5D5E" w:rsidRPr="003B5D5E" w:rsidRDefault="003B5D5E" w:rsidP="003B5D5E">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9"/>
            </w:tblGrid>
            <w:tr w:rsidR="003B5D5E" w:rsidRPr="003B5D5E" w14:paraId="1E23550D" w14:textId="77777777" w:rsidTr="00D90A55">
              <w:trPr>
                <w:tblCellSpacing w:w="15" w:type="dxa"/>
              </w:trPr>
              <w:tc>
                <w:tcPr>
                  <w:tcW w:w="0" w:type="auto"/>
                  <w:vAlign w:val="center"/>
                  <w:hideMark/>
                </w:tcPr>
                <w:p w14:paraId="4B55301B" w14:textId="77777777" w:rsidR="003B5D5E" w:rsidRPr="003B5D5E" w:rsidRDefault="003B5D5E" w:rsidP="003B5D5E">
                  <w:pPr>
                    <w:framePr w:hSpace="180" w:wrap="around" w:vAnchor="text" w:hAnchor="margin" w:y="377"/>
                    <w:spacing w:after="0" w:line="240" w:lineRule="auto"/>
                    <w:rPr>
                      <w:sz w:val="22"/>
                      <w:szCs w:val="22"/>
                    </w:rPr>
                  </w:pPr>
                  <w:r w:rsidRPr="003B5D5E">
                    <w:rPr>
                      <w:sz w:val="22"/>
                      <w:szCs w:val="22"/>
                    </w:rPr>
                    <w:t>Forecasted capital expenditure requirement.</w:t>
                  </w:r>
                </w:p>
              </w:tc>
            </w:tr>
          </w:tbl>
          <w:p w14:paraId="4C829403" w14:textId="77777777" w:rsidR="003B5D5E" w:rsidRPr="003B5D5E" w:rsidRDefault="003B5D5E" w:rsidP="003B5D5E">
            <w:pPr>
              <w:rPr>
                <w:sz w:val="22"/>
                <w:szCs w:val="22"/>
              </w:rPr>
            </w:pPr>
          </w:p>
        </w:tc>
      </w:tr>
      <w:tr w:rsidR="003B5D5E" w:rsidRPr="003B5D5E" w14:paraId="509A106F" w14:textId="77777777" w:rsidTr="003B5D5E">
        <w:tc>
          <w:tcPr>
            <w:tcW w:w="3240" w:type="dxa"/>
          </w:tcPr>
          <w:p w14:paraId="4D371638" w14:textId="77777777" w:rsidR="003B5D5E" w:rsidRPr="003B5D5E" w:rsidRDefault="003B5D5E" w:rsidP="003B5D5E">
            <w:pPr>
              <w:rPr>
                <w:sz w:val="22"/>
                <w:szCs w:val="22"/>
              </w:rPr>
            </w:pPr>
            <w:r w:rsidRPr="003B5D5E">
              <w:rPr>
                <w:sz w:val="22"/>
                <w:szCs w:val="22"/>
              </w:rPr>
              <w:t>WACC</w:t>
            </w:r>
          </w:p>
        </w:tc>
        <w:tc>
          <w:tcPr>
            <w:tcW w:w="6120" w:type="dxa"/>
          </w:tcPr>
          <w:p w14:paraId="555C4A45" w14:textId="77777777" w:rsidR="003B5D5E" w:rsidRPr="003B5D5E" w:rsidRDefault="003B5D5E" w:rsidP="003B5D5E">
            <w:pPr>
              <w:rPr>
                <w:sz w:val="22"/>
                <w:szCs w:val="22"/>
              </w:rPr>
            </w:pPr>
            <w:r w:rsidRPr="003B5D5E">
              <w:rPr>
                <w:sz w:val="22"/>
                <w:szCs w:val="22"/>
              </w:rPr>
              <w:t>Discount rate used in DCF valuation.</w:t>
            </w:r>
          </w:p>
        </w:tc>
      </w:tr>
      <w:tr w:rsidR="003B5D5E" w:rsidRPr="003B5D5E" w14:paraId="50568370" w14:textId="77777777" w:rsidTr="003B5D5E">
        <w:tblPrEx>
          <w:tblLook w:val="0000" w:firstRow="0" w:lastRow="0" w:firstColumn="0" w:lastColumn="0" w:noHBand="0" w:noVBand="0"/>
        </w:tblPrEx>
        <w:trPr>
          <w:trHeight w:val="468"/>
        </w:trPr>
        <w:tc>
          <w:tcPr>
            <w:tcW w:w="3240" w:type="dxa"/>
          </w:tcPr>
          <w:p w14:paraId="41754439" w14:textId="77777777" w:rsidR="003B5D5E" w:rsidRPr="003B5D5E" w:rsidRDefault="003B5D5E" w:rsidP="003B5D5E">
            <w:pPr>
              <w:rPr>
                <w:sz w:val="22"/>
                <w:szCs w:val="22"/>
              </w:rPr>
            </w:pPr>
            <w:r w:rsidRPr="003B5D5E">
              <w:rPr>
                <w:sz w:val="22"/>
                <w:szCs w:val="22"/>
              </w:rPr>
              <w:t>Terminal Growth Rate</w:t>
            </w:r>
          </w:p>
        </w:tc>
        <w:tc>
          <w:tcPr>
            <w:tcW w:w="6120" w:type="dxa"/>
          </w:tcPr>
          <w:p w14:paraId="4AC706A3" w14:textId="77777777" w:rsidR="003B5D5E" w:rsidRPr="003B5D5E" w:rsidRDefault="003B5D5E" w:rsidP="003B5D5E">
            <w:pPr>
              <w:rPr>
                <w:sz w:val="22"/>
                <w:szCs w:val="22"/>
              </w:rPr>
            </w:pPr>
            <w:r w:rsidRPr="003B5D5E">
              <w:rPr>
                <w:sz w:val="22"/>
                <w:szCs w:val="22"/>
              </w:rPr>
              <w:t>Long-term sustainable growth assumption used for terminal value calculation.</w:t>
            </w:r>
          </w:p>
        </w:tc>
      </w:tr>
    </w:tbl>
    <w:p w14:paraId="32E81A16" w14:textId="77777777" w:rsidR="00D250FB" w:rsidRDefault="00D250FB"/>
    <w:p w14:paraId="03FF4763" w14:textId="77777777" w:rsidR="00D664CF" w:rsidRDefault="00D664CF"/>
    <w:p w14:paraId="3944073B" w14:textId="77777777" w:rsidR="003B5D5E" w:rsidRPr="003B5D5E" w:rsidRDefault="003B5D5E" w:rsidP="003B5D5E">
      <w:pPr>
        <w:rPr>
          <w:b/>
          <w:bCs/>
          <w:sz w:val="22"/>
          <w:szCs w:val="22"/>
        </w:rPr>
      </w:pPr>
      <w:r w:rsidRPr="003B5D5E">
        <w:rPr>
          <w:b/>
          <w:bCs/>
          <w:sz w:val="22"/>
          <w:szCs w:val="22"/>
        </w:rPr>
        <w:t>Assumptions Interpretation</w:t>
      </w:r>
    </w:p>
    <w:p w14:paraId="01D6220D" w14:textId="77777777" w:rsidR="003B5D5E" w:rsidRPr="003B5D5E" w:rsidRDefault="003B5D5E" w:rsidP="003B5D5E">
      <w:pPr>
        <w:rPr>
          <w:sz w:val="22"/>
          <w:szCs w:val="22"/>
        </w:rPr>
      </w:pPr>
      <w:r w:rsidRPr="003B5D5E">
        <w:rPr>
          <w:sz w:val="22"/>
          <w:szCs w:val="22"/>
        </w:rPr>
        <w:t>The forecast assumptions reflect a conservative and sustainable growth outlook for Apple. Revenue growth gradually moderates over the forecast period, while operating margins remain strong due to Apple's established market position and operational efficiency. The assumptions also incorporate continued investments in innovation and capital assets to support long-term growth initiatives.</w:t>
      </w:r>
    </w:p>
    <w:p w14:paraId="0EE5085E" w14:textId="77777777" w:rsidR="003B5D5E" w:rsidRPr="003B5D5E" w:rsidRDefault="003B5D5E" w:rsidP="003B5D5E">
      <w:pPr>
        <w:rPr>
          <w:sz w:val="22"/>
          <w:szCs w:val="22"/>
        </w:rPr>
      </w:pPr>
      <w:r w:rsidRPr="003B5D5E">
        <w:rPr>
          <w:sz w:val="22"/>
          <w:szCs w:val="22"/>
        </w:rPr>
        <w:t>Your document is shaping up very well and already resembles a professional investment banking or equity research modeling report.</w:t>
      </w:r>
    </w:p>
    <w:p w14:paraId="1D4B905D" w14:textId="77777777" w:rsidR="00D664CF" w:rsidRPr="003B5D5E" w:rsidRDefault="00D664CF">
      <w:pPr>
        <w:rPr>
          <w:sz w:val="22"/>
          <w:szCs w:val="22"/>
        </w:rPr>
      </w:pPr>
    </w:p>
    <w:sectPr w:rsidR="00D664CF" w:rsidRPr="003B5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0FB"/>
    <w:rsid w:val="000741C0"/>
    <w:rsid w:val="002F5F09"/>
    <w:rsid w:val="003B5D5E"/>
    <w:rsid w:val="00781995"/>
    <w:rsid w:val="00BA670A"/>
    <w:rsid w:val="00D250FB"/>
    <w:rsid w:val="00D66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8FF0F"/>
  <w15:chartTrackingRefBased/>
  <w15:docId w15:val="{72AF4939-18D5-4E9B-AEE5-6B4CD272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0FB"/>
    <w:rPr>
      <w:rFonts w:eastAsiaTheme="majorEastAsia" w:cstheme="majorBidi"/>
      <w:color w:val="272727" w:themeColor="text1" w:themeTint="D8"/>
    </w:rPr>
  </w:style>
  <w:style w:type="paragraph" w:styleId="Title">
    <w:name w:val="Title"/>
    <w:basedOn w:val="Normal"/>
    <w:next w:val="Normal"/>
    <w:link w:val="TitleChar"/>
    <w:uiPriority w:val="10"/>
    <w:qFormat/>
    <w:rsid w:val="00D25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0FB"/>
    <w:pPr>
      <w:spacing w:before="160"/>
      <w:jc w:val="center"/>
    </w:pPr>
    <w:rPr>
      <w:i/>
      <w:iCs/>
      <w:color w:val="404040" w:themeColor="text1" w:themeTint="BF"/>
    </w:rPr>
  </w:style>
  <w:style w:type="character" w:customStyle="1" w:styleId="QuoteChar">
    <w:name w:val="Quote Char"/>
    <w:basedOn w:val="DefaultParagraphFont"/>
    <w:link w:val="Quote"/>
    <w:uiPriority w:val="29"/>
    <w:rsid w:val="00D250FB"/>
    <w:rPr>
      <w:i/>
      <w:iCs/>
      <w:color w:val="404040" w:themeColor="text1" w:themeTint="BF"/>
    </w:rPr>
  </w:style>
  <w:style w:type="paragraph" w:styleId="ListParagraph">
    <w:name w:val="List Paragraph"/>
    <w:basedOn w:val="Normal"/>
    <w:uiPriority w:val="34"/>
    <w:qFormat/>
    <w:rsid w:val="00D250FB"/>
    <w:pPr>
      <w:ind w:left="720"/>
      <w:contextualSpacing/>
    </w:pPr>
  </w:style>
  <w:style w:type="character" w:styleId="IntenseEmphasis">
    <w:name w:val="Intense Emphasis"/>
    <w:basedOn w:val="DefaultParagraphFont"/>
    <w:uiPriority w:val="21"/>
    <w:qFormat/>
    <w:rsid w:val="00D250FB"/>
    <w:rPr>
      <w:i/>
      <w:iCs/>
      <w:color w:val="0F4761" w:themeColor="accent1" w:themeShade="BF"/>
    </w:rPr>
  </w:style>
  <w:style w:type="paragraph" w:styleId="IntenseQuote">
    <w:name w:val="Intense Quote"/>
    <w:basedOn w:val="Normal"/>
    <w:next w:val="Normal"/>
    <w:link w:val="IntenseQuoteChar"/>
    <w:uiPriority w:val="30"/>
    <w:qFormat/>
    <w:rsid w:val="00D25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0FB"/>
    <w:rPr>
      <w:i/>
      <w:iCs/>
      <w:color w:val="0F4761" w:themeColor="accent1" w:themeShade="BF"/>
    </w:rPr>
  </w:style>
  <w:style w:type="character" w:styleId="IntenseReference">
    <w:name w:val="Intense Reference"/>
    <w:basedOn w:val="DefaultParagraphFont"/>
    <w:uiPriority w:val="32"/>
    <w:qFormat/>
    <w:rsid w:val="00D250FB"/>
    <w:rPr>
      <w:b/>
      <w:bCs/>
      <w:smallCaps/>
      <w:color w:val="0F4761" w:themeColor="accent1" w:themeShade="BF"/>
      <w:spacing w:val="5"/>
    </w:rPr>
  </w:style>
  <w:style w:type="table" w:styleId="TableGrid">
    <w:name w:val="Table Grid"/>
    <w:basedOn w:val="TableNormal"/>
    <w:uiPriority w:val="39"/>
    <w:rsid w:val="00D25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741C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2">
    <w:name w:val="Grid Table 5 Dark Accent 2"/>
    <w:basedOn w:val="TableNormal"/>
    <w:uiPriority w:val="50"/>
    <w:rsid w:val="000741C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6">
    <w:name w:val="Grid Table 5 Dark Accent 6"/>
    <w:basedOn w:val="TableNormal"/>
    <w:uiPriority w:val="50"/>
    <w:rsid w:val="000741C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5Dark-Accent4">
    <w:name w:val="Grid Table 5 Dark Accent 4"/>
    <w:basedOn w:val="TableNormal"/>
    <w:uiPriority w:val="50"/>
    <w:rsid w:val="000741C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
    <w:name w:val="Grid Table 5 Dark"/>
    <w:basedOn w:val="TableNormal"/>
    <w:uiPriority w:val="50"/>
    <w:rsid w:val="000741C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741C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3">
    <w:name w:val="Grid Table 5 Dark Accent 3"/>
    <w:basedOn w:val="TableNormal"/>
    <w:uiPriority w:val="50"/>
    <w:rsid w:val="000741C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PlainTable5">
    <w:name w:val="Plain Table 5"/>
    <w:basedOn w:val="TableNormal"/>
    <w:uiPriority w:val="45"/>
    <w:rsid w:val="00BA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BA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A67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6">
    <w:name w:val="List Table 2 Accent 6"/>
    <w:basedOn w:val="TableNormal"/>
    <w:uiPriority w:val="47"/>
    <w:rsid w:val="00BA670A"/>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3</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Narkhede, Smriti Kishor</dc:creator>
  <cp:keywords/>
  <dc:description/>
  <cp:lastModifiedBy>Narkhede, Smriti Kishor</cp:lastModifiedBy>
  <cp:revision>2</cp:revision>
  <dcterms:created xsi:type="dcterms:W3CDTF">2026-07-01T16:53:00Z</dcterms:created>
  <dcterms:modified xsi:type="dcterms:W3CDTF">2026-07-01T21:01:00Z</dcterms:modified>
</cp:coreProperties>
</file>