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Apple Inc.</w:t>
      </w:r>
    </w:p>
    <w:p>
      <w:pPr>
        <w:pStyle w:val="Heading1"/>
      </w:pPr>
      <w:r>
        <w:t>Integrated Three-Statement Financial Model &amp; DCF Valuation</w:t>
      </w:r>
    </w:p>
    <w:p>
      <w:r>
        <w:t>This report presents a comprehensive financial modeling and valuation analysis of Apple Inc. using historical financial data, forecast assumptions, and Discounted Cash Flow (DCF) methodology.</w:t>
      </w:r>
    </w:p>
    <w:p>
      <w:pPr>
        <w:pStyle w:val="Heading1"/>
      </w:pPr>
      <w:r>
        <w:t>Historical Analysis</w:t>
      </w:r>
    </w:p>
    <w:p>
      <w:r>
        <w:t>The historical analysis examines Apple's financial performance from FY2023A to FY2025A and serves as the foundation for forecasting future performance.</w:t>
      </w:r>
    </w:p>
    <w:p>
      <w:pPr>
        <w:pStyle w:val="Heading1"/>
      </w:pPr>
      <w:r>
        <w:t>Assumptions</w:t>
      </w:r>
    </w:p>
    <w:p>
      <w:r>
        <w:t>Forecast assumptions were developed using historical trends and reasonable expectations regarding revenue growth, margins, working capital, capital expenditures, and long-term growth.</w:t>
      </w:r>
    </w:p>
    <w:p>
      <w:pPr>
        <w:pStyle w:val="Heading1"/>
      </w:pPr>
      <w:r>
        <w:t>Income Statement Analysis</w:t>
      </w:r>
    </w:p>
    <w:p>
      <w:r>
        <w:t>The projected Income Statement indicates steady revenue and earnings growth, reflecting strong profitability and continued investment in innovation.</w:t>
      </w:r>
    </w:p>
    <w:p>
      <w:pPr>
        <w:pStyle w:val="Heading1"/>
      </w:pPr>
      <w:r>
        <w:t>Balance Sheet Analysis</w:t>
      </w:r>
    </w:p>
    <w:p>
      <w:r>
        <w:t>The forecasted Balance Sheet reflects a strengthening financial position driven by growing cash balances, stable liabilities, and increasing shareholders' equity.</w:t>
      </w:r>
    </w:p>
    <w:p>
      <w:pPr>
        <w:pStyle w:val="Heading1"/>
      </w:pPr>
      <w:r>
        <w:t>Cash Flow Statement Analysis</w:t>
      </w:r>
    </w:p>
    <w:p>
      <w:r>
        <w:t>Apple is expected to continue generating strong operating cash flows and free cash flows, supporting long-term growth and liquidity.</w:t>
      </w:r>
    </w:p>
    <w:p>
      <w:pPr>
        <w:pStyle w:val="Heading1"/>
      </w:pPr>
      <w:r>
        <w:t>Supporting Schedules</w:t>
      </w:r>
    </w:p>
    <w:p>
      <w:r>
        <w:t>Supporting schedules provide detailed calculations for PP&amp;E, CapEx, and depreciation, ensuring model consistency.</w:t>
      </w:r>
    </w:p>
    <w:p>
      <w:pPr>
        <w:pStyle w:val="Heading1"/>
      </w:pPr>
      <w:r>
        <w:t>DCF Valuation</w:t>
      </w:r>
    </w:p>
    <w:p>
      <w:r>
        <w:t>A Discounted Cash Flow model was used to estimate intrinsic value using a WACC of 9.0% and a terminal growth rate of 2.5%.</w:t>
      </w:r>
    </w:p>
    <w:p>
      <w:pPr>
        <w:pStyle w:val="Heading1"/>
      </w:pPr>
      <w:r>
        <w:t>Sensitivity Analysis</w:t>
      </w:r>
    </w:p>
    <w:p>
      <w:r>
        <w:t>Sensitivity analysis evaluates the impact of changes in WACC and terminal growth assumptions on enterprise value.</w:t>
      </w:r>
    </w:p>
    <w:p>
      <w:pPr>
        <w:pStyle w:val="Heading1"/>
      </w:pPr>
      <w:r>
        <w:t>Conclusion</w:t>
      </w:r>
    </w:p>
    <w:p>
      <w:r>
        <w:t>Overall, the model suggests that Apple Inc. is expected to maintain strong financial performance, generate substantial free cash flows, and continue creating long-term shareholder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