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№4</w:t>
      </w:r>
    </w:p>
    <w:p>
      <w:pPr>
        <w:pStyle w:val="Subtitle"/>
      </w:pPr>
      <w:r>
        <w:t xml:space="preserve">Практикум по научному письму</w:t>
      </w:r>
    </w:p>
    <w:p>
      <w:pPr>
        <w:pStyle w:val="Author"/>
      </w:pPr>
      <w:r>
        <w:t xml:space="preserve">Роман Сергей Михайлович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Узнать о LaTeX, продолжить изучение его возможностей. Добавить графику из внешнего источника в LaTeX.</w:t>
      </w:r>
    </w:p>
    <w:bookmarkEnd w:id="9"/>
    <w:bookmarkStart w:id="10" w:name="задание"/>
    <w:p>
      <w:pPr>
        <w:pStyle w:val="Heading1"/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Добавить графику из внешнего источника в LaTeX.</w:t>
      </w:r>
    </w:p>
    <w:p>
      <w:pPr>
        <w:pStyle w:val="Compact"/>
        <w:numPr>
          <w:ilvl w:val="0"/>
          <w:numId w:val="1001"/>
        </w:numPr>
      </w:pPr>
      <w:r>
        <w:t xml:space="preserve">Освоить новый графический пакет.</w:t>
      </w:r>
    </w:p>
    <w:p>
      <w:pPr>
        <w:pStyle w:val="Compact"/>
        <w:numPr>
          <w:ilvl w:val="0"/>
          <w:numId w:val="1001"/>
        </w:numPr>
      </w:pPr>
      <w:r>
        <w:t xml:space="preserve">Научиться оформлять изображения в LaTeX.</w:t>
      </w:r>
    </w:p>
    <w:bookmarkEnd w:id="10"/>
    <w:bookmarkStart w:id="43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p>
      <w:pPr>
        <w:pStyle w:val="FirstParagraph"/>
      </w:pPr>
      <w:r>
        <w:t xml:space="preserve">здесь мы использовали новую среду, center, чтобы расположить изображение горизонтально по центру страницы.</w:t>
      </w:r>
      <w:r>
        <w:t xml:space="preserve"> </w:t>
      </w:r>
    </w:p>
    <w:bookmarkStart w:id="14" w:name="fig:001"/>
    <w:p>
      <w:pPr>
        <w:pStyle w:val="CaptionedFigure"/>
      </w:pPr>
      <w:r>
        <w:drawing>
          <wp:inline>
            <wp:extent cx="3733800" cy="1244600"/>
            <wp:effectExtent b="0" l="0" r="0" t="0"/>
            <wp:docPr descr="Рис. 1: Программа 1" title="" id="12" name="Picture"/>
            <a:graphic>
              <a:graphicData uri="http://schemas.openxmlformats.org/drawingml/2006/picture">
                <pic:pic>
                  <pic:nvPicPr>
                    <pic:cNvPr descr="image/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4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Программа 1</w:t>
      </w:r>
    </w:p>
    <w:bookmarkEnd w:id="14"/>
    <w:p>
      <w:pPr>
        <w:pStyle w:val="BodyText"/>
      </w:pPr>
      <w:r>
        <w:t xml:space="preserve">LaTeX автоматически масштабирует изображение, чтобы сохранить соотношение сторон.</w:t>
      </w:r>
      <w:r>
        <w:t xml:space="preserve"> </w:t>
      </w:r>
    </w:p>
    <w:bookmarkStart w:id="18" w:name="fig:002"/>
    <w:p>
      <w:pPr>
        <w:pStyle w:val="CaptionedFigure"/>
      </w:pPr>
      <w:r>
        <w:drawing>
          <wp:inline>
            <wp:extent cx="3733800" cy="1681406"/>
            <wp:effectExtent b="0" l="0" r="0" t="0"/>
            <wp:docPr descr="Рис. 2: Программа 2" title="" id="16" name="Picture"/>
            <a:graphic>
              <a:graphicData uri="http://schemas.openxmlformats.org/drawingml/2006/picture">
                <pic:pic>
                  <pic:nvPicPr>
                    <pic:cNvPr descr="image/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81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Программа 2</w:t>
      </w:r>
    </w:p>
    <w:bookmarkEnd w:id="18"/>
    <w:p>
      <w:pPr>
        <w:pStyle w:val="BodyText"/>
      </w:pPr>
      <w:r>
        <w:t xml:space="preserve">Можем масштабировать изображения или поворачивать их на определённый угол. Кроме того, можно обрезать изображение.</w:t>
      </w:r>
      <w:r>
        <w:t xml:space="preserve"> </w:t>
      </w:r>
    </w:p>
    <w:bookmarkStart w:id="22" w:name="fig:003"/>
    <w:p>
      <w:pPr>
        <w:pStyle w:val="CaptionedFigure"/>
      </w:pPr>
      <w:r>
        <w:drawing>
          <wp:inline>
            <wp:extent cx="3733800" cy="1148861"/>
            <wp:effectExtent b="0" l="0" r="0" t="0"/>
            <wp:docPr descr="Рис. 3: Программа 3" title="" id="20" name="Picture"/>
            <a:graphic>
              <a:graphicData uri="http://schemas.openxmlformats.org/drawingml/2006/picture">
                <pic:pic>
                  <pic:nvPicPr>
                    <pic:cNvPr descr="image/3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48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Программа 3</w:t>
      </w:r>
    </w:p>
    <w:bookmarkEnd w:id="22"/>
    <w:p>
      <w:pPr>
        <w:pStyle w:val="BodyText"/>
      </w:pPr>
      <w:r>
        <w:t xml:space="preserve">Традиционно при вёрстке, особенно в технических документах, графические элементы могут перемещаться в другое место документа. Это называется плавающим элементом.</w:t>
      </w:r>
      <w:r>
        <w:t xml:space="preserve"> </w:t>
      </w:r>
    </w:p>
    <w:bookmarkStart w:id="26" w:name="fig:004"/>
    <w:p>
      <w:pPr>
        <w:pStyle w:val="CaptionedFigure"/>
      </w:pPr>
      <w:r>
        <w:drawing>
          <wp:inline>
            <wp:extent cx="3733800" cy="1675423"/>
            <wp:effectExtent b="0" l="0" r="0" t="0"/>
            <wp:docPr descr="Рис. 4: Программа 4" title="" id="24" name="Picture"/>
            <a:graphic>
              <a:graphicData uri="http://schemas.openxmlformats.org/drawingml/2006/picture">
                <pic:pic>
                  <pic:nvPicPr>
                    <pic:cNvPr descr="image/4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754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Программа 4</w:t>
      </w:r>
    </w:p>
    <w:bookmarkEnd w:id="26"/>
    <w:p>
      <w:pPr>
        <w:pStyle w:val="BodyText"/>
      </w:pPr>
      <w:r>
        <w:t xml:space="preserve">Часто требуется, чтобы рисунок отображался в выводе именно там, где он находится во входных данных. Пакет float позволяет это сделать при помощи опции H.</w:t>
      </w:r>
      <w:r>
        <w:t xml:space="preserve"> </w:t>
      </w:r>
    </w:p>
    <w:bookmarkStart w:id="30" w:name="fig:005"/>
    <w:p>
      <w:pPr>
        <w:pStyle w:val="CaptionedFigure"/>
      </w:pPr>
      <w:r>
        <w:drawing>
          <wp:inline>
            <wp:extent cx="3733800" cy="1669439"/>
            <wp:effectExtent b="0" l="0" r="0" t="0"/>
            <wp:docPr descr="Рис. 5: Программа 5" title="" id="28" name="Picture"/>
            <a:graphic>
              <a:graphicData uri="http://schemas.openxmlformats.org/drawingml/2006/picture">
                <pic:pic>
                  <pic:nvPicPr>
                    <pic:cNvPr descr="image/5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69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Программа 5</w:t>
      </w:r>
    </w:p>
    <w:bookmarkEnd w:id="30"/>
    <w:p>
      <w:pPr>
        <w:pStyle w:val="BodyText"/>
      </w:pPr>
      <w:r>
        <w:t xml:space="preserve">Если нам необходимо несколько сред, это можно сделать с помощью пакета trivfloat. Он предоставляет единую команду \trivfloat для создания новых типов плавающей среды</w:t>
      </w:r>
      <w:r>
        <w:t xml:space="preserve"> </w:t>
      </w:r>
    </w:p>
    <w:bookmarkStart w:id="34" w:name="fig:006"/>
    <w:p>
      <w:pPr>
        <w:pStyle w:val="CaptionedFigure"/>
      </w:pPr>
      <w:r>
        <w:drawing>
          <wp:inline>
            <wp:extent cx="3733800" cy="1723292"/>
            <wp:effectExtent b="0" l="0" r="0" t="0"/>
            <wp:docPr descr="Рис. 6: Программа 6" title="" id="32" name="Picture"/>
            <a:graphic>
              <a:graphicData uri="http://schemas.openxmlformats.org/drawingml/2006/picture">
                <pic:pic>
                  <pic:nvPicPr>
                    <pic:cNvPr descr="image/6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23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Программа 6</w:t>
      </w:r>
    </w:p>
    <w:bookmarkEnd w:id="34"/>
    <w:p>
      <w:pPr>
        <w:pStyle w:val="BodyText"/>
      </w:pPr>
      <w:r>
        <w:t xml:space="preserve">При написании документа любой длины вам понадобится ссылаться на пронумерованные элементы, такие как рисунки, таблицы или уравнения.LaTeX может автоматически добавлять нужные номера.</w:t>
      </w:r>
      <w:r>
        <w:t xml:space="preserve"> </w:t>
      </w:r>
    </w:p>
    <w:bookmarkStart w:id="38" w:name="fig:007"/>
    <w:p>
      <w:pPr>
        <w:pStyle w:val="CaptionedFigure"/>
      </w:pPr>
      <w:r>
        <w:drawing>
          <wp:inline>
            <wp:extent cx="3733800" cy="1400175"/>
            <wp:effectExtent b="0" l="0" r="0" t="0"/>
            <wp:docPr descr="Рис. 7: Программа 7" title="" id="36" name="Picture"/>
            <a:graphic>
              <a:graphicData uri="http://schemas.openxmlformats.org/drawingml/2006/picture">
                <pic:pic>
                  <pic:nvPicPr>
                    <pic:cNvPr descr="image/7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00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Программа 7</w:t>
      </w:r>
    </w:p>
    <w:bookmarkEnd w:id="38"/>
    <w:p>
      <w:pPr>
        <w:pStyle w:val="BodyText"/>
      </w:pPr>
      <w:r>
        <w:t xml:space="preserve">Превратим перекрестные ссылки в гиперссылки с помощью пакета hyperref.</w:t>
      </w:r>
    </w:p>
    <w:bookmarkStart w:id="42" w:name="fig:008"/>
    <w:p>
      <w:pPr>
        <w:pStyle w:val="CaptionedFigure"/>
      </w:pPr>
      <w:r>
        <w:drawing>
          <wp:inline>
            <wp:extent cx="3733800" cy="1759194"/>
            <wp:effectExtent b="0" l="0" r="0" t="0"/>
            <wp:docPr descr="Рис. 8: Программа 8" title="" id="40" name="Picture"/>
            <a:graphic>
              <a:graphicData uri="http://schemas.openxmlformats.org/drawingml/2006/picture">
                <pic:pic>
                  <pic:nvPicPr>
                    <pic:cNvPr descr="image/8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591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Программа 8</w:t>
      </w:r>
    </w:p>
    <w:bookmarkEnd w:id="42"/>
    <w:p>
      <w:pPr>
        <w:pStyle w:val="BodyText"/>
      </w:pPr>
      <w:r>
        <w:t xml:space="preserve">На этом лабораторная работа закончена.</w:t>
      </w:r>
    </w:p>
    <w:bookmarkEnd w:id="43"/>
    <w:bookmarkStart w:id="44" w:name="выводы"/>
    <w:p>
      <w:pPr>
        <w:pStyle w:val="Heading1"/>
      </w:pPr>
      <w:r>
        <w:t xml:space="preserve">Выводы</w:t>
      </w:r>
    </w:p>
    <w:p>
      <w:pPr>
        <w:pStyle w:val="Compact"/>
        <w:numPr>
          <w:ilvl w:val="0"/>
          <w:numId w:val="1002"/>
        </w:numPr>
      </w:pPr>
      <w:r>
        <w:t xml:space="preserve">Добавил графику из внешнего источника в LaTeX.</w:t>
      </w:r>
    </w:p>
    <w:p>
      <w:pPr>
        <w:pStyle w:val="Compact"/>
        <w:numPr>
          <w:ilvl w:val="0"/>
          <w:numId w:val="1002"/>
        </w:numPr>
      </w:pPr>
      <w:r>
        <w:t xml:space="preserve">Освоил новый графический пакет.</w:t>
      </w:r>
    </w:p>
    <w:p>
      <w:pPr>
        <w:pStyle w:val="Compact"/>
        <w:numPr>
          <w:ilvl w:val="0"/>
          <w:numId w:val="1002"/>
        </w:numPr>
      </w:pPr>
      <w:r>
        <w:t xml:space="preserve">Научился оформлять изображения в LaTeX.</w:t>
      </w:r>
    </w:p>
    <w:bookmarkEnd w:id="44"/>
    <w:bookmarkStart w:id="45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FirstParagraph"/>
      </w:pPr>
      <w:r>
        <w:t xml:space="preserve">Лабораторная работа №4</w:t>
      </w:r>
      <w:r>
        <w:t xml:space="preserve"> </w:t>
      </w:r>
      <w:r>
        <w:t xml:space="preserve">Практикум по научному письму [Электронный ресурс]. URL: https://esystem.rudn.ru/pluginfile.php/2862317/mod_folder/content/0/Practical-scientific-writing.pdf</w:t>
      </w:r>
    </w:p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№4</dc:title>
  <dc:creator>Роман Сергей Михайлович</dc:creator>
  <dc:language>ru-RU</dc:language>
  <cp:keywords/>
  <dcterms:created xsi:type="dcterms:W3CDTF">2026-02-16T14:14:57Z</dcterms:created>
  <dcterms:modified xsi:type="dcterms:W3CDTF">2026-02-16T14:14:57Z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DisplayTemplate">
    <vt:lpwstr>e</vt:lpwstr>
  </property>
  <property fmtid="{D5CDD505-2E9C-101B-9397-08002B2CF9AE}" pid="25" name="eqnIndexTemplate">
    <vt:lpwstr>(i)</vt:lpwstr>
  </property>
  <property fmtid="{D5CDD505-2E9C-101B-9397-08002B2CF9AE}" pid="26" name="eqnInlineTableTemplate">
    <vt:lpwstr>e</vt:lpwstr>
  </property>
  <property fmtid="{D5CDD505-2E9C-101B-9397-08002B2CF9AE}" pid="27" name="eqnInlineTemplate">
    <vt:lpwstr>eequationNumberTeX{i}</vt:lpwstr>
  </property>
  <property fmtid="{D5CDD505-2E9C-101B-9397-08002B2CF9AE}" pid="28" name="eqnPrefix">
    <vt:lpwstr/>
  </property>
  <property fmtid="{D5CDD505-2E9C-101B-9397-08002B2CF9AE}" pid="29" name="eqnPrefixTemplate">
    <vt:lpwstr>p i</vt:lpwstr>
  </property>
  <property fmtid="{D5CDD505-2E9C-101B-9397-08002B2CF9AE}" pid="30" name="equationNumberTeX">
    <vt:lpwstr>\qquad</vt:lpwstr>
  </property>
  <property fmtid="{D5CDD505-2E9C-101B-9397-08002B2CF9AE}" pid="31" name="figLabels">
    <vt:lpwstr>arabic</vt:lpwstr>
  </property>
  <property fmtid="{D5CDD505-2E9C-101B-9397-08002B2CF9AE}" pid="32" name="figPrefix">
    <vt:lpwstr/>
  </property>
  <property fmtid="{D5CDD505-2E9C-101B-9397-08002B2CF9AE}" pid="33" name="figPrefixTemplate">
    <vt:lpwstr>p i</vt:lpwstr>
  </property>
  <property fmtid="{D5CDD505-2E9C-101B-9397-08002B2CF9AE}" pid="34" name="figureTemplate">
    <vt:lpwstr>figureTitle ititleDelim t</vt:lpwstr>
  </property>
  <property fmtid="{D5CDD505-2E9C-101B-9397-08002B2CF9AE}" pid="35" name="figureTitle">
    <vt:lpwstr>Рис.</vt:lpwstr>
  </property>
  <property fmtid="{D5CDD505-2E9C-101B-9397-08002B2CF9AE}" pid="36" name="fontsize">
    <vt:lpwstr>12pt</vt:lpwstr>
  </property>
  <property fmtid="{D5CDD505-2E9C-101B-9397-08002B2CF9AE}" pid="37" name="header-includes">
    <vt:lpwstr/>
  </property>
  <property fmtid="{D5CDD505-2E9C-101B-9397-08002B2CF9AE}" pid="38" name="indent">
    <vt:lpwstr>True</vt:lpwstr>
  </property>
  <property fmtid="{D5CDD505-2E9C-101B-9397-08002B2CF9AE}" pid="39" name="lastDelim">
    <vt:lpwstr>, </vt:lpwstr>
  </property>
  <property fmtid="{D5CDD505-2E9C-101B-9397-08002B2CF9AE}" pid="40" name="linestretch">
    <vt:lpwstr>1.5</vt:lpwstr>
  </property>
  <property fmtid="{D5CDD505-2E9C-101B-9397-08002B2CF9AE}" pid="41" name="linkReferences">
    <vt:lpwstr>False</vt:lpwstr>
  </property>
  <property fmtid="{D5CDD505-2E9C-101B-9397-08002B2CF9AE}" pid="42" name="listItemTitleDelim">
    <vt:lpwstr>.</vt:lpwstr>
  </property>
  <property fmtid="{D5CDD505-2E9C-101B-9397-08002B2CF9AE}" pid="43" name="listingTemplate">
    <vt:lpwstr>listingTitle ititleDelim t</vt:lpwstr>
  </property>
  <property fmtid="{D5CDD505-2E9C-101B-9397-08002B2CF9AE}" pid="44" name="listingTitle">
    <vt:lpwstr>Листинг</vt:lpwstr>
  </property>
  <property fmtid="{D5CDD505-2E9C-101B-9397-08002B2CF9AE}" pid="45" name="listings">
    <vt:lpwstr>False</vt:lpwstr>
  </property>
  <property fmtid="{D5CDD505-2E9C-101B-9397-08002B2CF9AE}" pid="46" name="lof">
    <vt:lpwstr>True</vt:lpwstr>
  </property>
  <property fmtid="{D5CDD505-2E9C-101B-9397-08002B2CF9AE}" pid="47" name="lofItemTemplate">
    <vt:lpwstr>lofItemTitleilistItemTitleDelimt </vt:lpwstr>
  </property>
  <property fmtid="{D5CDD505-2E9C-101B-9397-08002B2CF9AE}" pid="48" name="lofItemTitle">
    <vt:lpwstr/>
  </property>
  <property fmtid="{D5CDD505-2E9C-101B-9397-08002B2CF9AE}" pid="49" name="lofTitle">
    <vt:lpwstr>Список иллюстраций</vt:lpwstr>
  </property>
  <property fmtid="{D5CDD505-2E9C-101B-9397-08002B2CF9AE}" pid="50" name="lolItemTemplate">
    <vt:lpwstr>lolItemTitleilistItemTitleDelimt </vt:lpwstr>
  </property>
  <property fmtid="{D5CDD505-2E9C-101B-9397-08002B2CF9AE}" pid="51" name="lolItemTitle">
    <vt:lpwstr/>
  </property>
  <property fmtid="{D5CDD505-2E9C-101B-9397-08002B2CF9AE}" pid="52" name="lolTitle">
    <vt:lpwstr>Листинги</vt:lpwstr>
  </property>
  <property fmtid="{D5CDD505-2E9C-101B-9397-08002B2CF9AE}" pid="53" name="lotItemTemplate">
    <vt:lpwstr>lotItemTitleilistItemTitleDelimt </vt:lpwstr>
  </property>
  <property fmtid="{D5CDD505-2E9C-101B-9397-08002B2CF9AE}" pid="54" name="lotItemTitle">
    <vt:lpwstr/>
  </property>
  <property fmtid="{D5CDD505-2E9C-101B-9397-08002B2CF9AE}" pid="55" name="lotTitle">
    <vt:lpwstr>List of Tables</vt:lpwstr>
  </property>
  <property fmtid="{D5CDD505-2E9C-101B-9397-08002B2CF9AE}" pid="56" name="lstLabels">
    <vt:lpwstr>arabic</vt:lpwstr>
  </property>
  <property fmtid="{D5CDD505-2E9C-101B-9397-08002B2CF9AE}" pid="57" name="lstPrefix">
    <vt:lpwstr/>
  </property>
  <property fmtid="{D5CDD505-2E9C-101B-9397-08002B2CF9AE}" pid="58" name="lstPrefixTemplate">
    <vt:lpwstr>p i</vt:lpwstr>
  </property>
  <property fmtid="{D5CDD505-2E9C-101B-9397-08002B2CF9AE}" pid="59" name="mainfont">
    <vt:lpwstr>IBM Plex Serif</vt:lpwstr>
  </property>
  <property fmtid="{D5CDD505-2E9C-101B-9397-08002B2CF9AE}" pid="60" name="mainfontoptions">
    <vt:lpwstr>Ligatures=Common,Ligatures=TeX,Scale=0.94</vt:lpwstr>
  </property>
  <property fmtid="{D5CDD505-2E9C-101B-9397-08002B2CF9AE}" pid="61" name="mathfont">
    <vt:lpwstr>STIX Two Math</vt:lpwstr>
  </property>
  <property fmtid="{D5CDD505-2E9C-101B-9397-08002B2CF9AE}" pid="62" name="mathfontoptions">
    <vt:lpwstr/>
  </property>
  <property fmtid="{D5CDD505-2E9C-101B-9397-08002B2CF9AE}" pid="63" name="monofont">
    <vt:lpwstr>IBM Plex Mono</vt:lpwstr>
  </property>
  <property fmtid="{D5CDD505-2E9C-101B-9397-08002B2CF9AE}" pid="64" name="monofontoptions">
    <vt:lpwstr>Scale=MatchLowercase,Scale=0.94,FakeStretch=0.9</vt:lpwstr>
  </property>
  <property fmtid="{D5CDD505-2E9C-101B-9397-08002B2CF9AE}" pid="65" name="nameInLink">
    <vt:lpwstr>False</vt:lpwstr>
  </property>
  <property fmtid="{D5CDD505-2E9C-101B-9397-08002B2CF9AE}" pid="66" name="numberSections">
    <vt:lpwstr>False</vt:lpwstr>
  </property>
  <property fmtid="{D5CDD505-2E9C-101B-9397-08002B2CF9AE}" pid="67" name="pairDelim">
    <vt:lpwstr>, </vt:lpwstr>
  </property>
  <property fmtid="{D5CDD505-2E9C-101B-9397-08002B2CF9AE}" pid="68" name="papersize">
    <vt:lpwstr>a4</vt:lpwstr>
  </property>
  <property fmtid="{D5CDD505-2E9C-101B-9397-08002B2CF9AE}" pid="69" name="polyglossia-lang">
    <vt:lpwstr/>
  </property>
  <property fmtid="{D5CDD505-2E9C-101B-9397-08002B2CF9AE}" pid="70" name="polyglossia-otherlangs">
    <vt:lpwstr/>
  </property>
  <property fmtid="{D5CDD505-2E9C-101B-9397-08002B2CF9AE}" pid="71" name="rangeDelim">
    <vt:lpwstr>-</vt:lpwstr>
  </property>
  <property fmtid="{D5CDD505-2E9C-101B-9397-08002B2CF9AE}" pid="72" name="refDelim">
    <vt:lpwstr>, </vt:lpwstr>
  </property>
  <property fmtid="{D5CDD505-2E9C-101B-9397-08002B2CF9AE}" pid="73" name="refIndexTemplate">
    <vt:lpwstr>isuf</vt:lpwstr>
  </property>
  <property fmtid="{D5CDD505-2E9C-101B-9397-08002B2CF9AE}" pid="74" name="romanfont">
    <vt:lpwstr>IBM Plex Serif</vt:lpwstr>
  </property>
  <property fmtid="{D5CDD505-2E9C-101B-9397-08002B2CF9AE}" pid="75" name="romanfontoptions">
    <vt:lpwstr>Ligatures=Common,Ligatures=TeX,Scale=0.94</vt:lpwstr>
  </property>
  <property fmtid="{D5CDD505-2E9C-101B-9397-08002B2CF9AE}" pid="76" name="sansfont">
    <vt:lpwstr>IBM Plex Sans</vt:lpwstr>
  </property>
  <property fmtid="{D5CDD505-2E9C-101B-9397-08002B2CF9AE}" pid="77" name="sansfontoptions">
    <vt:lpwstr>Ligatures=Common,Ligatures=TeX,Scale=MatchLowercase,Scale=0.94</vt:lpwstr>
  </property>
  <property fmtid="{D5CDD505-2E9C-101B-9397-08002B2CF9AE}" pid="78" name="secHeaderDelim">
    <vt:lpwstr> </vt:lpwstr>
  </property>
  <property fmtid="{D5CDD505-2E9C-101B-9397-08002B2CF9AE}" pid="79" name="secHeaderTemplate">
    <vt:lpwstr>isecHeaderDelim[n]t</vt:lpwstr>
  </property>
  <property fmtid="{D5CDD505-2E9C-101B-9397-08002B2CF9AE}" pid="80" name="secLabels">
    <vt:lpwstr>arabic</vt:lpwstr>
  </property>
  <property fmtid="{D5CDD505-2E9C-101B-9397-08002B2CF9AE}" pid="81" name="secPrefix">
    <vt:lpwstr/>
  </property>
  <property fmtid="{D5CDD505-2E9C-101B-9397-08002B2CF9AE}" pid="82" name="secPrefixTemplate">
    <vt:lpwstr>p i</vt:lpwstr>
  </property>
  <property fmtid="{D5CDD505-2E9C-101B-9397-08002B2CF9AE}" pid="83" name="sectionsDepth">
    <vt:lpwstr>0</vt:lpwstr>
  </property>
  <property fmtid="{D5CDD505-2E9C-101B-9397-08002B2CF9AE}" pid="84" name="subfigGrid">
    <vt:lpwstr>False</vt:lpwstr>
  </property>
  <property fmtid="{D5CDD505-2E9C-101B-9397-08002B2CF9AE}" pid="85" name="subfigLabels">
    <vt:lpwstr>alpha a</vt:lpwstr>
  </property>
  <property fmtid="{D5CDD505-2E9C-101B-9397-08002B2CF9AE}" pid="86" name="subfigureChildTemplate">
    <vt:lpwstr>i</vt:lpwstr>
  </property>
  <property fmtid="{D5CDD505-2E9C-101B-9397-08002B2CF9AE}" pid="87" name="subfigureRefIndexTemplate">
    <vt:lpwstr>isuf (s)</vt:lpwstr>
  </property>
  <property fmtid="{D5CDD505-2E9C-101B-9397-08002B2CF9AE}" pid="88" name="subfigureTemplate">
    <vt:lpwstr>figureTitle ititleDelim t. ccs</vt:lpwstr>
  </property>
  <property fmtid="{D5CDD505-2E9C-101B-9397-08002B2CF9AE}" pid="89" name="subtitle">
    <vt:lpwstr>Практикум по научному письму</vt:lpwstr>
  </property>
  <property fmtid="{D5CDD505-2E9C-101B-9397-08002B2CF9AE}" pid="90" name="tableEqns">
    <vt:lpwstr>False</vt:lpwstr>
  </property>
  <property fmtid="{D5CDD505-2E9C-101B-9397-08002B2CF9AE}" pid="91" name="tableTemplate">
    <vt:lpwstr>tableTitle ititleDelim t</vt:lpwstr>
  </property>
  <property fmtid="{D5CDD505-2E9C-101B-9397-08002B2CF9AE}" pid="92" name="tableTitle">
    <vt:lpwstr>Table</vt:lpwstr>
  </property>
  <property fmtid="{D5CDD505-2E9C-101B-9397-08002B2CF9AE}" pid="93" name="tblLabels">
    <vt:lpwstr>arabic</vt:lpwstr>
  </property>
  <property fmtid="{D5CDD505-2E9C-101B-9397-08002B2CF9AE}" pid="94" name="tblPrefix">
    <vt:lpwstr/>
  </property>
  <property fmtid="{D5CDD505-2E9C-101B-9397-08002B2CF9AE}" pid="95" name="tblPrefixTemplate">
    <vt:lpwstr>p i</vt:lpwstr>
  </property>
  <property fmtid="{D5CDD505-2E9C-101B-9397-08002B2CF9AE}" pid="96" name="titleDelim">
    <vt:lpwstr>:</vt:lpwstr>
  </property>
  <property fmtid="{D5CDD505-2E9C-101B-9397-08002B2CF9AE}" pid="97" name="toc">
    <vt:lpwstr>True</vt:lpwstr>
  </property>
  <property fmtid="{D5CDD505-2E9C-101B-9397-08002B2CF9AE}" pid="98" name="toc-title">
    <vt:lpwstr>Содержание</vt:lpwstr>
  </property>
</Properties>
</file>