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5.png" ContentType="image/png"/>
  <Override PartName="/word/media/rId19.png" ContentType="image/png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№3</w:t>
      </w:r>
    </w:p>
    <w:p>
      <w:pPr>
        <w:pStyle w:val="Subtitle"/>
      </w:pPr>
      <w:r>
        <w:t xml:space="preserve">Практикум по научному письму</w:t>
      </w:r>
    </w:p>
    <w:p>
      <w:pPr>
        <w:pStyle w:val="Author"/>
      </w:pPr>
      <w:r>
        <w:t xml:space="preserve">Роман Сергей Михайлович</w:t>
      </w:r>
    </w:p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Узнать о математическом режиме LaTeX, о том, как вводить встроенные и отображаемые формулы, о расширениях, предоставляемых пакетом amsmath, и о том, как менять шрифты в математических формулах.</w:t>
      </w:r>
    </w:p>
    <w:bookmarkEnd w:id="9"/>
    <w:bookmarkStart w:id="10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Изучить новый режим</w:t>
      </w:r>
    </w:p>
    <w:p>
      <w:pPr>
        <w:pStyle w:val="Compact"/>
        <w:numPr>
          <w:ilvl w:val="0"/>
          <w:numId w:val="1001"/>
        </w:numPr>
      </w:pPr>
      <w:r>
        <w:t xml:space="preserve">Изучить все необходимые формулы и расширения, предоставляемые пакетом amsmath</w:t>
      </w:r>
    </w:p>
    <w:bookmarkEnd w:id="10"/>
    <w:bookmarkStart w:id="47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Для начала рассмотрим как написать математическую формулу.</w:t>
      </w:r>
    </w:p>
    <w:bookmarkStart w:id="14" w:name="fig:001"/>
    <w:p>
      <w:pPr>
        <w:pStyle w:val="CaptionedFigure"/>
      </w:pPr>
      <w:r>
        <w:drawing>
          <wp:inline>
            <wp:extent cx="3733800" cy="879597"/>
            <wp:effectExtent b="0" l="0" r="0" t="0"/>
            <wp:docPr descr="Программа 1" title="" id="12" name="Picture"/>
            <a:graphic>
              <a:graphicData uri="http://schemas.openxmlformats.org/drawingml/2006/picture">
                <pic:pic>
                  <pic:nvPicPr>
                    <pic:cNvPr descr="image/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795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1</w:t>
      </w:r>
    </w:p>
    <w:bookmarkEnd w:id="14"/>
    <w:p>
      <w:pPr>
        <w:pStyle w:val="BodyText"/>
      </w:pPr>
      <w:r>
        <w:t xml:space="preserve">Мы можем легко добавлять надстрочные и подстрочные символы. Они обозначаются как ^ и _, соответственно.</w:t>
      </w:r>
    </w:p>
    <w:bookmarkStart w:id="18" w:name="fig:002"/>
    <w:p>
      <w:pPr>
        <w:pStyle w:val="CaptionedFigure"/>
      </w:pPr>
      <w:r>
        <w:drawing>
          <wp:inline>
            <wp:extent cx="3733800" cy="472708"/>
            <wp:effectExtent b="0" l="0" r="0" t="0"/>
            <wp:docPr descr="Программа 2" title="" id="16" name="Picture"/>
            <a:graphic>
              <a:graphicData uri="http://schemas.openxmlformats.org/drawingml/2006/picture">
                <pic:pic>
                  <pic:nvPicPr>
                    <pic:cNvPr descr="image/2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727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2</w:t>
      </w:r>
    </w:p>
    <w:bookmarkEnd w:id="18"/>
    <w:p>
      <w:pPr>
        <w:pStyle w:val="BodyText"/>
      </w:pPr>
      <w:r>
        <w:t xml:space="preserve">Существует множество специализированных команд для математического режима.</w:t>
      </w:r>
    </w:p>
    <w:bookmarkStart w:id="22" w:name="fig:003"/>
    <w:p>
      <w:pPr>
        <w:pStyle w:val="CaptionedFigure"/>
      </w:pPr>
      <w:r>
        <w:drawing>
          <wp:inline>
            <wp:extent cx="3733800" cy="915499"/>
            <wp:effectExtent b="0" l="0" r="0" t="0"/>
            <wp:docPr descr="Программа 3" title="" id="20" name="Picture"/>
            <a:graphic>
              <a:graphicData uri="http://schemas.openxmlformats.org/drawingml/2006/picture">
                <pic:pic>
                  <pic:nvPicPr>
                    <pic:cNvPr descr="image/3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15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3</w:t>
      </w:r>
    </w:p>
    <w:bookmarkEnd w:id="22"/>
    <w:p>
      <w:pPr>
        <w:pStyle w:val="BodyText"/>
      </w:pPr>
      <w:r>
        <w:t xml:space="preserve">Для отображения математических формул можно использовать те же команды, что и для встроенного математического режима.</w:t>
      </w:r>
    </w:p>
    <w:bookmarkStart w:id="26" w:name="fig:004"/>
    <w:p>
      <w:pPr>
        <w:pStyle w:val="CaptionedFigure"/>
      </w:pPr>
      <w:r>
        <w:drawing>
          <wp:inline>
            <wp:extent cx="3733800" cy="700087"/>
            <wp:effectExtent b="0" l="0" r="0" t="0"/>
            <wp:docPr descr="Программа 4" title="" id="24" name="Picture"/>
            <a:graphic>
              <a:graphicData uri="http://schemas.openxmlformats.org/drawingml/2006/picture">
                <pic:pic>
                  <pic:nvPicPr>
                    <pic:cNvPr descr="image/4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000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4</w:t>
      </w:r>
    </w:p>
    <w:bookmarkEnd w:id="26"/>
    <w:p>
      <w:pPr>
        <w:pStyle w:val="BodyText"/>
      </w:pPr>
      <w:r>
        <w:t xml:space="preserve">Пакет amsmath расширяет базовую поддержку, позволяя реализовать гораздо больше идей.</w:t>
      </w:r>
    </w:p>
    <w:bookmarkStart w:id="30" w:name="fig:005"/>
    <w:p>
      <w:pPr>
        <w:pStyle w:val="CaptionedFigure"/>
      </w:pPr>
      <w:r>
        <w:drawing>
          <wp:inline>
            <wp:extent cx="3733800" cy="819760"/>
            <wp:effectExtent b="0" l="0" r="0" t="0"/>
            <wp:docPr descr="Программа 5" title="" id="28" name="Picture"/>
            <a:graphic>
              <a:graphicData uri="http://schemas.openxmlformats.org/drawingml/2006/picture">
                <pic:pic>
                  <pic:nvPicPr>
                    <pic:cNvPr descr="image/5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197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5</w:t>
      </w:r>
    </w:p>
    <w:bookmarkEnd w:id="30"/>
    <w:p>
      <w:pPr>
        <w:pStyle w:val="BodyText"/>
      </w:pPr>
      <w:r>
        <w:t xml:space="preserve">В пакете также есть несколько других удобных сред, например для работы с матрицами.</w:t>
      </w:r>
    </w:p>
    <w:bookmarkStart w:id="34" w:name="fig:006"/>
    <w:p>
      <w:pPr>
        <w:pStyle w:val="CaptionedFigure"/>
      </w:pPr>
      <w:r>
        <w:drawing>
          <wp:inline>
            <wp:extent cx="3733800" cy="1681406"/>
            <wp:effectExtent b="0" l="0" r="0" t="0"/>
            <wp:docPr descr="Программа 6" title="" id="32" name="Picture"/>
            <a:graphic>
              <a:graphicData uri="http://schemas.openxmlformats.org/drawingml/2006/picture">
                <pic:pic>
                  <pic:nvPicPr>
                    <pic:cNvPr descr="image/6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81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6</w:t>
      </w:r>
    </w:p>
    <w:bookmarkEnd w:id="34"/>
    <w:p>
      <w:pPr>
        <w:pStyle w:val="BodyText"/>
      </w:pPr>
      <w:r>
        <w:t xml:space="preserve">Теперь рассмотрим способы использования шрифтов. В отличие от обычного текста, изменение шрифта в математическом режиме часто имеет особое значение. Поэтому такие изменения часто указываются явно. Для этого используется набор необходимых команд:</w:t>
      </w:r>
    </w:p>
    <w:bookmarkStart w:id="38" w:name="fig:007"/>
    <w:p>
      <w:pPr>
        <w:pStyle w:val="CaptionedFigure"/>
      </w:pPr>
      <w:r>
        <w:drawing>
          <wp:inline>
            <wp:extent cx="3733800" cy="1531815"/>
            <wp:effectExtent b="0" l="0" r="0" t="0"/>
            <wp:docPr descr="Программа 7" title="" id="36" name="Picture"/>
            <a:graphic>
              <a:graphicData uri="http://schemas.openxmlformats.org/drawingml/2006/picture">
                <pic:pic>
                  <pic:nvPicPr>
                    <pic:cNvPr descr="image/7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318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7</w:t>
      </w:r>
    </w:p>
    <w:bookmarkEnd w:id="38"/>
    <w:p>
      <w:pPr>
        <w:pStyle w:val="BodyText"/>
      </w:pPr>
      <w:r>
        <w:t xml:space="preserve">Помимо окружения align*, показанного в основном уроке, в пакете amsmath есть несколько других конструкций для отображения математических формул, в частности gather для многострочных отображений, не требующих выравнивания.</w:t>
      </w:r>
    </w:p>
    <w:bookmarkStart w:id="42" w:name="fig:008"/>
    <w:p>
      <w:pPr>
        <w:pStyle w:val="CaptionedFigure"/>
      </w:pPr>
      <w:r>
        <w:drawing>
          <wp:inline>
            <wp:extent cx="3733800" cy="1166812"/>
            <wp:effectExtent b="0" l="0" r="0" t="0"/>
            <wp:docPr descr="Программа 8" title="" id="40" name="Picture"/>
            <a:graphic>
              <a:graphicData uri="http://schemas.openxmlformats.org/drawingml/2006/picture">
                <pic:pic>
                  <pic:nvPicPr>
                    <pic:cNvPr descr="image/8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668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8</w:t>
      </w:r>
    </w:p>
    <w:bookmarkEnd w:id="42"/>
    <w:p>
      <w:pPr>
        <w:pStyle w:val="BodyText"/>
      </w:pPr>
      <w:r>
        <w:t xml:space="preserve">В стандартном LaTeX есть два способа выделить жирным шрифтом математические символы. Чтобы выделить жирным шрифтом всё выражение, используйте</w:t>
      </w:r>
      <w:r>
        <w:t xml:space="preserve"> </w:t>
      </w:r>
      <w:r>
        <w:t xml:space="preserve">перед вводом выражения. Также доступна команда \mathbf для выделения отдельных букв или слов прямым жирным шрифтом.</w:t>
      </w:r>
    </w:p>
    <w:bookmarkStart w:id="46" w:name="fig:009"/>
    <w:p>
      <w:pPr>
        <w:pStyle w:val="CaptionedFigure"/>
      </w:pPr>
      <w:r>
        <w:drawing>
          <wp:inline>
            <wp:extent cx="3733800" cy="610332"/>
            <wp:effectExtent b="0" l="0" r="0" t="0"/>
            <wp:docPr descr="Программа 9" title="" id="44" name="Picture"/>
            <a:graphic>
              <a:graphicData uri="http://schemas.openxmlformats.org/drawingml/2006/picture">
                <pic:pic>
                  <pic:nvPicPr>
                    <pic:cNvPr descr="image/9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103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9</w:t>
      </w:r>
    </w:p>
    <w:bookmarkEnd w:id="46"/>
    <w:p>
      <w:pPr>
        <w:pStyle w:val="BodyText"/>
      </w:pPr>
      <w:r>
        <w:t xml:space="preserve">На этом лабораторная работа закончена.</w:t>
      </w:r>
    </w:p>
    <w:bookmarkEnd w:id="47"/>
    <w:bookmarkStart w:id="48" w:name="выводы"/>
    <w:p>
      <w:pPr>
        <w:pStyle w:val="Heading1"/>
      </w:pPr>
      <w:r>
        <w:t xml:space="preserve">Выводы</w:t>
      </w:r>
    </w:p>
    <w:p>
      <w:pPr>
        <w:pStyle w:val="Compact"/>
        <w:numPr>
          <w:ilvl w:val="0"/>
          <w:numId w:val="1002"/>
        </w:numPr>
      </w:pPr>
      <w:r>
        <w:t xml:space="preserve">Изучил новый режим</w:t>
      </w:r>
    </w:p>
    <w:p>
      <w:pPr>
        <w:pStyle w:val="Compact"/>
        <w:numPr>
          <w:ilvl w:val="0"/>
          <w:numId w:val="1002"/>
        </w:numPr>
      </w:pPr>
      <w:r>
        <w:t xml:space="preserve">Изучил все необходимые формулы и расширения, предоставляемые пакетом amsmath</w:t>
      </w:r>
    </w:p>
    <w:bookmarkEnd w:id="48"/>
    <w:bookmarkStart w:id="49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r>
        <w:t xml:space="preserve">Лабораторная работа №3</w:t>
      </w:r>
      <w:r>
        <w:t xml:space="preserve"> </w:t>
      </w:r>
      <w:r>
        <w:t xml:space="preserve">Практикум по научному письму [Электронный ресурс]. URL: https://esystem.rudn.ru/pluginfile.php/2862317/mod_folder/content/0/Practical-scientific-writing.pdf</w:t>
      </w:r>
    </w:p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№3</dc:title>
  <dc:creator>Роман Сергей Михайлович</dc:creator>
  <dc:language>ru-RU</dc:language>
  <cp:keywords/>
  <dcterms:created xsi:type="dcterms:W3CDTF">2025-10-11T10:19:32Z</dcterms:created>
  <dcterms:modified xsi:type="dcterms:W3CDTF">2025-10-11T10:19:32Z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Title">
    <vt:lpwstr>Список иллюстраций</vt:lpwstr>
  </property>
  <property fmtid="{D5CDD505-2E9C-101B-9397-08002B2CF9AE}" pid="17" name="lolTitle">
    <vt:lpwstr>Листинги</vt:lpwstr>
  </property>
  <property fmtid="{D5CDD505-2E9C-101B-9397-08002B2CF9AE}" pid="18" name="mainfont">
    <vt:lpwstr>IBM Plex Serif</vt:lpwstr>
  </property>
  <property fmtid="{D5CDD505-2E9C-101B-9397-08002B2CF9AE}" pid="19" name="mainfontoptions">
    <vt:lpwstr>Ligatures=Common,Ligatures=TeX,Scale=0.94</vt:lpwstr>
  </property>
  <property fmtid="{D5CDD505-2E9C-101B-9397-08002B2CF9AE}" pid="20" name="mathfont">
    <vt:lpwstr>STIX Two Math</vt:lpwstr>
  </property>
  <property fmtid="{D5CDD505-2E9C-101B-9397-08002B2CF9AE}" pid="21" name="mathfontoptions">
    <vt:lpwstr/>
  </property>
  <property fmtid="{D5CDD505-2E9C-101B-9397-08002B2CF9AE}" pid="22" name="monofont">
    <vt:lpwstr>IBM Plex Mono</vt:lpwstr>
  </property>
  <property fmtid="{D5CDD505-2E9C-101B-9397-08002B2CF9AE}" pid="23" name="monofontoptions">
    <vt:lpwstr>Scale=MatchLowercase,Scale=0.94,FakeStretch=0.9</vt:lpwstr>
  </property>
  <property fmtid="{D5CDD505-2E9C-101B-9397-08002B2CF9AE}" pid="24" name="papersize">
    <vt:lpwstr>a4</vt:lpwstr>
  </property>
  <property fmtid="{D5CDD505-2E9C-101B-9397-08002B2CF9AE}" pid="25" name="polyglossia-lang">
    <vt:lpwstr/>
  </property>
  <property fmtid="{D5CDD505-2E9C-101B-9397-08002B2CF9AE}" pid="26" name="polyglossia-otherlangs">
    <vt:lpwstr/>
  </property>
  <property fmtid="{D5CDD505-2E9C-101B-9397-08002B2CF9AE}" pid="27" name="romanfont">
    <vt:lpwstr>IBM Plex Serif</vt:lpwstr>
  </property>
  <property fmtid="{D5CDD505-2E9C-101B-9397-08002B2CF9AE}" pid="28" name="romanfontoptions">
    <vt:lpwstr>Ligatures=Common,Ligatures=TeX,Scale=0.94</vt:lpwstr>
  </property>
  <property fmtid="{D5CDD505-2E9C-101B-9397-08002B2CF9AE}" pid="29" name="sansfont">
    <vt:lpwstr>IBM Plex Sans</vt:lpwstr>
  </property>
  <property fmtid="{D5CDD505-2E9C-101B-9397-08002B2CF9AE}" pid="30" name="sansfontoptions">
    <vt:lpwstr>Ligatures=Common,Ligatures=TeX,Scale=MatchLowercase,Scale=0.94</vt:lpwstr>
  </property>
  <property fmtid="{D5CDD505-2E9C-101B-9397-08002B2CF9AE}" pid="31" name="subtitle">
    <vt:lpwstr>Практикум по научному письму</vt:lpwstr>
  </property>
  <property fmtid="{D5CDD505-2E9C-101B-9397-08002B2CF9AE}" pid="32" name="toc-title">
    <vt:lpwstr>Содержание</vt:lpwstr>
  </property>
</Properties>
</file>