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Subtitle"/>
      </w:pPr>
      <w:r>
        <w:t xml:space="preserve">Практикум по научному письму</w:t>
      </w:r>
    </w:p>
    <w:p>
      <w:pPr>
        <w:pStyle w:val="Author"/>
      </w:pPr>
      <w:r>
        <w:t xml:space="preserve">Роман Сергей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 языком LaTeX, продолжить изучение его возможностей.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Запустить несколько различных программ</w:t>
      </w:r>
    </w:p>
    <w:p>
      <w:pPr>
        <w:pStyle w:val="Compact"/>
        <w:numPr>
          <w:ilvl w:val="0"/>
          <w:numId w:val="1001"/>
        </w:numPr>
      </w:pPr>
      <w:r>
        <w:t xml:space="preserve">Изучить новый пакет для работы с графиками.</w:t>
      </w:r>
    </w:p>
    <w:bookmarkEnd w:id="10"/>
    <w:bookmarkStart w:id="39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График состоит из нескольких точек и линий. Попробуем построить кривую по точкам</w:t>
      </w:r>
      <w:r>
        <w:t xml:space="preserve"> </w:t>
      </w:r>
    </w:p>
    <w:bookmarkStart w:id="14" w:name="fig:001"/>
    <w:p>
      <w:pPr>
        <w:pStyle w:val="CaptionedFigure"/>
      </w:pPr>
      <w:r>
        <w:drawing>
          <wp:inline>
            <wp:extent cx="3733800" cy="1795096"/>
            <wp:effectExtent b="0" l="0" r="0" t="0"/>
            <wp:docPr descr="Рис. 1: Программа 1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5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Программа 1</w:t>
      </w:r>
    </w:p>
    <w:bookmarkEnd w:id="14"/>
    <w:p>
      <w:pPr>
        <w:pStyle w:val="BodyText"/>
      </w:pPr>
      <w:r>
        <w:t xml:space="preserve">Помимо рисования прямых линий, мы можем создавать и другие типы линий.</w:t>
      </w:r>
      <w:r>
        <w:t xml:space="preserve"> </w:t>
      </w:r>
    </w:p>
    <w:bookmarkStart w:id="18" w:name="fig:002"/>
    <w:p>
      <w:pPr>
        <w:pStyle w:val="CaptionedFigure"/>
      </w:pPr>
      <w:r>
        <w:drawing>
          <wp:inline>
            <wp:extent cx="3733800" cy="1830998"/>
            <wp:effectExtent b="0" l="0" r="0" t="0"/>
            <wp:docPr descr="Рис. 2: Программа 2" title="" id="16" name="Picture"/>
            <a:graphic>
              <a:graphicData uri="http://schemas.openxmlformats.org/drawingml/2006/picture">
                <pic:pic>
                  <pic:nvPicPr>
                    <pic:cNvPr descr="image/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0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Программа 2</w:t>
      </w:r>
    </w:p>
    <w:bookmarkEnd w:id="18"/>
    <w:p>
      <w:pPr>
        <w:pStyle w:val="BodyText"/>
      </w:pPr>
      <w:r>
        <w:t xml:space="preserve">Мы можем рисовать не только прямые, но и изогнутые линии.</w:t>
      </w:r>
      <w:r>
        <w:t xml:space="preserve"> </w:t>
      </w:r>
    </w:p>
    <w:bookmarkStart w:id="22" w:name="fig:003"/>
    <w:p>
      <w:pPr>
        <w:pStyle w:val="CaptionedFigure"/>
      </w:pPr>
      <w:r>
        <w:drawing>
          <wp:inline>
            <wp:extent cx="3733800" cy="1825014"/>
            <wp:effectExtent b="0" l="0" r="0" t="0"/>
            <wp:docPr descr="Рис. 3: Программа 3" title="" id="20" name="Picture"/>
            <a:graphic>
              <a:graphicData uri="http://schemas.openxmlformats.org/drawingml/2006/picture">
                <pic:pic>
                  <pic:nvPicPr>
                    <pic:cNvPr descr="image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5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Программа 3</w:t>
      </w:r>
    </w:p>
    <w:bookmarkEnd w:id="22"/>
    <w:p>
      <w:pPr>
        <w:pStyle w:val="BodyText"/>
      </w:pPr>
      <w:r>
        <w:t xml:space="preserve">Теперь посмотрим на обозначения, которые мы можем нанести на график.</w:t>
      </w:r>
      <w:r>
        <w:t xml:space="preserve"> </w:t>
      </w:r>
    </w:p>
    <w:bookmarkStart w:id="26" w:name="fig:004"/>
    <w:p>
      <w:pPr>
        <w:pStyle w:val="CaptionedFigure"/>
      </w:pPr>
      <w:r>
        <w:drawing>
          <wp:inline>
            <wp:extent cx="3733800" cy="1723292"/>
            <wp:effectExtent b="0" l="0" r="0" t="0"/>
            <wp:docPr descr="Рис. 4: Программа 4" title="" id="24" name="Picture"/>
            <a:graphic>
              <a:graphicData uri="http://schemas.openxmlformats.org/drawingml/2006/picture">
                <pic:pic>
                  <pic:nvPicPr>
                    <pic:cNvPr descr="image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3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Программа 4</w:t>
      </w:r>
    </w:p>
    <w:bookmarkEnd w:id="26"/>
    <w:p>
      <w:pPr>
        <w:pStyle w:val="BodyText"/>
      </w:pPr>
      <w:r>
        <w:t xml:space="preserve">Узлам также можно присвоить математические формулы, и, как уже было сказано, их можно обвести простой линией.</w:t>
      </w:r>
      <w:r>
        <w:t xml:space="preserve"> </w:t>
      </w:r>
    </w:p>
    <w:bookmarkStart w:id="30" w:name="fig:005"/>
    <w:p>
      <w:pPr>
        <w:pStyle w:val="CaptionedFigure"/>
      </w:pPr>
      <w:r>
        <w:drawing>
          <wp:inline>
            <wp:extent cx="3733800" cy="1501897"/>
            <wp:effectExtent b="0" l="0" r="0" t="0"/>
            <wp:docPr descr="Рис. 5: Программа 5" title="" id="28" name="Picture"/>
            <a:graphic>
              <a:graphicData uri="http://schemas.openxmlformats.org/drawingml/2006/picture">
                <pic:pic>
                  <pic:nvPicPr>
                    <pic:cNvPr descr="image/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1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Программа 5</w:t>
      </w:r>
    </w:p>
    <w:bookmarkEnd w:id="30"/>
    <w:p>
      <w:pPr>
        <w:pStyle w:val="BodyText"/>
      </w:pPr>
      <w:r>
        <w:t xml:space="preserve">Попробуем создать сложный график с большим количеством разных элементов</w:t>
      </w:r>
      <w:r>
        <w:t xml:space="preserve"> </w:t>
      </w:r>
    </w:p>
    <w:bookmarkStart w:id="34" w:name="fig:006"/>
    <w:p>
      <w:pPr>
        <w:pStyle w:val="CaptionedFigure"/>
      </w:pPr>
      <w:r>
        <w:drawing>
          <wp:inline>
            <wp:extent cx="3733800" cy="1621570"/>
            <wp:effectExtent b="0" l="0" r="0" t="0"/>
            <wp:docPr descr="Рис. 6: Программа 6" title="" id="32" name="Picture"/>
            <a:graphic>
              <a:graphicData uri="http://schemas.openxmlformats.org/drawingml/2006/picture">
                <pic:pic>
                  <pic:nvPicPr>
                    <pic:cNvPr descr="image/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1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Программа 6</w:t>
      </w:r>
    </w:p>
    <w:bookmarkEnd w:id="34"/>
    <w:p>
      <w:pPr>
        <w:pStyle w:val="BodyText"/>
      </w:pPr>
      <w:r>
        <w:t xml:space="preserve">В TikZ также можно использовать циклы for с помощью команды foreach</w:t>
      </w:r>
      <w:r>
        <w:t xml:space="preserve"> </w:t>
      </w:r>
    </w:p>
    <w:bookmarkStart w:id="38" w:name="fig:007"/>
    <w:p>
      <w:pPr>
        <w:pStyle w:val="CaptionedFigure"/>
      </w:pPr>
      <w:r>
        <w:drawing>
          <wp:inline>
            <wp:extent cx="3733800" cy="1723292"/>
            <wp:effectExtent b="0" l="0" r="0" t="0"/>
            <wp:docPr descr="Рис. 7: Программа 7" title="" id="36" name="Picture"/>
            <a:graphic>
              <a:graphicData uri="http://schemas.openxmlformats.org/drawingml/2006/picture">
                <pic:pic>
                  <pic:nvPicPr>
                    <pic:cNvPr descr="image/7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3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Программа 7</w:t>
      </w:r>
    </w:p>
    <w:bookmarkEnd w:id="38"/>
    <w:bookmarkEnd w:id="39"/>
    <w:bookmarkStart w:id="40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Познакомился с языком LaTeX, продолжил изучение его возможностей.</w:t>
      </w:r>
    </w:p>
    <w:bookmarkEnd w:id="40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Лабораторная работа №8</w:t>
      </w:r>
      <w:r>
        <w:t xml:space="preserve"> </w:t>
      </w:r>
      <w:r>
        <w:t xml:space="preserve">Практикум по научному письму [Электронный ресурс]. URL: https://esystem.rudn.ru/pluginfile.php/2862317/mod_folder/content/0/Practical-scientific-writing.pdf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Роман Сергей Михайлович</dc:creator>
  <dc:language>ru-RU</dc:language>
  <cp:keywords/>
  <dcterms:created xsi:type="dcterms:W3CDTF">2026-02-16T14:32:09Z</dcterms:created>
  <dcterms:modified xsi:type="dcterms:W3CDTF">2026-02-16T14:32:09Z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ItemTemplate">
    <vt:lpwstr>lotItemTitleilistItemTitleDelimt </vt:lpwstr>
  </property>
  <property fmtid="{D5CDD505-2E9C-101B-9397-08002B2CF9AE}" pid="54" name="lotItemTitle">
    <vt:lpwstr/>
  </property>
  <property fmtid="{D5CDD505-2E9C-101B-9397-08002B2CF9AE}" pid="55" name="lotTitle">
    <vt:lpwstr>List of Tables</vt:lpwstr>
  </property>
  <property fmtid="{D5CDD505-2E9C-101B-9397-08002B2CF9AE}" pid="56" name="lstLabels">
    <vt:lpwstr>arabic</vt:lpwstr>
  </property>
  <property fmtid="{D5CDD505-2E9C-101B-9397-08002B2CF9AE}" pid="57" name="lstPrefix">
    <vt:lpwstr/>
  </property>
  <property fmtid="{D5CDD505-2E9C-101B-9397-08002B2CF9AE}" pid="58" name="lstPrefixTemplate">
    <vt:lpwstr>p i</vt:lpwstr>
  </property>
  <property fmtid="{D5CDD505-2E9C-101B-9397-08002B2CF9AE}" pid="59" name="mainfont">
    <vt:lpwstr>IBM Plex Serif</vt:lpwstr>
  </property>
  <property fmtid="{D5CDD505-2E9C-101B-9397-08002B2CF9AE}" pid="60" name="mainfontoptions">
    <vt:lpwstr>Ligatures=Common,Ligatures=TeX,Scale=0.94</vt:lpwstr>
  </property>
  <property fmtid="{D5CDD505-2E9C-101B-9397-08002B2CF9AE}" pid="61" name="mathfont">
    <vt:lpwstr>STIX Two Math</vt:lpwstr>
  </property>
  <property fmtid="{D5CDD505-2E9C-101B-9397-08002B2CF9AE}" pid="62" name="mathfontoptions">
    <vt:lpwstr/>
  </property>
  <property fmtid="{D5CDD505-2E9C-101B-9397-08002B2CF9AE}" pid="63" name="monofont">
    <vt:lpwstr>IBM Plex Mono</vt:lpwstr>
  </property>
  <property fmtid="{D5CDD505-2E9C-101B-9397-08002B2CF9AE}" pid="64" name="monofontoptions">
    <vt:lpwstr>Scale=MatchLowercase,Scale=0.94,FakeStretch=0.9</vt:lpwstr>
  </property>
  <property fmtid="{D5CDD505-2E9C-101B-9397-08002B2CF9AE}" pid="65" name="nameInLink">
    <vt:lpwstr>False</vt:lpwstr>
  </property>
  <property fmtid="{D5CDD505-2E9C-101B-9397-08002B2CF9AE}" pid="66" name="numberSections">
    <vt:lpwstr>False</vt:lpwstr>
  </property>
  <property fmtid="{D5CDD505-2E9C-101B-9397-08002B2CF9AE}" pid="67" name="pairDelim">
    <vt:lpwstr>, </vt:lpwstr>
  </property>
  <property fmtid="{D5CDD505-2E9C-101B-9397-08002B2CF9AE}" pid="68" name="papersize">
    <vt:lpwstr>a4</vt:lpwstr>
  </property>
  <property fmtid="{D5CDD505-2E9C-101B-9397-08002B2CF9AE}" pid="69" name="polyglossia-lang">
    <vt:lpwstr/>
  </property>
  <property fmtid="{D5CDD505-2E9C-101B-9397-08002B2CF9AE}" pid="70" name="polyglossia-otherlangs">
    <vt:lpwstr/>
  </property>
  <property fmtid="{D5CDD505-2E9C-101B-9397-08002B2CF9AE}" pid="71" name="rangeDelim">
    <vt:lpwstr>-</vt:lpwstr>
  </property>
  <property fmtid="{D5CDD505-2E9C-101B-9397-08002B2CF9AE}" pid="72" name="refDelim">
    <vt:lpwstr>, </vt:lpwstr>
  </property>
  <property fmtid="{D5CDD505-2E9C-101B-9397-08002B2CF9AE}" pid="73" name="refIndexTemplate">
    <vt:lpwstr>isuf</vt:lpwstr>
  </property>
  <property fmtid="{D5CDD505-2E9C-101B-9397-08002B2CF9AE}" pid="74" name="romanfont">
    <vt:lpwstr>IBM Plex Serif</vt:lpwstr>
  </property>
  <property fmtid="{D5CDD505-2E9C-101B-9397-08002B2CF9AE}" pid="75" name="romanfontoptions">
    <vt:lpwstr>Ligatures=Common,Ligatures=TeX,Scale=0.94</vt:lpwstr>
  </property>
  <property fmtid="{D5CDD505-2E9C-101B-9397-08002B2CF9AE}" pid="76" name="sansfont">
    <vt:lpwstr>IBM Plex Sans</vt:lpwstr>
  </property>
  <property fmtid="{D5CDD505-2E9C-101B-9397-08002B2CF9AE}" pid="77" name="sansfontoptions">
    <vt:lpwstr>Ligatures=Common,Ligatures=TeX,Scale=MatchLowercase,Scale=0.94</vt:lpwstr>
  </property>
  <property fmtid="{D5CDD505-2E9C-101B-9397-08002B2CF9AE}" pid="78" name="secHeaderDelim">
    <vt:lpwstr> </vt:lpwstr>
  </property>
  <property fmtid="{D5CDD505-2E9C-101B-9397-08002B2CF9AE}" pid="79" name="secHeaderTemplate">
    <vt:lpwstr>isecHeaderDelim[n]t</vt:lpwstr>
  </property>
  <property fmtid="{D5CDD505-2E9C-101B-9397-08002B2CF9AE}" pid="80" name="secLabels">
    <vt:lpwstr>arabic</vt:lpwstr>
  </property>
  <property fmtid="{D5CDD505-2E9C-101B-9397-08002B2CF9AE}" pid="81" name="secPrefix">
    <vt:lpwstr/>
  </property>
  <property fmtid="{D5CDD505-2E9C-101B-9397-08002B2CF9AE}" pid="82" name="secPrefixTemplate">
    <vt:lpwstr>p i</vt:lpwstr>
  </property>
  <property fmtid="{D5CDD505-2E9C-101B-9397-08002B2CF9AE}" pid="83" name="sectionsDepth">
    <vt:lpwstr>0</vt:lpwstr>
  </property>
  <property fmtid="{D5CDD505-2E9C-101B-9397-08002B2CF9AE}" pid="84" name="subfigGrid">
    <vt:lpwstr>False</vt:lpwstr>
  </property>
  <property fmtid="{D5CDD505-2E9C-101B-9397-08002B2CF9AE}" pid="85" name="subfigLabels">
    <vt:lpwstr>alpha a</vt:lpwstr>
  </property>
  <property fmtid="{D5CDD505-2E9C-101B-9397-08002B2CF9AE}" pid="86" name="subfigureChildTemplate">
    <vt:lpwstr>i</vt:lpwstr>
  </property>
  <property fmtid="{D5CDD505-2E9C-101B-9397-08002B2CF9AE}" pid="87" name="subfigureRefIndexTemplate">
    <vt:lpwstr>isuf (s)</vt:lpwstr>
  </property>
  <property fmtid="{D5CDD505-2E9C-101B-9397-08002B2CF9AE}" pid="88" name="subfigureTemplate">
    <vt:lpwstr>figureTitle ititleDelim t. ccs</vt:lpwstr>
  </property>
  <property fmtid="{D5CDD505-2E9C-101B-9397-08002B2CF9AE}" pid="89" name="subtitle">
    <vt:lpwstr>Практикум по научному письму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Table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title">
    <vt:lpwstr>Содержание</vt:lpwstr>
  </property>
</Properties>
</file>