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59.png" ContentType="image/png"/>
  <Override PartName="/word/media/rId63.png" ContentType="image/png"/>
  <Override PartName="/word/media/rId67.png" ContentType="image/png"/>
  <Override PartName="/word/media/rId15.png" ContentType="image/png"/>
  <Override PartName="/word/media/rId19.png" ContentType="image/png"/>
  <Override PartName="/word/media/rId23.png" ContentType="image/png"/>
  <Override PartName="/word/media/rId27.png" ContentType="image/png"/>
  <Override PartName="/word/media/rId31.png" ContentType="image/png"/>
  <Override PartName="/word/media/rId35.png" ContentType="image/png"/>
  <Override PartName="/word/media/rId39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№5</w:t>
      </w:r>
    </w:p>
    <w:p>
      <w:pPr>
        <w:pStyle w:val="Subtitle"/>
      </w:pPr>
      <w:r>
        <w:t xml:space="preserve">Практикум по научному письму</w:t>
      </w:r>
    </w:p>
    <w:p>
      <w:pPr>
        <w:pStyle w:val="Author"/>
      </w:pPr>
      <w:r>
        <w:t xml:space="preserve">Роман Сергей Михайлович</w:t>
      </w:r>
    </w:p>
    <w:bookmarkStart w:id="9" w:name="цель-работы"/>
    <w:p>
      <w:pPr>
        <w:pStyle w:val="Heading1"/>
      </w:pPr>
      <w:r>
        <w:t xml:space="preserve">Цель работы</w:t>
      </w:r>
    </w:p>
    <w:p>
      <w:pPr>
        <w:pStyle w:val="FirstParagraph"/>
      </w:pPr>
      <w:r>
        <w:t xml:space="preserve">Познакомиться с языком LaTeX.</w:t>
      </w:r>
    </w:p>
    <w:p>
      <w:pPr>
        <w:pStyle w:val="BodyText"/>
      </w:pPr>
      <w:r>
        <w:t xml:space="preserve">Научиться работать со списком литературы</w:t>
      </w:r>
    </w:p>
    <w:bookmarkEnd w:id="9"/>
    <w:bookmarkStart w:id="10" w:name="задание"/>
    <w:p>
      <w:pPr>
        <w:pStyle w:val="Heading1"/>
      </w:pPr>
      <w:r>
        <w:t xml:space="preserve">Задание</w:t>
      </w:r>
    </w:p>
    <w:p>
      <w:pPr>
        <w:pStyle w:val="Compact"/>
        <w:numPr>
          <w:ilvl w:val="0"/>
          <w:numId w:val="1001"/>
        </w:numPr>
      </w:pPr>
      <w:r>
        <w:t xml:space="preserve">Запустить несколько различных программ, изучить новый пакет для работы с графикой и новые команды языка.</w:t>
      </w:r>
    </w:p>
    <w:bookmarkEnd w:id="10"/>
    <w:bookmarkStart w:id="71" w:name="выполнение-лабораторной-работы"/>
    <w:p>
      <w:pPr>
        <w:pStyle w:val="Heading1"/>
      </w:pPr>
      <w:r>
        <w:t xml:space="preserve">Выполнение лабораторной работы</w:t>
      </w:r>
    </w:p>
    <w:p>
      <w:pPr>
        <w:pStyle w:val="FirstParagraph"/>
      </w:pPr>
      <w:r>
        <w:t xml:space="preserve">Мы будем изучать пакет arrey для работы с таблицами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fig:001?</w:t>
      </w:r>
      <w:r>
        <w:t xml:space="preserve">]</w:t>
      </w:r>
      <w:r>
        <w:t xml:space="preserve"> </w:t>
      </w:r>
      <w:r>
        <w:t xml:space="preserve">)</w:t>
      </w:r>
    </w:p>
    <w:bookmarkStart w:id="14" w:name="fig:001"/>
    <w:p>
      <w:pPr>
        <w:pStyle w:val="CaptionedFigure"/>
      </w:pPr>
      <w:r>
        <w:drawing>
          <wp:inline>
            <wp:extent cx="3733800" cy="2142148"/>
            <wp:effectExtent b="0" l="0" r="0" t="0"/>
            <wp:docPr descr="Программа 1" title="" id="12" name="Picture"/>
            <a:graphic>
              <a:graphicData uri="http://schemas.openxmlformats.org/drawingml/2006/picture">
                <pic:pic>
                  <pic:nvPicPr>
                    <pic:cNvPr descr="image/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421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Программа 1</w:t>
      </w:r>
    </w:p>
    <w:bookmarkEnd w:id="14"/>
    <w:p>
      <w:pPr>
        <w:pStyle w:val="BodyText"/>
      </w:pPr>
      <w:r>
        <w:t xml:space="preserve">Если в столбце таблицы много текста, у нас могут возникнуть проблемы с его корректным отображением с помощью только l, c и r.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fig:002?</w:t>
      </w:r>
      <w:r>
        <w:t xml:space="preserve">]</w:t>
      </w:r>
      <w:r>
        <w:t xml:space="preserve"> </w:t>
      </w:r>
      <w:r>
        <w:t xml:space="preserve">) Как можно заметить, текст не отображается полностью и уходит за пределы листа.</w:t>
      </w:r>
    </w:p>
    <w:bookmarkStart w:id="18" w:name="fig:002"/>
    <w:p>
      <w:pPr>
        <w:pStyle w:val="CaptionedFigure"/>
      </w:pPr>
      <w:r>
        <w:drawing>
          <wp:inline>
            <wp:extent cx="3733800" cy="1561733"/>
            <wp:effectExtent b="0" l="0" r="0" t="0"/>
            <wp:docPr descr="Программа 2" title="" id="16" name="Picture"/>
            <a:graphic>
              <a:graphicData uri="http://schemas.openxmlformats.org/drawingml/2006/picture">
                <pic:pic>
                  <pic:nvPicPr>
                    <pic:cNvPr descr="image/2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561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Программа 2</w:t>
      </w:r>
    </w:p>
    <w:bookmarkEnd w:id="18"/>
    <w:p>
      <w:pPr>
        <w:pStyle w:val="BodyText"/>
      </w:pPr>
      <w:r>
        <w:t xml:space="preserve">Изменим программу согласно лабораторной работе и запустим снова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fig:003?</w:t>
      </w:r>
      <w:r>
        <w:t xml:space="preserve">]</w:t>
      </w:r>
      <w:r>
        <w:t xml:space="preserve"> </w:t>
      </w:r>
      <w:r>
        <w:t xml:space="preserve">)</w:t>
      </w:r>
    </w:p>
    <w:bookmarkStart w:id="22" w:name="fig:003"/>
    <w:p>
      <w:pPr>
        <w:pStyle w:val="CaptionedFigure"/>
      </w:pPr>
      <w:r>
        <w:drawing>
          <wp:inline>
            <wp:extent cx="3733800" cy="1735259"/>
            <wp:effectExtent b="0" l="0" r="0" t="0"/>
            <wp:docPr descr="Программа 3" title="" id="20" name="Picture"/>
            <a:graphic>
              <a:graphicData uri="http://schemas.openxmlformats.org/drawingml/2006/picture">
                <pic:pic>
                  <pic:nvPicPr>
                    <pic:cNvPr descr="image/3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352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Программа 3</w:t>
      </w:r>
    </w:p>
    <w:bookmarkEnd w:id="22"/>
    <w:p>
      <w:pPr>
        <w:pStyle w:val="BodyText"/>
      </w:pPr>
      <w:r>
        <w:t xml:space="preserve">Если в вашей таблице много столбцов одного типа, то указывать такое количество определений столбцов в преамбуле неудобно. Можно упростить задачу, используя *{num}{string}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fig:004?</w:t>
      </w:r>
      <w:r>
        <w:t xml:space="preserve">]</w:t>
      </w:r>
      <w:r>
        <w:t xml:space="preserve"> </w:t>
      </w:r>
      <w:r>
        <w:t xml:space="preserve">)</w:t>
      </w:r>
    </w:p>
    <w:bookmarkStart w:id="26" w:name="fig:004"/>
    <w:p>
      <w:pPr>
        <w:pStyle w:val="CaptionedFigure"/>
      </w:pPr>
      <w:r>
        <w:drawing>
          <wp:inline>
            <wp:extent cx="3733800" cy="1406158"/>
            <wp:effectExtent b="0" l="0" r="0" t="0"/>
            <wp:docPr descr="Программа 4" title="" id="24" name="Picture"/>
            <a:graphic>
              <a:graphicData uri="http://schemas.openxmlformats.org/drawingml/2006/picture">
                <pic:pic>
                  <pic:nvPicPr>
                    <pic:cNvPr descr="image/4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406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Программа 4</w:t>
      </w:r>
    </w:p>
    <w:bookmarkEnd w:id="26"/>
    <w:p>
      <w:pPr>
        <w:pStyle w:val="BodyText"/>
      </w:pPr>
      <w:r>
        <w:t xml:space="preserve">Пакет booktabs предоставляет четыре различных типа линий. Каждую из этих команд нужно использовать в начале строки или после другой команды.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fig:005?</w:t>
      </w:r>
      <w:r>
        <w:t xml:space="preserve">]</w:t>
      </w:r>
      <w:r>
        <w:t xml:space="preserve"> </w:t>
      </w:r>
      <w:r>
        <w:t xml:space="preserve">)</w:t>
      </w:r>
    </w:p>
    <w:bookmarkStart w:id="30" w:name="fig:005"/>
    <w:p>
      <w:pPr>
        <w:pStyle w:val="CaptionedFigure"/>
      </w:pPr>
      <w:r>
        <w:drawing>
          <wp:inline>
            <wp:extent cx="3733800" cy="1687390"/>
            <wp:effectExtent b="0" l="0" r="0" t="0"/>
            <wp:docPr descr="Программа 5" title="" id="28" name="Picture"/>
            <a:graphic>
              <a:graphicData uri="http://schemas.openxmlformats.org/drawingml/2006/picture">
                <pic:pic>
                  <pic:nvPicPr>
                    <pic:cNvPr descr="image/5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6873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Программа 5</w:t>
      </w:r>
    </w:p>
    <w:bookmarkEnd w:id="30"/>
    <w:p>
      <w:pPr>
        <w:pStyle w:val="BodyText"/>
      </w:pPr>
      <w:r>
        <w:t xml:space="preserve">Четвёртая команда, предоставляемая пакетом booktabs, cmidrule. Её можно использовать для создания правила, которое будет занимать не всю ширину таблицы, а только указанный диапазон столбцов.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fig:006?</w:t>
      </w:r>
      <w:r>
        <w:t xml:space="preserve">]</w:t>
      </w:r>
      <w:r>
        <w:t xml:space="preserve"> </w:t>
      </w:r>
      <w:r>
        <w:t xml:space="preserve">)</w:t>
      </w:r>
    </w:p>
    <w:bookmarkStart w:id="34" w:name="fig:006"/>
    <w:p>
      <w:pPr>
        <w:pStyle w:val="CaptionedFigure"/>
      </w:pPr>
      <w:r>
        <w:drawing>
          <wp:inline>
            <wp:extent cx="3733800" cy="2184033"/>
            <wp:effectExtent b="0" l="0" r="0" t="0"/>
            <wp:docPr descr="Программа 6" title="" id="32" name="Picture"/>
            <a:graphic>
              <a:graphicData uri="http://schemas.openxmlformats.org/drawingml/2006/picture">
                <pic:pic>
                  <pic:nvPicPr>
                    <pic:cNvPr descr="image/6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840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Программа 6</w:t>
      </w:r>
    </w:p>
    <w:bookmarkEnd w:id="34"/>
    <w:p>
      <w:pPr>
        <w:pStyle w:val="BodyText"/>
      </w:pPr>
      <w:r>
        <w:t xml:space="preserve">В LaTeX можно объединить ячейки по горизонтали с помощью команды multicolumn.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fig:007?</w:t>
      </w:r>
      <w:r>
        <w:t xml:space="preserve">]</w:t>
      </w:r>
      <w:r>
        <w:t xml:space="preserve"> </w:t>
      </w:r>
      <w:r>
        <w:t xml:space="preserve">)</w:t>
      </w:r>
    </w:p>
    <w:bookmarkStart w:id="38" w:name="fig:007"/>
    <w:p>
      <w:pPr>
        <w:pStyle w:val="CaptionedFigure"/>
      </w:pPr>
      <w:r>
        <w:drawing>
          <wp:inline>
            <wp:extent cx="3733800" cy="1944687"/>
            <wp:effectExtent b="0" l="0" r="0" t="0"/>
            <wp:docPr descr="Программа 7" title="" id="36" name="Picture"/>
            <a:graphic>
              <a:graphicData uri="http://schemas.openxmlformats.org/drawingml/2006/picture">
                <pic:pic>
                  <pic:nvPicPr>
                    <pic:cNvPr descr="image/7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944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Программа 7</w:t>
      </w:r>
    </w:p>
    <w:bookmarkEnd w:id="38"/>
    <w:p>
      <w:pPr>
        <w:pStyle w:val="BodyText"/>
      </w:pPr>
      <w:r>
        <w:t xml:space="preserve">Вертикальное объединение ячеек не поддерживается в LaTeX. Обычно достаточно оставить ячейки пустыми, как в примере: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fig:008?</w:t>
      </w:r>
      <w:r>
        <w:t xml:space="preserve">]</w:t>
      </w:r>
      <w:r>
        <w:t xml:space="preserve"> </w:t>
      </w:r>
      <w:r>
        <w:t xml:space="preserve">)</w:t>
      </w:r>
    </w:p>
    <w:bookmarkStart w:id="42" w:name="fig:008"/>
    <w:p>
      <w:pPr>
        <w:pStyle w:val="CaptionedFigure"/>
      </w:pPr>
      <w:r>
        <w:drawing>
          <wp:inline>
            <wp:extent cx="3733800" cy="2590922"/>
            <wp:effectExtent b="0" l="0" r="0" t="0"/>
            <wp:docPr descr="Программа 8" title="" id="40" name="Picture"/>
            <a:graphic>
              <a:graphicData uri="http://schemas.openxmlformats.org/drawingml/2006/picture">
                <pic:pic>
                  <pic:nvPicPr>
                    <pic:cNvPr descr="image/8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5909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Программа 8</w:t>
      </w:r>
    </w:p>
    <w:bookmarkEnd w:id="42"/>
    <w:p>
      <w:pPr>
        <w:pStyle w:val="BodyText"/>
      </w:pPr>
      <w:r>
        <w:t xml:space="preserve">Поскольку &gt; и &lt; можно использовать для добавления элементов до и после содержимого ячейки в столбце, можем использовать их для добавления команд, которые влияют на внешний вид столбца. Например, если хотим выделить первый столбец курсивом и поставить после него двоеточие: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fig:009?</w:t>
      </w:r>
      <w:r>
        <w:t xml:space="preserve">]</w:t>
      </w:r>
      <w:r>
        <w:t xml:space="preserve"> </w:t>
      </w:r>
      <w:r>
        <w:t xml:space="preserve">)</w:t>
      </w:r>
    </w:p>
    <w:bookmarkStart w:id="46" w:name="fig:009"/>
    <w:p>
      <w:pPr>
        <w:pStyle w:val="CaptionedFigure"/>
      </w:pPr>
      <w:r>
        <w:drawing>
          <wp:inline>
            <wp:extent cx="3733800" cy="1866900"/>
            <wp:effectExtent b="0" l="0" r="0" t="0"/>
            <wp:docPr descr="Программа 9" title="" id="44" name="Picture"/>
            <a:graphic>
              <a:graphicData uri="http://schemas.openxmlformats.org/drawingml/2006/picture">
                <pic:pic>
                  <pic:nvPicPr>
                    <pic:cNvPr descr="image/9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866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Программа 9</w:t>
      </w:r>
    </w:p>
    <w:bookmarkEnd w:id="46"/>
    <w:p>
      <w:pPr>
        <w:pStyle w:val="BodyText"/>
      </w:pPr>
      <w:r>
        <w:t xml:space="preserve">Обычно LaTeX добавляет немного свободного пространства с обеих сторон каждого столбца, чтобы сбалансировать внешний вид и разделить столбцы. Это пространство определяется длиной tabcolsep.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fig:010?</w:t>
      </w:r>
      <w:r>
        <w:t xml:space="preserve">]</w:t>
      </w:r>
      <w:r>
        <w:t xml:space="preserve"> </w:t>
      </w:r>
      <w:r>
        <w:t xml:space="preserve">)</w:t>
      </w:r>
    </w:p>
    <w:bookmarkStart w:id="50" w:name="fig:010"/>
    <w:p>
      <w:pPr>
        <w:pStyle w:val="CaptionedFigure"/>
      </w:pPr>
      <w:r>
        <w:drawing>
          <wp:inline>
            <wp:extent cx="3733800" cy="1346322"/>
            <wp:effectExtent b="0" l="0" r="0" t="0"/>
            <wp:docPr descr="Программа 10" title="" id="48" name="Picture"/>
            <a:graphic>
              <a:graphicData uri="http://schemas.openxmlformats.org/drawingml/2006/picture">
                <pic:pic>
                  <pic:nvPicPr>
                    <pic:cNvPr descr="image/10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3463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Программа 10</w:t>
      </w:r>
    </w:p>
    <w:bookmarkEnd w:id="50"/>
    <w:p>
      <w:pPr>
        <w:pStyle w:val="BodyText"/>
      </w:pPr>
      <w:r>
        <w:t xml:space="preserve">Продемонстрируем как можно добавить вертикальную линию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fig:011?</w:t>
      </w:r>
      <w:r>
        <w:t xml:space="preserve">]</w:t>
      </w:r>
      <w:r>
        <w:t xml:space="preserve"> </w:t>
      </w:r>
      <w:r>
        <w:t xml:space="preserve">)</w:t>
      </w:r>
    </w:p>
    <w:bookmarkStart w:id="54" w:name="fig:011"/>
    <w:p>
      <w:pPr>
        <w:pStyle w:val="CaptionedFigure"/>
      </w:pPr>
      <w:r>
        <w:drawing>
          <wp:inline>
            <wp:extent cx="3733800" cy="1406158"/>
            <wp:effectExtent b="0" l="0" r="0" t="0"/>
            <wp:docPr descr="Программа 11" title="" id="52" name="Picture"/>
            <a:graphic>
              <a:graphicData uri="http://schemas.openxmlformats.org/drawingml/2006/picture">
                <pic:pic>
                  <pic:nvPicPr>
                    <pic:cNvPr descr="image/1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406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Программа 11</w:t>
      </w:r>
    </w:p>
    <w:bookmarkEnd w:id="54"/>
    <w:p>
      <w:pPr>
        <w:pStyle w:val="BodyText"/>
      </w:pPr>
      <w:r>
        <w:t xml:space="preserve">Среда tabular принимает дополнительный аргумент width, указывающий на общую ширину таблицы. Для таблицы необходимо добавить растягивающийся пробел с помощью команды extracolsep.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fig:012?</w:t>
      </w:r>
      <w:r>
        <w:t xml:space="preserve">]</w:t>
      </w:r>
      <w:r>
        <w:t xml:space="preserve"> </w:t>
      </w:r>
      <w:r>
        <w:t xml:space="preserve">)</w:t>
      </w:r>
    </w:p>
    <w:bookmarkStart w:id="58" w:name="fig:012"/>
    <w:p>
      <w:pPr>
        <w:pStyle w:val="CaptionedFigure"/>
      </w:pPr>
      <w:r>
        <w:drawing>
          <wp:inline>
            <wp:extent cx="3733800" cy="1801079"/>
            <wp:effectExtent b="0" l="0" r="0" t="0"/>
            <wp:docPr descr="Программа 12" title="" id="56" name="Picture"/>
            <a:graphic>
              <a:graphicData uri="http://schemas.openxmlformats.org/drawingml/2006/picture">
                <pic:pic>
                  <pic:nvPicPr>
                    <pic:cNvPr descr="image/12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8010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Программа 12</w:t>
      </w:r>
    </w:p>
    <w:bookmarkEnd w:id="58"/>
    <w:p>
      <w:pPr>
        <w:pStyle w:val="BodyText"/>
      </w:pPr>
      <w:r>
        <w:t xml:space="preserve">Таблицы образуют неразрывную рамку, поэтому они должны быть достаточно компактными, чтобы уместиться на одной странице. Часто их размещают в плавающей таблице. Несколько пакетов предоставляют варианты с похожим синтаксисом, которые позволяют разбивать таблицу на страницы.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fig:013?</w:t>
      </w:r>
      <w:r>
        <w:t xml:space="preserve">]</w:t>
      </w:r>
      <w:r>
        <w:t xml:space="preserve"> </w:t>
      </w:r>
      <w:r>
        <w:t xml:space="preserve">)</w:t>
      </w:r>
    </w:p>
    <w:bookmarkStart w:id="62" w:name="fig:013"/>
    <w:p>
      <w:pPr>
        <w:pStyle w:val="CaptionedFigure"/>
      </w:pPr>
      <w:r>
        <w:drawing>
          <wp:inline>
            <wp:extent cx="3733800" cy="1789112"/>
            <wp:effectExtent b="0" l="0" r="0" t="0"/>
            <wp:docPr descr="Программа 13" title="" id="60" name="Picture"/>
            <a:graphic>
              <a:graphicData uri="http://schemas.openxmlformats.org/drawingml/2006/picture">
                <pic:pic>
                  <pic:nvPicPr>
                    <pic:cNvPr descr="image/13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89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Программа 13</w:t>
      </w:r>
    </w:p>
    <w:bookmarkEnd w:id="62"/>
    <w:p>
      <w:pPr>
        <w:pStyle w:val="BodyText"/>
      </w:pPr>
      <w:r>
        <w:t xml:space="preserve">Пакет threeparttable упрощает разметку таблиц со сносками, позволяя размещать примечания в блоке той же ширины, что и таблица.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fig:014?</w:t>
      </w:r>
      <w:r>
        <w:t xml:space="preserve">]</w:t>
      </w:r>
      <w:r>
        <w:t xml:space="preserve"> </w:t>
      </w:r>
      <w:r>
        <w:t xml:space="preserve">)</w:t>
      </w:r>
    </w:p>
    <w:bookmarkStart w:id="66" w:name="fig:014"/>
    <w:p>
      <w:pPr>
        <w:pStyle w:val="CaptionedFigure"/>
      </w:pPr>
      <w:r>
        <w:drawing>
          <wp:inline>
            <wp:extent cx="3733800" cy="1741243"/>
            <wp:effectExtent b="0" l="0" r="0" t="0"/>
            <wp:docPr descr="Программа 14" title="" id="64" name="Picture"/>
            <a:graphic>
              <a:graphicData uri="http://schemas.openxmlformats.org/drawingml/2006/picture">
                <pic:pic>
                  <pic:nvPicPr>
                    <pic:cNvPr descr="image/14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41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Программа 14</w:t>
      </w:r>
    </w:p>
    <w:bookmarkEnd w:id="66"/>
    <w:p>
      <w:pPr>
        <w:pStyle w:val="BodyText"/>
      </w:pPr>
      <w:r>
        <w:t xml:space="preserve">В следующем примере демонстрируется использование параметра extrarowheight.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fig:015?</w:t>
      </w:r>
      <w:r>
        <w:t xml:space="preserve">]</w:t>
      </w:r>
      <w:r>
        <w:t xml:space="preserve"> </w:t>
      </w:r>
      <w:r>
        <w:t xml:space="preserve">)</w:t>
      </w:r>
    </w:p>
    <w:bookmarkStart w:id="70" w:name="fig:015"/>
    <w:p>
      <w:pPr>
        <w:pStyle w:val="CaptionedFigure"/>
      </w:pPr>
      <w:r>
        <w:drawing>
          <wp:inline>
            <wp:extent cx="3733800" cy="1896818"/>
            <wp:effectExtent b="0" l="0" r="0" t="0"/>
            <wp:docPr descr="Программа 15" title="" id="68" name="Picture"/>
            <a:graphic>
              <a:graphicData uri="http://schemas.openxmlformats.org/drawingml/2006/picture">
                <pic:pic>
                  <pic:nvPicPr>
                    <pic:cNvPr descr="image/15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896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Программа 15</w:t>
      </w:r>
    </w:p>
    <w:bookmarkEnd w:id="70"/>
    <w:bookmarkEnd w:id="71"/>
    <w:bookmarkStart w:id="72" w:name="выводы"/>
    <w:p>
      <w:pPr>
        <w:pStyle w:val="Heading1"/>
      </w:pPr>
      <w:r>
        <w:t xml:space="preserve">Выводы</w:t>
      </w:r>
    </w:p>
    <w:p>
      <w:pPr>
        <w:pStyle w:val="FirstParagraph"/>
      </w:pPr>
      <w:r>
        <w:t xml:space="preserve">Продолжил изучение языка LaTeX.</w:t>
      </w:r>
    </w:p>
    <w:p>
      <w:pPr>
        <w:pStyle w:val="BodyText"/>
      </w:pPr>
      <w:r>
        <w:t xml:space="preserve">Научился работать со списком литературы.</w:t>
      </w:r>
    </w:p>
    <w:bookmarkEnd w:id="72"/>
    <w:bookmarkStart w:id="73" w:name="список-литературы"/>
    <w:p>
      <w:pPr>
        <w:pStyle w:val="Heading1"/>
      </w:pPr>
      <w:r>
        <w:t xml:space="preserve">Список литературы</w:t>
      </w:r>
    </w:p>
    <w:p>
      <w:pPr>
        <w:pStyle w:val="FirstParagraph"/>
      </w:pPr>
      <w:r>
        <w:t xml:space="preserve">Лабораторная работа №5</w:t>
      </w:r>
      <w:r>
        <w:t xml:space="preserve"> </w:t>
      </w:r>
      <w:r>
        <w:t xml:space="preserve">Практикум по научному письму [Электронный ресурс]. URL: https://esystem.rudn.ru/pluginfile.php/2862317/mod_folder/content/0/Practical-scientific-writing.pdf</w:t>
      </w:r>
    </w:p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63" Target="media/rId63.png" /><Relationship Type="http://schemas.openxmlformats.org/officeDocument/2006/relationships/image" Id="rId67" Target="media/rId67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3" Target="media/rId4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№5</dc:title>
  <dc:creator>Роман Сергей Михайлович</dc:creator>
  <dc:language>ru-RU</dc:language>
  <cp:keywords/>
  <dcterms:created xsi:type="dcterms:W3CDTF">2025-11-08T12:19:11Z</dcterms:created>
  <dcterms:modified xsi:type="dcterms:W3CDTF">2025-11-08T12:19:11Z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bel-lang">
    <vt:lpwstr>russian</vt:lpwstr>
  </property>
  <property fmtid="{D5CDD505-2E9C-101B-9397-08002B2CF9AE}" pid="3" name="babel-otherlangs">
    <vt:lpwstr>english</vt:lpwstr>
  </property>
  <property fmtid="{D5CDD505-2E9C-101B-9397-08002B2CF9AE}" pid="4" name="biblatex">
    <vt:lpwstr>True</vt:lpwstr>
  </property>
  <property fmtid="{D5CDD505-2E9C-101B-9397-08002B2CF9AE}" pid="5" name="biblatexoptions">
    <vt:lpwstr/>
  </property>
  <property fmtid="{D5CDD505-2E9C-101B-9397-08002B2CF9AE}" pid="6" name="biblio-style">
    <vt:lpwstr>gost-numeric</vt:lpwstr>
  </property>
  <property fmtid="{D5CDD505-2E9C-101B-9397-08002B2CF9AE}" pid="7" name="bibliography">
    <vt:lpwstr>cite.bib</vt:lpwstr>
  </property>
  <property fmtid="{D5CDD505-2E9C-101B-9397-08002B2CF9AE}" pid="8" name="csl">
    <vt:lpwstr>pandoc/csl/gost-r-7-0-5-2008-numeric.csl</vt:lpwstr>
  </property>
  <property fmtid="{D5CDD505-2E9C-101B-9397-08002B2CF9AE}" pid="9" name="documentclass">
    <vt:lpwstr>scrreprt</vt:lpwstr>
  </property>
  <property fmtid="{D5CDD505-2E9C-101B-9397-08002B2CF9AE}" pid="10" name="figureTitle">
    <vt:lpwstr>Рис.</vt:lpwstr>
  </property>
  <property fmtid="{D5CDD505-2E9C-101B-9397-08002B2CF9AE}" pid="11" name="fontsize">
    <vt:lpwstr>12pt</vt:lpwstr>
  </property>
  <property fmtid="{D5CDD505-2E9C-101B-9397-08002B2CF9AE}" pid="12" name="header-includes">
    <vt:lpwstr/>
  </property>
  <property fmtid="{D5CDD505-2E9C-101B-9397-08002B2CF9AE}" pid="13" name="indent">
    <vt:lpwstr>True</vt:lpwstr>
  </property>
  <property fmtid="{D5CDD505-2E9C-101B-9397-08002B2CF9AE}" pid="14" name="linestretch">
    <vt:lpwstr>1.5</vt:lpwstr>
  </property>
  <property fmtid="{D5CDD505-2E9C-101B-9397-08002B2CF9AE}" pid="15" name="listingTitle">
    <vt:lpwstr>Листинг</vt:lpwstr>
  </property>
  <property fmtid="{D5CDD505-2E9C-101B-9397-08002B2CF9AE}" pid="16" name="lofTitle">
    <vt:lpwstr>Список иллюстраций</vt:lpwstr>
  </property>
  <property fmtid="{D5CDD505-2E9C-101B-9397-08002B2CF9AE}" pid="17" name="lolTitle">
    <vt:lpwstr>Листинги</vt:lpwstr>
  </property>
  <property fmtid="{D5CDD505-2E9C-101B-9397-08002B2CF9AE}" pid="18" name="mainfont">
    <vt:lpwstr>IBM Plex Serif</vt:lpwstr>
  </property>
  <property fmtid="{D5CDD505-2E9C-101B-9397-08002B2CF9AE}" pid="19" name="mainfontoptions">
    <vt:lpwstr>Ligatures=Common,Ligatures=TeX,Scale=0.94</vt:lpwstr>
  </property>
  <property fmtid="{D5CDD505-2E9C-101B-9397-08002B2CF9AE}" pid="20" name="mathfont">
    <vt:lpwstr>STIX Two Math</vt:lpwstr>
  </property>
  <property fmtid="{D5CDD505-2E9C-101B-9397-08002B2CF9AE}" pid="21" name="mathfontoptions">
    <vt:lpwstr/>
  </property>
  <property fmtid="{D5CDD505-2E9C-101B-9397-08002B2CF9AE}" pid="22" name="monofont">
    <vt:lpwstr>IBM Plex Mono</vt:lpwstr>
  </property>
  <property fmtid="{D5CDD505-2E9C-101B-9397-08002B2CF9AE}" pid="23" name="monofontoptions">
    <vt:lpwstr>Scale=MatchLowercase,Scale=0.94,FakeStretch=0.9</vt:lpwstr>
  </property>
  <property fmtid="{D5CDD505-2E9C-101B-9397-08002B2CF9AE}" pid="24" name="papersize">
    <vt:lpwstr>a4</vt:lpwstr>
  </property>
  <property fmtid="{D5CDD505-2E9C-101B-9397-08002B2CF9AE}" pid="25" name="polyglossia-lang">
    <vt:lpwstr/>
  </property>
  <property fmtid="{D5CDD505-2E9C-101B-9397-08002B2CF9AE}" pid="26" name="polyglossia-otherlangs">
    <vt:lpwstr/>
  </property>
  <property fmtid="{D5CDD505-2E9C-101B-9397-08002B2CF9AE}" pid="27" name="romanfont">
    <vt:lpwstr>IBM Plex Serif</vt:lpwstr>
  </property>
  <property fmtid="{D5CDD505-2E9C-101B-9397-08002B2CF9AE}" pid="28" name="romanfontoptions">
    <vt:lpwstr>Ligatures=Common,Ligatures=TeX,Scale=0.94</vt:lpwstr>
  </property>
  <property fmtid="{D5CDD505-2E9C-101B-9397-08002B2CF9AE}" pid="29" name="sansfont">
    <vt:lpwstr>IBM Plex Sans</vt:lpwstr>
  </property>
  <property fmtid="{D5CDD505-2E9C-101B-9397-08002B2CF9AE}" pid="30" name="sansfontoptions">
    <vt:lpwstr>Ligatures=Common,Ligatures=TeX,Scale=MatchLowercase,Scale=0.94</vt:lpwstr>
  </property>
  <property fmtid="{D5CDD505-2E9C-101B-9397-08002B2CF9AE}" pid="31" name="subtitle">
    <vt:lpwstr>Практикум по научному письму</vt:lpwstr>
  </property>
  <property fmtid="{D5CDD505-2E9C-101B-9397-08002B2CF9AE}" pid="32" name="toc-title">
    <vt:lpwstr>Содержание</vt:lpwstr>
  </property>
</Properties>
</file>