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№6</w:t>
      </w:r>
    </w:p>
    <w:p>
      <w:pPr>
        <w:pStyle w:val="Subtitle"/>
      </w:pPr>
      <w:r>
        <w:t xml:space="preserve">Практикум по научному письму</w:t>
      </w:r>
    </w:p>
    <w:p>
      <w:pPr>
        <w:pStyle w:val="Author"/>
      </w:pPr>
      <w:r>
        <w:t xml:space="preserve">Роман Сергей Михайлович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Познакомиться с языком LaTeX, продолжить изучение его возможностей.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Запустить несколько различных программ, изучить новый пакет для работы с графикой и новые команды языка.</w:t>
      </w:r>
    </w:p>
    <w:bookmarkEnd w:id="10"/>
    <w:bookmarkStart w:id="23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Изучим пакет для создания библиографии.Справочные базы данных обычно называют «файлами BibTeX», и они имеют расширение bib. Они содержат одну или несколько записей, по одной на каждую ссылку, и в каждой записи есть несколько полей.</w:t>
      </w:r>
      <w:r>
        <w:t xml:space="preserve"> </w:t>
      </w:r>
    </w:p>
    <w:bookmarkStart w:id="14" w:name="fig:001"/>
    <w:p>
      <w:pPr>
        <w:pStyle w:val="CaptionedFigure"/>
      </w:pPr>
      <w:r>
        <w:drawing>
          <wp:inline>
            <wp:extent cx="3733800" cy="2393461"/>
            <wp:effectExtent b="0" l="0" r="0" t="0"/>
            <wp:docPr descr="Рис. 1: Программа 1" title="" id="12" name="Picture"/>
            <a:graphic>
              <a:graphicData uri="http://schemas.openxmlformats.org/drawingml/2006/picture">
                <pic:pic>
                  <pic:nvPicPr>
                    <pic:cNvPr descr="image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93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Программа 1</w:t>
      </w:r>
    </w:p>
    <w:bookmarkEnd w:id="14"/>
    <w:p>
      <w:pPr>
        <w:pStyle w:val="BodyText"/>
      </w:pPr>
      <w:r>
        <w:t xml:space="preserve">Будем использовать пакет natbib. Базовая структура нашего ввода показана ниже.</w:t>
      </w:r>
      <w:r>
        <w:t xml:space="preserve"> </w:t>
      </w:r>
    </w:p>
    <w:bookmarkStart w:id="18" w:name="fig:002"/>
    <w:p>
      <w:pPr>
        <w:pStyle w:val="CaptionedFigure"/>
      </w:pPr>
      <w:r>
        <w:drawing>
          <wp:inline>
            <wp:extent cx="3733800" cy="1741243"/>
            <wp:effectExtent b="0" l="0" r="0" t="0"/>
            <wp:docPr descr="Рис. 2: Программа 2" title="" id="16" name="Picture"/>
            <a:graphic>
              <a:graphicData uri="http://schemas.openxmlformats.org/drawingml/2006/picture">
                <pic:pic>
                  <pic:nvPicPr>
                    <pic:cNvPr descr="image/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41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Программа 2</w:t>
      </w:r>
    </w:p>
    <w:bookmarkEnd w:id="18"/>
    <w:p>
      <w:pPr>
        <w:pStyle w:val="BodyText"/>
      </w:pPr>
      <w:r>
        <w:t xml:space="preserve">Пакет biblatex работает немного иначе, чем natbib: мы выбираем базы данных в преамбуле, но выводим их в основном тексте документа.</w:t>
      </w:r>
      <w:r>
        <w:t xml:space="preserve"> </w:t>
      </w:r>
    </w:p>
    <w:bookmarkStart w:id="22" w:name="fig:003"/>
    <w:p>
      <w:pPr>
        <w:pStyle w:val="CaptionedFigure"/>
      </w:pPr>
      <w:r>
        <w:drawing>
          <wp:inline>
            <wp:extent cx="3733800" cy="1633537"/>
            <wp:effectExtent b="0" l="0" r="0" t="0"/>
            <wp:docPr descr="Рис. 3: Программа 3" title="" id="20" name="Picture"/>
            <a:graphic>
              <a:graphicData uri="http://schemas.openxmlformats.org/drawingml/2006/picture">
                <pic:pic>
                  <pic:nvPicPr>
                    <pic:cNvPr descr="image/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33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Программа 3</w:t>
      </w:r>
    </w:p>
    <w:bookmarkEnd w:id="22"/>
    <w:p>
      <w:pPr>
        <w:pStyle w:val="BodyText"/>
      </w:pPr>
      <w:r>
        <w:t xml:space="preserve">Несмотря на то, что и BibTeX, и biblatex получают входные данные в виде файлов BibTeX и могут создавать в документе структурно схожие выходные данные, они используют разные способы для получения этого результата.</w:t>
      </w:r>
    </w:p>
    <w:p>
      <w:pPr>
        <w:pStyle w:val="BodyText"/>
      </w:pPr>
      <w:r>
        <w:t xml:space="preserve">Программы работают верно.</w:t>
      </w:r>
    </w:p>
    <w:bookmarkEnd w:id="23"/>
    <w:bookmarkStart w:id="24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Познакомился с языком LaTeX, продолжил изучение его возможностей.</w:t>
      </w:r>
    </w:p>
    <w:bookmarkEnd w:id="24"/>
    <w:bookmarkStart w:id="25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Лабораторная работа №6</w:t>
      </w:r>
      <w:r>
        <w:t xml:space="preserve"> </w:t>
      </w:r>
      <w:r>
        <w:t xml:space="preserve">Практикум по научному письму [Электронный ресурс]. URL: https://esystem.rudn.ru/pluginfile.php/2862317/mod_folder/content/0/Practical-scientific-writing.pdf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№6</dc:title>
  <dc:creator>Роман Сергей Михайлович</dc:creator>
  <dc:language>ru-RU</dc:language>
  <cp:keywords/>
  <dcterms:created xsi:type="dcterms:W3CDTF">2026-02-16T14:22:35Z</dcterms:created>
  <dcterms:modified xsi:type="dcterms:W3CDTF">2026-02-16T14:22:35Z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ingTemplate">
    <vt:lpwstr>listingTitle ititleDelim t</vt:lpwstr>
  </property>
  <property fmtid="{D5CDD505-2E9C-101B-9397-08002B2CF9AE}" pid="44" name="listingTitle">
    <vt:lpwstr>Листинг</vt:lpwstr>
  </property>
  <property fmtid="{D5CDD505-2E9C-101B-9397-08002B2CF9AE}" pid="45" name="listings">
    <vt:lpwstr>False</vt:lpwstr>
  </property>
  <property fmtid="{D5CDD505-2E9C-101B-9397-08002B2CF9AE}" pid="46" name="lof">
    <vt:lpwstr>True</vt:lpwstr>
  </property>
  <property fmtid="{D5CDD505-2E9C-101B-9397-08002B2CF9AE}" pid="47" name="lofItemTemplate">
    <vt:lpwstr>lofItemTitleilistItemTitleDelimt </vt:lpwstr>
  </property>
  <property fmtid="{D5CDD505-2E9C-101B-9397-08002B2CF9AE}" pid="48" name="lofItemTitle">
    <vt:lpwstr/>
  </property>
  <property fmtid="{D5CDD505-2E9C-101B-9397-08002B2CF9AE}" pid="49" name="lofTitle">
    <vt:lpwstr>Список иллюстраций</vt:lpwstr>
  </property>
  <property fmtid="{D5CDD505-2E9C-101B-9397-08002B2CF9AE}" pid="50" name="lolItemTemplate">
    <vt:lpwstr>lolItemTitleilistItemTitleDelimt </vt:lpwstr>
  </property>
  <property fmtid="{D5CDD505-2E9C-101B-9397-08002B2CF9AE}" pid="51" name="lolItemTitle">
    <vt:lpwstr/>
  </property>
  <property fmtid="{D5CDD505-2E9C-101B-9397-08002B2CF9AE}" pid="52" name="lolTitle">
    <vt:lpwstr>Листинги</vt:lpwstr>
  </property>
  <property fmtid="{D5CDD505-2E9C-101B-9397-08002B2CF9AE}" pid="53" name="lotItemTemplate">
    <vt:lpwstr>lotItemTitleilistItemTitleDelimt </vt:lpwstr>
  </property>
  <property fmtid="{D5CDD505-2E9C-101B-9397-08002B2CF9AE}" pid="54" name="lotItemTitle">
    <vt:lpwstr/>
  </property>
  <property fmtid="{D5CDD505-2E9C-101B-9397-08002B2CF9AE}" pid="55" name="lotTitle">
    <vt:lpwstr>List of Tables</vt:lpwstr>
  </property>
  <property fmtid="{D5CDD505-2E9C-101B-9397-08002B2CF9AE}" pid="56" name="lstLabels">
    <vt:lpwstr>arabic</vt:lpwstr>
  </property>
  <property fmtid="{D5CDD505-2E9C-101B-9397-08002B2CF9AE}" pid="57" name="lstPrefix">
    <vt:lpwstr/>
  </property>
  <property fmtid="{D5CDD505-2E9C-101B-9397-08002B2CF9AE}" pid="58" name="lstPrefixTemplate">
    <vt:lpwstr>p i</vt:lpwstr>
  </property>
  <property fmtid="{D5CDD505-2E9C-101B-9397-08002B2CF9AE}" pid="59" name="mainfont">
    <vt:lpwstr>IBM Plex Serif</vt:lpwstr>
  </property>
  <property fmtid="{D5CDD505-2E9C-101B-9397-08002B2CF9AE}" pid="60" name="mainfontoptions">
    <vt:lpwstr>Ligatures=Common,Ligatures=TeX,Scale=0.94</vt:lpwstr>
  </property>
  <property fmtid="{D5CDD505-2E9C-101B-9397-08002B2CF9AE}" pid="61" name="mathfont">
    <vt:lpwstr>STIX Two Math</vt:lpwstr>
  </property>
  <property fmtid="{D5CDD505-2E9C-101B-9397-08002B2CF9AE}" pid="62" name="mathfontoptions">
    <vt:lpwstr/>
  </property>
  <property fmtid="{D5CDD505-2E9C-101B-9397-08002B2CF9AE}" pid="63" name="monofont">
    <vt:lpwstr>IBM Plex Mono</vt:lpwstr>
  </property>
  <property fmtid="{D5CDD505-2E9C-101B-9397-08002B2CF9AE}" pid="64" name="monofontoptions">
    <vt:lpwstr>Scale=MatchLowercase,Scale=0.94,FakeStretch=0.9</vt:lpwstr>
  </property>
  <property fmtid="{D5CDD505-2E9C-101B-9397-08002B2CF9AE}" pid="65" name="nameInLink">
    <vt:lpwstr>False</vt:lpwstr>
  </property>
  <property fmtid="{D5CDD505-2E9C-101B-9397-08002B2CF9AE}" pid="66" name="numberSections">
    <vt:lpwstr>False</vt:lpwstr>
  </property>
  <property fmtid="{D5CDD505-2E9C-101B-9397-08002B2CF9AE}" pid="67" name="pairDelim">
    <vt:lpwstr>, </vt:lpwstr>
  </property>
  <property fmtid="{D5CDD505-2E9C-101B-9397-08002B2CF9AE}" pid="68" name="papersize">
    <vt:lpwstr>a4</vt:lpwstr>
  </property>
  <property fmtid="{D5CDD505-2E9C-101B-9397-08002B2CF9AE}" pid="69" name="polyglossia-lang">
    <vt:lpwstr/>
  </property>
  <property fmtid="{D5CDD505-2E9C-101B-9397-08002B2CF9AE}" pid="70" name="polyglossia-otherlangs">
    <vt:lpwstr/>
  </property>
  <property fmtid="{D5CDD505-2E9C-101B-9397-08002B2CF9AE}" pid="71" name="rangeDelim">
    <vt:lpwstr>-</vt:lpwstr>
  </property>
  <property fmtid="{D5CDD505-2E9C-101B-9397-08002B2CF9AE}" pid="72" name="refDelim">
    <vt:lpwstr>, </vt:lpwstr>
  </property>
  <property fmtid="{D5CDD505-2E9C-101B-9397-08002B2CF9AE}" pid="73" name="refIndexTemplate">
    <vt:lpwstr>isuf</vt:lpwstr>
  </property>
  <property fmtid="{D5CDD505-2E9C-101B-9397-08002B2CF9AE}" pid="74" name="romanfont">
    <vt:lpwstr>IBM Plex Serif</vt:lpwstr>
  </property>
  <property fmtid="{D5CDD505-2E9C-101B-9397-08002B2CF9AE}" pid="75" name="romanfontoptions">
    <vt:lpwstr>Ligatures=Common,Ligatures=TeX,Scale=0.94</vt:lpwstr>
  </property>
  <property fmtid="{D5CDD505-2E9C-101B-9397-08002B2CF9AE}" pid="76" name="sansfont">
    <vt:lpwstr>IBM Plex Sans</vt:lpwstr>
  </property>
  <property fmtid="{D5CDD505-2E9C-101B-9397-08002B2CF9AE}" pid="77" name="sansfontoptions">
    <vt:lpwstr>Ligatures=Common,Ligatures=TeX,Scale=MatchLowercase,Scale=0.94</vt:lpwstr>
  </property>
  <property fmtid="{D5CDD505-2E9C-101B-9397-08002B2CF9AE}" pid="78" name="secHeaderDelim">
    <vt:lpwstr> </vt:lpwstr>
  </property>
  <property fmtid="{D5CDD505-2E9C-101B-9397-08002B2CF9AE}" pid="79" name="secHeaderTemplate">
    <vt:lpwstr>isecHeaderDelim[n]t</vt:lpwstr>
  </property>
  <property fmtid="{D5CDD505-2E9C-101B-9397-08002B2CF9AE}" pid="80" name="secLabels">
    <vt:lpwstr>arabic</vt:lpwstr>
  </property>
  <property fmtid="{D5CDD505-2E9C-101B-9397-08002B2CF9AE}" pid="81" name="secPrefix">
    <vt:lpwstr/>
  </property>
  <property fmtid="{D5CDD505-2E9C-101B-9397-08002B2CF9AE}" pid="82" name="secPrefixTemplate">
    <vt:lpwstr>p i</vt:lpwstr>
  </property>
  <property fmtid="{D5CDD505-2E9C-101B-9397-08002B2CF9AE}" pid="83" name="sectionsDepth">
    <vt:lpwstr>0</vt:lpwstr>
  </property>
  <property fmtid="{D5CDD505-2E9C-101B-9397-08002B2CF9AE}" pid="84" name="subfigGrid">
    <vt:lpwstr>False</vt:lpwstr>
  </property>
  <property fmtid="{D5CDD505-2E9C-101B-9397-08002B2CF9AE}" pid="85" name="subfigLabels">
    <vt:lpwstr>alpha a</vt:lpwstr>
  </property>
  <property fmtid="{D5CDD505-2E9C-101B-9397-08002B2CF9AE}" pid="86" name="subfigureChildTemplate">
    <vt:lpwstr>i</vt:lpwstr>
  </property>
  <property fmtid="{D5CDD505-2E9C-101B-9397-08002B2CF9AE}" pid="87" name="subfigureRefIndexTemplate">
    <vt:lpwstr>isuf (s)</vt:lpwstr>
  </property>
  <property fmtid="{D5CDD505-2E9C-101B-9397-08002B2CF9AE}" pid="88" name="subfigureTemplate">
    <vt:lpwstr>figureTitle ititleDelim t. ccs</vt:lpwstr>
  </property>
  <property fmtid="{D5CDD505-2E9C-101B-9397-08002B2CF9AE}" pid="89" name="subtitle">
    <vt:lpwstr>Практикум по научному письму</vt:lpwstr>
  </property>
  <property fmtid="{D5CDD505-2E9C-101B-9397-08002B2CF9AE}" pid="90" name="tableEqns">
    <vt:lpwstr>False</vt:lpwstr>
  </property>
  <property fmtid="{D5CDD505-2E9C-101B-9397-08002B2CF9AE}" pid="91" name="tableTemplate">
    <vt:lpwstr>tableTitle ititleDelim t</vt:lpwstr>
  </property>
  <property fmtid="{D5CDD505-2E9C-101B-9397-08002B2CF9AE}" pid="92" name="tableTitle">
    <vt:lpwstr>Table</vt:lpwstr>
  </property>
  <property fmtid="{D5CDD505-2E9C-101B-9397-08002B2CF9AE}" pid="93" name="tblLabels">
    <vt:lpwstr>arabic</vt:lpwstr>
  </property>
  <property fmtid="{D5CDD505-2E9C-101B-9397-08002B2CF9AE}" pid="94" name="tblPrefix">
    <vt:lpwstr/>
  </property>
  <property fmtid="{D5CDD505-2E9C-101B-9397-08002B2CF9AE}" pid="95" name="tblPrefixTemplate">
    <vt:lpwstr>p i</vt:lpwstr>
  </property>
  <property fmtid="{D5CDD505-2E9C-101B-9397-08002B2CF9AE}" pid="96" name="titleDelim">
    <vt:lpwstr>:</vt:lpwstr>
  </property>
  <property fmtid="{D5CDD505-2E9C-101B-9397-08002B2CF9AE}" pid="97" name="toc">
    <vt:lpwstr>True</vt:lpwstr>
  </property>
  <property fmtid="{D5CDD505-2E9C-101B-9397-08002B2CF9AE}" pid="98" name="toc-title">
    <vt:lpwstr>Содержание</vt:lpwstr>
  </property>
</Properties>
</file>