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№7</w:t>
      </w:r>
    </w:p>
    <w:p>
      <w:pPr>
        <w:pStyle w:val="Subtitle"/>
      </w:pPr>
      <w:r>
        <w:t xml:space="preserve">Практикум по научному письму</w:t>
      </w:r>
    </w:p>
    <w:p>
      <w:pPr>
        <w:pStyle w:val="Author"/>
      </w:pPr>
      <w:r>
        <w:t xml:space="preserve">Роман Сергей 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Познакомиться с языком LaTeX, продолжить изучение его возможностей.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Запустить несколько различных программ, изучить новый пакет для работы с презентациями и новые команды языка.</w:t>
      </w:r>
    </w:p>
    <w:bookmarkEnd w:id="10"/>
    <w:bookmarkStart w:id="3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В LaTeX можно создавать презентации с помощью класса документа beamer. Чтобы создать слайды, можно использовать среду frame с заголовком слайда в качестве единственного аргумента.</w:t>
      </w:r>
      <w:r>
        <w:t xml:space="preserve"> </w:t>
      </w:r>
    </w:p>
    <w:bookmarkStart w:id="14" w:name="fig:001"/>
    <w:p>
      <w:pPr>
        <w:pStyle w:val="CaptionedFigure"/>
      </w:pPr>
      <w:r>
        <w:drawing>
          <wp:inline>
            <wp:extent cx="3733800" cy="1777145"/>
            <wp:effectExtent b="0" l="0" r="0" t="0"/>
            <wp:docPr descr="Рис. 1: Программа 1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7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Программа 1</w:t>
      </w:r>
    </w:p>
    <w:bookmarkEnd w:id="14"/>
    <w:p>
      <w:pPr>
        <w:pStyle w:val="BodyText"/>
      </w:pPr>
      <w:r>
        <w:t xml:space="preserve">Упорядочим информацию в презентации.</w:t>
      </w:r>
      <w:r>
        <w:t xml:space="preserve"> </w:t>
      </w:r>
    </w:p>
    <w:bookmarkStart w:id="18" w:name="fig:002"/>
    <w:p>
      <w:pPr>
        <w:pStyle w:val="CaptionedFigure"/>
      </w:pPr>
      <w:r>
        <w:drawing>
          <wp:inline>
            <wp:extent cx="3733800" cy="1783128"/>
            <wp:effectExtent b="0" l="0" r="0" t="0"/>
            <wp:docPr descr="Рис. 2: Программа 2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Программа 2</w:t>
      </w:r>
    </w:p>
    <w:bookmarkEnd w:id="18"/>
    <w:p>
      <w:pPr>
        <w:pStyle w:val="BodyText"/>
      </w:pPr>
      <w:r>
        <w:t xml:space="preserve">Чтобы элементы слайда появлялись один за другим, используем pause.</w:t>
      </w:r>
      <w:r>
        <w:t xml:space="preserve"> </w:t>
      </w:r>
    </w:p>
    <w:bookmarkStart w:id="22" w:name="fig:003"/>
    <w:p>
      <w:pPr>
        <w:pStyle w:val="CaptionedFigure"/>
      </w:pPr>
      <w:r>
        <w:drawing>
          <wp:inline>
            <wp:extent cx="3733800" cy="1741243"/>
            <wp:effectExtent b="0" l="0" r="0" t="0"/>
            <wp:docPr descr="Рис. 3: Программа 3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1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Программа 3</w:t>
      </w:r>
    </w:p>
    <w:bookmarkEnd w:id="22"/>
    <w:p>
      <w:pPr>
        <w:pStyle w:val="BodyText"/>
      </w:pPr>
      <w:r>
        <w:t xml:space="preserve">Мы так же можем использовать это в перечислении</w:t>
      </w:r>
      <w:r>
        <w:t xml:space="preserve"> </w:t>
      </w:r>
    </w:p>
    <w:bookmarkStart w:id="26" w:name="fig:004"/>
    <w:p>
      <w:pPr>
        <w:pStyle w:val="CaptionedFigure"/>
      </w:pPr>
      <w:r>
        <w:drawing>
          <wp:inline>
            <wp:extent cx="3733800" cy="1771161"/>
            <wp:effectExtent b="0" l="0" r="0" t="0"/>
            <wp:docPr descr="Рис. 4: Программа 4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1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Программа 4</w:t>
      </w:r>
    </w:p>
    <w:bookmarkEnd w:id="26"/>
    <w:p>
      <w:pPr>
        <w:pStyle w:val="BodyText"/>
      </w:pPr>
      <w:r>
        <w:t xml:space="preserve">С помощью команды uncover можно точно определить, когда будет отображаться каждая часть слайда. Эта команда более гибкая, чем команда pause. Ниже приведен пример использования команды uncover</w:t>
      </w:r>
      <w:r>
        <w:t xml:space="preserve"> </w:t>
      </w:r>
    </w:p>
    <w:bookmarkStart w:id="30" w:name="fig:005"/>
    <w:p>
      <w:pPr>
        <w:pStyle w:val="CaptionedFigure"/>
      </w:pPr>
      <w:r>
        <w:drawing>
          <wp:inline>
            <wp:extent cx="3733800" cy="1771161"/>
            <wp:effectExtent b="0" l="0" r="0" t="0"/>
            <wp:docPr descr="Рис. 5: Программа 5" title="" id="28" name="Picture"/>
            <a:graphic>
              <a:graphicData uri="http://schemas.openxmlformats.org/drawingml/2006/picture">
                <pic:pic>
                  <pic:nvPicPr>
                    <pic:cNvPr descr="image/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1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Программа 5</w:t>
      </w:r>
    </w:p>
    <w:bookmarkEnd w:id="30"/>
    <w:p>
      <w:pPr>
        <w:pStyle w:val="BodyText"/>
      </w:pPr>
      <w:r>
        <w:t xml:space="preserve">Продемонстрируем один из способов переноса общей структуры плаката в LaTeX.</w:t>
      </w:r>
      <w:r>
        <w:t xml:space="preserve"> </w:t>
      </w:r>
    </w:p>
    <w:bookmarkStart w:id="34" w:name="fig:006"/>
    <w:p>
      <w:pPr>
        <w:pStyle w:val="CaptionedFigure"/>
      </w:pPr>
      <w:r>
        <w:drawing>
          <wp:inline>
            <wp:extent cx="3733800" cy="1747226"/>
            <wp:effectExtent b="0" l="0" r="0" t="0"/>
            <wp:docPr descr="Рис. 6: Программа 6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7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Программа 6</w:t>
      </w:r>
    </w:p>
    <w:bookmarkEnd w:id="34"/>
    <w:p>
      <w:pPr>
        <w:pStyle w:val="BodyText"/>
      </w:pPr>
      <w:r>
        <w:t xml:space="preserve">Программы работают верно.</w:t>
      </w:r>
    </w:p>
    <w:bookmarkEnd w:id="35"/>
    <w:bookmarkStart w:id="3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Познакомился с языком LaTeX, продолжил изучение его возможностей.</w:t>
      </w:r>
    </w:p>
    <w:bookmarkEnd w:id="36"/>
    <w:bookmarkStart w:id="37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Лабораторная работа №7</w:t>
      </w:r>
      <w:r>
        <w:t xml:space="preserve"> </w:t>
      </w:r>
      <w:r>
        <w:t xml:space="preserve">Практикум по научному письму [Электронный ресурс]. URL: https://esystem.rudn.ru/pluginfile.php/2862317/mod_folder/content/0/Practical-scientific-writing.pdf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Роман Сергей Михайлович</dc:creator>
  <dc:language>ru-RU</dc:language>
  <cp:keywords/>
  <dcterms:created xsi:type="dcterms:W3CDTF">2026-02-16T14:23:58Z</dcterms:created>
  <dcterms:modified xsi:type="dcterms:W3CDTF">2026-02-16T14:23:58Z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ItemTemplate">
    <vt:lpwstr>lotItemTitleilistItemTitleDelimt </vt:lpwstr>
  </property>
  <property fmtid="{D5CDD505-2E9C-101B-9397-08002B2CF9AE}" pid="54" name="lotItemTitle">
    <vt:lpwstr/>
  </property>
  <property fmtid="{D5CDD505-2E9C-101B-9397-08002B2CF9AE}" pid="55" name="lotTitle">
    <vt:lpwstr>List of Tables</vt:lpwstr>
  </property>
  <property fmtid="{D5CDD505-2E9C-101B-9397-08002B2CF9AE}" pid="56" name="lstLabels">
    <vt:lpwstr>arabic</vt:lpwstr>
  </property>
  <property fmtid="{D5CDD505-2E9C-101B-9397-08002B2CF9AE}" pid="57" name="lstPrefix">
    <vt:lpwstr/>
  </property>
  <property fmtid="{D5CDD505-2E9C-101B-9397-08002B2CF9AE}" pid="58" name="lstPrefixTemplate">
    <vt:lpwstr>p i</vt:lpwstr>
  </property>
  <property fmtid="{D5CDD505-2E9C-101B-9397-08002B2CF9AE}" pid="59" name="mainfont">
    <vt:lpwstr>IBM Plex Serif</vt:lpwstr>
  </property>
  <property fmtid="{D5CDD505-2E9C-101B-9397-08002B2CF9AE}" pid="60" name="mainfontoptions">
    <vt:lpwstr>Ligatures=Common,Ligatures=TeX,Scale=0.94</vt:lpwstr>
  </property>
  <property fmtid="{D5CDD505-2E9C-101B-9397-08002B2CF9AE}" pid="61" name="mathfont">
    <vt:lpwstr>STIX Two Math</vt:lpwstr>
  </property>
  <property fmtid="{D5CDD505-2E9C-101B-9397-08002B2CF9AE}" pid="62" name="mathfontoptions">
    <vt:lpwstr/>
  </property>
  <property fmtid="{D5CDD505-2E9C-101B-9397-08002B2CF9AE}" pid="63" name="monofont">
    <vt:lpwstr>IBM Plex Mono</vt:lpwstr>
  </property>
  <property fmtid="{D5CDD505-2E9C-101B-9397-08002B2CF9AE}" pid="64" name="monofontoptions">
    <vt:lpwstr>Scale=MatchLowercase,Scale=0.94,FakeStretch=0.9</vt:lpwstr>
  </property>
  <property fmtid="{D5CDD505-2E9C-101B-9397-08002B2CF9AE}" pid="65" name="nameInLink">
    <vt:lpwstr>False</vt:lpwstr>
  </property>
  <property fmtid="{D5CDD505-2E9C-101B-9397-08002B2CF9AE}" pid="66" name="numberSections">
    <vt:lpwstr>False</vt:lpwstr>
  </property>
  <property fmtid="{D5CDD505-2E9C-101B-9397-08002B2CF9AE}" pid="67" name="pairDelim">
    <vt:lpwstr>, </vt:lpwstr>
  </property>
  <property fmtid="{D5CDD505-2E9C-101B-9397-08002B2CF9AE}" pid="68" name="papersize">
    <vt:lpwstr>a4</vt:lpwstr>
  </property>
  <property fmtid="{D5CDD505-2E9C-101B-9397-08002B2CF9AE}" pid="69" name="polyglossia-lang">
    <vt:lpwstr/>
  </property>
  <property fmtid="{D5CDD505-2E9C-101B-9397-08002B2CF9AE}" pid="70" name="polyglossia-otherlangs">
    <vt:lpwstr/>
  </property>
  <property fmtid="{D5CDD505-2E9C-101B-9397-08002B2CF9AE}" pid="71" name="rangeDelim">
    <vt:lpwstr>-</vt:lpwstr>
  </property>
  <property fmtid="{D5CDD505-2E9C-101B-9397-08002B2CF9AE}" pid="72" name="refDelim">
    <vt:lpwstr>, </vt:lpwstr>
  </property>
  <property fmtid="{D5CDD505-2E9C-101B-9397-08002B2CF9AE}" pid="73" name="refIndexTemplate">
    <vt:lpwstr>isuf</vt:lpwstr>
  </property>
  <property fmtid="{D5CDD505-2E9C-101B-9397-08002B2CF9AE}" pid="74" name="romanfont">
    <vt:lpwstr>IBM Plex Serif</vt:lpwstr>
  </property>
  <property fmtid="{D5CDD505-2E9C-101B-9397-08002B2CF9AE}" pid="75" name="romanfontoptions">
    <vt:lpwstr>Ligatures=Common,Ligatures=TeX,Scale=0.94</vt:lpwstr>
  </property>
  <property fmtid="{D5CDD505-2E9C-101B-9397-08002B2CF9AE}" pid="76" name="sansfont">
    <vt:lpwstr>IBM Plex Sans</vt:lpwstr>
  </property>
  <property fmtid="{D5CDD505-2E9C-101B-9397-08002B2CF9AE}" pid="77" name="sansfontoptions">
    <vt:lpwstr>Ligatures=Common,Ligatures=TeX,Scale=MatchLowercase,Scale=0.94</vt:lpwstr>
  </property>
  <property fmtid="{D5CDD505-2E9C-101B-9397-08002B2CF9AE}" pid="78" name="secHeaderDelim">
    <vt:lpwstr> </vt:lpwstr>
  </property>
  <property fmtid="{D5CDD505-2E9C-101B-9397-08002B2CF9AE}" pid="79" name="secHeaderTemplate">
    <vt:lpwstr>isecHeaderDelim[n]t</vt:lpwstr>
  </property>
  <property fmtid="{D5CDD505-2E9C-101B-9397-08002B2CF9AE}" pid="80" name="secLabels">
    <vt:lpwstr>arabic</vt:lpwstr>
  </property>
  <property fmtid="{D5CDD505-2E9C-101B-9397-08002B2CF9AE}" pid="81" name="secPrefix">
    <vt:lpwstr/>
  </property>
  <property fmtid="{D5CDD505-2E9C-101B-9397-08002B2CF9AE}" pid="82" name="secPrefixTemplate">
    <vt:lpwstr>p i</vt:lpwstr>
  </property>
  <property fmtid="{D5CDD505-2E9C-101B-9397-08002B2CF9AE}" pid="83" name="sectionsDepth">
    <vt:lpwstr>0</vt:lpwstr>
  </property>
  <property fmtid="{D5CDD505-2E9C-101B-9397-08002B2CF9AE}" pid="84" name="subfigGrid">
    <vt:lpwstr>False</vt:lpwstr>
  </property>
  <property fmtid="{D5CDD505-2E9C-101B-9397-08002B2CF9AE}" pid="85" name="subfigLabels">
    <vt:lpwstr>alpha a</vt:lpwstr>
  </property>
  <property fmtid="{D5CDD505-2E9C-101B-9397-08002B2CF9AE}" pid="86" name="subfigureChildTemplate">
    <vt:lpwstr>i</vt:lpwstr>
  </property>
  <property fmtid="{D5CDD505-2E9C-101B-9397-08002B2CF9AE}" pid="87" name="subfigureRefIndexTemplate">
    <vt:lpwstr>isuf (s)</vt:lpwstr>
  </property>
  <property fmtid="{D5CDD505-2E9C-101B-9397-08002B2CF9AE}" pid="88" name="subfigureTemplate">
    <vt:lpwstr>figureTitle ititleDelim t. ccs</vt:lpwstr>
  </property>
  <property fmtid="{D5CDD505-2E9C-101B-9397-08002B2CF9AE}" pid="89" name="subtitle">
    <vt:lpwstr>Практикум по научному письму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Table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title">
    <vt:lpwstr>Содержание</vt:lpwstr>
  </property>
</Properties>
</file>