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F87" w:rsidRDefault="00231F87" w:rsidP="00231F87">
      <w:pPr>
        <w:jc w:val="center"/>
        <w:rPr>
          <w:b/>
          <w:sz w:val="20"/>
          <w:szCs w:val="20"/>
        </w:rPr>
      </w:pPr>
      <w:r>
        <w:rPr>
          <w:b/>
          <w:sz w:val="20"/>
          <w:szCs w:val="20"/>
        </w:rPr>
        <w:t>Influenza data – Supplementary Notes</w:t>
      </w:r>
    </w:p>
    <w:p w:rsidR="009D3E2C" w:rsidRPr="00E66AB7" w:rsidRDefault="009D3E2C" w:rsidP="009D3E2C">
      <w:pPr>
        <w:rPr>
          <w:sz w:val="20"/>
          <w:szCs w:val="20"/>
        </w:rPr>
      </w:pPr>
      <w:r w:rsidRPr="00E66AB7">
        <w:rPr>
          <w:b/>
          <w:sz w:val="20"/>
          <w:szCs w:val="20"/>
        </w:rPr>
        <w:t>Data Indicators:</w:t>
      </w:r>
    </w:p>
    <w:tbl>
      <w:tblPr>
        <w:tblStyle w:val="TableGrid"/>
        <w:tblW w:w="5000" w:type="pct"/>
        <w:tblLook w:val="04A0" w:firstRow="1" w:lastRow="0" w:firstColumn="1" w:lastColumn="0" w:noHBand="0" w:noVBand="1"/>
      </w:tblPr>
      <w:tblGrid>
        <w:gridCol w:w="2999"/>
        <w:gridCol w:w="6577"/>
      </w:tblGrid>
      <w:tr w:rsidR="00652302" w:rsidRPr="00E66AB7" w:rsidTr="00652302">
        <w:tc>
          <w:tcPr>
            <w:tcW w:w="1566" w:type="pct"/>
          </w:tcPr>
          <w:p w:rsidR="00652302" w:rsidRPr="00E66AB7" w:rsidRDefault="00652302" w:rsidP="008A3FA2">
            <w:pPr>
              <w:rPr>
                <w:b/>
                <w:sz w:val="20"/>
                <w:szCs w:val="20"/>
              </w:rPr>
            </w:pPr>
            <w:r w:rsidRPr="00E66AB7">
              <w:rPr>
                <w:b/>
                <w:sz w:val="20"/>
                <w:szCs w:val="20"/>
              </w:rPr>
              <w:t>Indicator</w:t>
            </w:r>
          </w:p>
        </w:tc>
        <w:tc>
          <w:tcPr>
            <w:tcW w:w="3434" w:type="pct"/>
          </w:tcPr>
          <w:p w:rsidR="00652302" w:rsidRPr="00E66AB7" w:rsidRDefault="00652302" w:rsidP="008A3FA2">
            <w:pPr>
              <w:rPr>
                <w:b/>
                <w:sz w:val="20"/>
                <w:szCs w:val="20"/>
              </w:rPr>
            </w:pPr>
            <w:r w:rsidRPr="00E66AB7">
              <w:rPr>
                <w:b/>
                <w:sz w:val="20"/>
                <w:szCs w:val="20"/>
              </w:rPr>
              <w:t>Description</w:t>
            </w:r>
          </w:p>
        </w:tc>
      </w:tr>
      <w:tr w:rsidR="00652302" w:rsidRPr="00E66AB7" w:rsidTr="00652302">
        <w:tc>
          <w:tcPr>
            <w:tcW w:w="1566" w:type="pct"/>
          </w:tcPr>
          <w:p w:rsidR="00652302" w:rsidRPr="00E66AB7" w:rsidRDefault="00652302" w:rsidP="008A3FA2">
            <w:pPr>
              <w:rPr>
                <w:sz w:val="20"/>
                <w:szCs w:val="20"/>
              </w:rPr>
            </w:pPr>
            <w:r w:rsidRPr="00E66AB7">
              <w:rPr>
                <w:sz w:val="20"/>
                <w:szCs w:val="20"/>
              </w:rPr>
              <w:t xml:space="preserve">Influenza </w:t>
            </w:r>
            <w:r w:rsidR="00FB6DD7">
              <w:rPr>
                <w:sz w:val="20"/>
                <w:szCs w:val="20"/>
              </w:rPr>
              <w:t xml:space="preserve">and Respiratory Virus </w:t>
            </w:r>
            <w:r w:rsidRPr="00E66AB7">
              <w:rPr>
                <w:sz w:val="20"/>
                <w:szCs w:val="20"/>
              </w:rPr>
              <w:t>detections</w:t>
            </w:r>
          </w:p>
        </w:tc>
        <w:tc>
          <w:tcPr>
            <w:tcW w:w="3434" w:type="pct"/>
          </w:tcPr>
          <w:p w:rsidR="00652302" w:rsidRPr="00E66AB7" w:rsidRDefault="00652302" w:rsidP="00D803B5">
            <w:pPr>
              <w:rPr>
                <w:sz w:val="20"/>
                <w:szCs w:val="20"/>
              </w:rPr>
            </w:pPr>
            <w:r w:rsidRPr="00E66AB7">
              <w:rPr>
                <w:sz w:val="20"/>
                <w:szCs w:val="20"/>
              </w:rPr>
              <w:t xml:space="preserve">Number of positive influenza detections by type/subtype and </w:t>
            </w:r>
            <w:r w:rsidR="00FB6DD7">
              <w:rPr>
                <w:sz w:val="20"/>
                <w:szCs w:val="20"/>
              </w:rPr>
              <w:t xml:space="preserve">number of </w:t>
            </w:r>
            <w:proofErr w:type="spellStart"/>
            <w:r w:rsidR="00FB6DD7" w:rsidRPr="00E66AB7">
              <w:rPr>
                <w:sz w:val="20"/>
                <w:szCs w:val="20"/>
              </w:rPr>
              <w:t>parainfluenza</w:t>
            </w:r>
            <w:proofErr w:type="spellEnd"/>
            <w:r w:rsidR="00FB6DD7" w:rsidRPr="00E66AB7">
              <w:rPr>
                <w:sz w:val="20"/>
                <w:szCs w:val="20"/>
              </w:rPr>
              <w:t xml:space="preserve">, adenovirus, human </w:t>
            </w:r>
            <w:proofErr w:type="spellStart"/>
            <w:r w:rsidR="00FB6DD7" w:rsidRPr="00E66AB7">
              <w:rPr>
                <w:sz w:val="20"/>
                <w:szCs w:val="20"/>
              </w:rPr>
              <w:t>metapneuovirus</w:t>
            </w:r>
            <w:proofErr w:type="spellEnd"/>
            <w:r w:rsidR="00FB6DD7" w:rsidRPr="00E66AB7">
              <w:rPr>
                <w:sz w:val="20"/>
                <w:szCs w:val="20"/>
              </w:rPr>
              <w:t xml:space="preserve">, rhinovirus, coronavirus, RSV </w:t>
            </w:r>
            <w:r w:rsidR="00FB6DD7">
              <w:rPr>
                <w:sz w:val="20"/>
                <w:szCs w:val="20"/>
              </w:rPr>
              <w:t xml:space="preserve">detections </w:t>
            </w:r>
            <w:r w:rsidR="00FB6DD7" w:rsidRPr="00E66AB7">
              <w:rPr>
                <w:sz w:val="20"/>
                <w:szCs w:val="20"/>
              </w:rPr>
              <w:t>by week</w:t>
            </w:r>
            <w:r w:rsidR="00FB6DD7" w:rsidRPr="00E66AB7">
              <w:rPr>
                <w:sz w:val="20"/>
                <w:szCs w:val="20"/>
              </w:rPr>
              <w:t xml:space="preserve"> </w:t>
            </w:r>
            <w:proofErr w:type="spellStart"/>
            <w:r w:rsidRPr="00E66AB7">
              <w:rPr>
                <w:sz w:val="20"/>
                <w:szCs w:val="20"/>
              </w:rPr>
              <w:t>week</w:t>
            </w:r>
            <w:proofErr w:type="spellEnd"/>
            <w:r w:rsidRPr="00E66AB7">
              <w:rPr>
                <w:sz w:val="20"/>
                <w:szCs w:val="20"/>
              </w:rPr>
              <w:t xml:space="preserve">; percentage of positive. This data is </w:t>
            </w:r>
            <w:r>
              <w:rPr>
                <w:sz w:val="20"/>
                <w:szCs w:val="20"/>
              </w:rPr>
              <w:t xml:space="preserve">provided </w:t>
            </w:r>
            <w:r w:rsidRPr="00E66AB7">
              <w:rPr>
                <w:sz w:val="20"/>
                <w:szCs w:val="20"/>
              </w:rPr>
              <w:t xml:space="preserve">by sentinel laboratories </w:t>
            </w:r>
            <w:r w:rsidR="00A4432D" w:rsidRPr="00A4432D">
              <w:rPr>
                <w:sz w:val="20"/>
                <w:szCs w:val="20"/>
              </w:rPr>
              <w:t xml:space="preserve">participating in the </w:t>
            </w:r>
            <w:proofErr w:type="spellStart"/>
            <w:r w:rsidR="00A4432D" w:rsidRPr="00A4432D">
              <w:rPr>
                <w:sz w:val="20"/>
                <w:szCs w:val="20"/>
              </w:rPr>
              <w:t>FluWatch</w:t>
            </w:r>
            <w:proofErr w:type="spellEnd"/>
            <w:r w:rsidR="00A4432D" w:rsidRPr="00A4432D">
              <w:rPr>
                <w:sz w:val="20"/>
                <w:szCs w:val="20"/>
              </w:rPr>
              <w:t xml:space="preserve"> Respiratory Virus Detection Surveillance System (RVDSS)</w:t>
            </w:r>
            <w:r w:rsidR="00A4432D">
              <w:rPr>
                <w:sz w:val="20"/>
                <w:szCs w:val="20"/>
              </w:rPr>
              <w:t>.</w:t>
            </w:r>
            <w:r w:rsidR="00D803B5">
              <w:rPr>
                <w:sz w:val="20"/>
                <w:szCs w:val="20"/>
              </w:rPr>
              <w:t xml:space="preserve"> There may be jurisdictional differences in laboratory testing protocols that affect representativeness of the data.</w:t>
            </w:r>
          </w:p>
        </w:tc>
      </w:tr>
      <w:tr w:rsidR="00652302" w:rsidRPr="00E66AB7" w:rsidTr="00652302">
        <w:tc>
          <w:tcPr>
            <w:tcW w:w="1566" w:type="pct"/>
          </w:tcPr>
          <w:p w:rsidR="00652302" w:rsidRPr="00E66AB7" w:rsidRDefault="00652302" w:rsidP="009D3E2C">
            <w:pPr>
              <w:rPr>
                <w:sz w:val="20"/>
                <w:szCs w:val="20"/>
              </w:rPr>
            </w:pPr>
            <w:r w:rsidRPr="00E66AB7">
              <w:rPr>
                <w:sz w:val="20"/>
                <w:szCs w:val="20"/>
              </w:rPr>
              <w:t>Influenza detections by age-group</w:t>
            </w:r>
          </w:p>
        </w:tc>
        <w:tc>
          <w:tcPr>
            <w:tcW w:w="3434" w:type="pct"/>
          </w:tcPr>
          <w:p w:rsidR="00652302" w:rsidRPr="00E66AB7" w:rsidRDefault="00652302" w:rsidP="00231F87">
            <w:pPr>
              <w:rPr>
                <w:sz w:val="20"/>
                <w:szCs w:val="20"/>
              </w:rPr>
            </w:pPr>
            <w:r w:rsidRPr="00E66AB7">
              <w:rPr>
                <w:sz w:val="20"/>
                <w:szCs w:val="20"/>
              </w:rPr>
              <w:t>Number of positive influenza detections by type/subtype</w:t>
            </w:r>
            <w:r>
              <w:rPr>
                <w:sz w:val="20"/>
                <w:szCs w:val="20"/>
              </w:rPr>
              <w:t xml:space="preserve">, </w:t>
            </w:r>
            <w:r w:rsidRPr="00E66AB7">
              <w:rPr>
                <w:sz w:val="20"/>
                <w:szCs w:val="20"/>
              </w:rPr>
              <w:t>age-group</w:t>
            </w:r>
            <w:r>
              <w:rPr>
                <w:sz w:val="20"/>
                <w:szCs w:val="20"/>
              </w:rPr>
              <w:t xml:space="preserve"> and week</w:t>
            </w:r>
            <w:r w:rsidRPr="00E66AB7">
              <w:rPr>
                <w:sz w:val="20"/>
                <w:szCs w:val="20"/>
              </w:rPr>
              <w:t xml:space="preserve">. </w:t>
            </w:r>
            <w:r w:rsidR="00A4432D" w:rsidRPr="00E66AB7">
              <w:rPr>
                <w:sz w:val="20"/>
                <w:szCs w:val="20"/>
              </w:rPr>
              <w:t xml:space="preserve">This data is </w:t>
            </w:r>
            <w:r w:rsidR="00A4432D">
              <w:rPr>
                <w:sz w:val="20"/>
                <w:szCs w:val="20"/>
              </w:rPr>
              <w:t xml:space="preserve">provided </w:t>
            </w:r>
            <w:r w:rsidR="00A4432D" w:rsidRPr="00E66AB7">
              <w:rPr>
                <w:sz w:val="20"/>
                <w:szCs w:val="20"/>
              </w:rPr>
              <w:t xml:space="preserve">by sentinel laboratories </w:t>
            </w:r>
            <w:r w:rsidR="00A4432D" w:rsidRPr="00A4432D">
              <w:rPr>
                <w:sz w:val="20"/>
                <w:szCs w:val="20"/>
              </w:rPr>
              <w:t xml:space="preserve">participating in the </w:t>
            </w:r>
            <w:proofErr w:type="spellStart"/>
            <w:r w:rsidR="00A4432D" w:rsidRPr="00A4432D">
              <w:rPr>
                <w:sz w:val="20"/>
                <w:szCs w:val="20"/>
              </w:rPr>
              <w:t>FluWatch</w:t>
            </w:r>
            <w:proofErr w:type="spellEnd"/>
            <w:r w:rsidR="00A4432D" w:rsidRPr="00A4432D">
              <w:rPr>
                <w:sz w:val="20"/>
                <w:szCs w:val="20"/>
              </w:rPr>
              <w:t xml:space="preserve"> Respiratory Virus Detection Surveillance System (RVDSS)</w:t>
            </w:r>
            <w:r w:rsidR="002B14A5">
              <w:rPr>
                <w:sz w:val="20"/>
                <w:szCs w:val="20"/>
              </w:rPr>
              <w:t xml:space="preserve"> and </w:t>
            </w:r>
            <w:r w:rsidR="002B14A5" w:rsidRPr="002B14A5">
              <w:rPr>
                <w:sz w:val="20"/>
                <w:szCs w:val="20"/>
              </w:rPr>
              <w:t>includes specimens for which demographic information was reported. These represent a subset of all po</w:t>
            </w:r>
            <w:r w:rsidR="002B14A5">
              <w:rPr>
                <w:sz w:val="20"/>
                <w:szCs w:val="20"/>
              </w:rPr>
              <w:t xml:space="preserve">sitive influenza cases reported in Canada. </w:t>
            </w:r>
            <w:r w:rsidR="002B14A5" w:rsidRPr="002B14A5">
              <w:rPr>
                <w:sz w:val="20"/>
                <w:szCs w:val="20"/>
              </w:rPr>
              <w:t xml:space="preserve"> </w:t>
            </w:r>
            <w:r w:rsidR="00D803B5">
              <w:rPr>
                <w:sz w:val="20"/>
                <w:szCs w:val="20"/>
              </w:rPr>
              <w:t>There may be jurisdictional differences in laboratory testing protocols that affect representativeness of the data.</w:t>
            </w:r>
            <w:r w:rsidR="00231F87">
              <w:rPr>
                <w:sz w:val="20"/>
                <w:szCs w:val="20"/>
              </w:rPr>
              <w:t xml:space="preserve"> Additionally, </w:t>
            </w:r>
            <w:r w:rsidR="00231F87" w:rsidRPr="00231F87">
              <w:rPr>
                <w:sz w:val="20"/>
                <w:szCs w:val="20"/>
              </w:rPr>
              <w:t>laboratory testing for influenza may be affected by biases in health care utilization and physician testing behaviour</w:t>
            </w:r>
            <w:r w:rsidR="00231F87">
              <w:rPr>
                <w:sz w:val="20"/>
                <w:szCs w:val="20"/>
              </w:rPr>
              <w:t xml:space="preserve"> for different age groups</w:t>
            </w:r>
            <w:r w:rsidR="00231F87" w:rsidRPr="00231F87">
              <w:rPr>
                <w:sz w:val="20"/>
                <w:szCs w:val="20"/>
              </w:rPr>
              <w:t>.</w:t>
            </w:r>
          </w:p>
        </w:tc>
      </w:tr>
      <w:tr w:rsidR="00652302" w:rsidRPr="00E66AB7" w:rsidTr="00652302">
        <w:tc>
          <w:tcPr>
            <w:tcW w:w="1566" w:type="pct"/>
          </w:tcPr>
          <w:p w:rsidR="00652302" w:rsidRPr="00E66AB7" w:rsidRDefault="00652302" w:rsidP="008A3FA2">
            <w:pPr>
              <w:rPr>
                <w:sz w:val="20"/>
                <w:szCs w:val="20"/>
              </w:rPr>
            </w:pPr>
            <w:r w:rsidRPr="00E66AB7">
              <w:rPr>
                <w:sz w:val="20"/>
                <w:szCs w:val="20"/>
              </w:rPr>
              <w:t>Influenza-like-illness consultation rate</w:t>
            </w:r>
          </w:p>
        </w:tc>
        <w:tc>
          <w:tcPr>
            <w:tcW w:w="3434" w:type="pct"/>
          </w:tcPr>
          <w:p w:rsidR="00231F87" w:rsidRDefault="00652302" w:rsidP="00D803B5">
            <w:pPr>
              <w:rPr>
                <w:sz w:val="20"/>
                <w:szCs w:val="20"/>
              </w:rPr>
            </w:pPr>
            <w:r w:rsidRPr="00F27D2C">
              <w:rPr>
                <w:sz w:val="20"/>
                <w:szCs w:val="20"/>
              </w:rPr>
              <w:t>Population</w:t>
            </w:r>
            <w:r>
              <w:rPr>
                <w:sz w:val="20"/>
                <w:szCs w:val="20"/>
              </w:rPr>
              <w:t>-</w:t>
            </w:r>
            <w:r w:rsidRPr="00F27D2C">
              <w:rPr>
                <w:sz w:val="20"/>
                <w:szCs w:val="20"/>
              </w:rPr>
              <w:t>weighted consultation rate for ILI, by week</w:t>
            </w:r>
            <w:r>
              <w:rPr>
                <w:sz w:val="20"/>
                <w:szCs w:val="20"/>
              </w:rPr>
              <w:t xml:space="preserve">. </w:t>
            </w:r>
            <w:r w:rsidR="00A4432D">
              <w:rPr>
                <w:sz w:val="20"/>
                <w:szCs w:val="20"/>
              </w:rPr>
              <w:t xml:space="preserve"> </w:t>
            </w:r>
            <w:r>
              <w:rPr>
                <w:sz w:val="20"/>
                <w:szCs w:val="20"/>
              </w:rPr>
              <w:t xml:space="preserve">This data is provided to </w:t>
            </w:r>
            <w:proofErr w:type="spellStart"/>
            <w:r>
              <w:rPr>
                <w:sz w:val="20"/>
                <w:szCs w:val="20"/>
              </w:rPr>
              <w:t>FluWatch</w:t>
            </w:r>
            <w:proofErr w:type="spellEnd"/>
            <w:r>
              <w:rPr>
                <w:sz w:val="20"/>
                <w:szCs w:val="20"/>
              </w:rPr>
              <w:t xml:space="preserve"> by from sentinel surveillance programs in three provinces, and independent sentinel physicians in provinces and territories without a participating program.</w:t>
            </w:r>
            <w:r w:rsidR="00A4432D">
              <w:rPr>
                <w:sz w:val="20"/>
                <w:szCs w:val="20"/>
              </w:rPr>
              <w:t xml:space="preserve"> </w:t>
            </w:r>
            <w:r w:rsidR="00D803B5">
              <w:rPr>
                <w:sz w:val="20"/>
                <w:szCs w:val="20"/>
              </w:rPr>
              <w:t xml:space="preserve">Not all sentinel physicians report every week. </w:t>
            </w:r>
          </w:p>
          <w:p w:rsidR="00231F87" w:rsidRDefault="00231F87" w:rsidP="00D803B5">
            <w:pPr>
              <w:rPr>
                <w:sz w:val="20"/>
                <w:szCs w:val="20"/>
              </w:rPr>
            </w:pPr>
          </w:p>
          <w:p w:rsidR="00231F87" w:rsidRPr="00E66AB7" w:rsidRDefault="00231F87" w:rsidP="00231F87">
            <w:pPr>
              <w:rPr>
                <w:sz w:val="20"/>
                <w:szCs w:val="20"/>
              </w:rPr>
            </w:pPr>
            <w:r w:rsidRPr="00231F87">
              <w:rPr>
                <w:sz w:val="20"/>
                <w:szCs w:val="20"/>
              </w:rPr>
              <w:t>ILI surveillance does not capture influenza activity occurring in the elderly in long-term care facilities, children who visit paediatricians and consultations that occur in emergency departments and after-hours clinics. ILI consultation rates between jurisdictions may vary with sentinel participation, differences in coverage rates as well as co-circulation of other respiratory viruses.</w:t>
            </w:r>
            <w:r>
              <w:rPr>
                <w:sz w:val="20"/>
                <w:szCs w:val="20"/>
              </w:rPr>
              <w:t xml:space="preserve"> Due to the voluntary nature of sentinel surveillance, there are regions in Canada that may be unrepresented or under represented.</w:t>
            </w:r>
          </w:p>
        </w:tc>
      </w:tr>
      <w:tr w:rsidR="00652302" w:rsidRPr="00E66AB7" w:rsidTr="00652302">
        <w:tc>
          <w:tcPr>
            <w:tcW w:w="1566" w:type="pct"/>
          </w:tcPr>
          <w:p w:rsidR="00652302" w:rsidRPr="00E66AB7" w:rsidRDefault="00652302" w:rsidP="008A3FA2">
            <w:pPr>
              <w:rPr>
                <w:sz w:val="20"/>
                <w:szCs w:val="20"/>
              </w:rPr>
            </w:pPr>
            <w:r w:rsidRPr="00E66AB7">
              <w:rPr>
                <w:sz w:val="20"/>
                <w:szCs w:val="20"/>
              </w:rPr>
              <w:t>Influenza outbreaks</w:t>
            </w:r>
          </w:p>
        </w:tc>
        <w:tc>
          <w:tcPr>
            <w:tcW w:w="3434" w:type="pct"/>
          </w:tcPr>
          <w:p w:rsidR="00652302" w:rsidRPr="00E66AB7" w:rsidRDefault="00652302" w:rsidP="00D803B5">
            <w:pPr>
              <w:rPr>
                <w:sz w:val="20"/>
                <w:szCs w:val="20"/>
              </w:rPr>
            </w:pPr>
            <w:r w:rsidRPr="00F27D2C">
              <w:rPr>
                <w:sz w:val="20"/>
                <w:szCs w:val="20"/>
              </w:rPr>
              <w:t>Number of new influenza outbreaks by facility type (hospital or LTCF) by week</w:t>
            </w:r>
            <w:r>
              <w:rPr>
                <w:sz w:val="20"/>
                <w:szCs w:val="20"/>
              </w:rPr>
              <w:t xml:space="preserve">. </w:t>
            </w:r>
            <w:r w:rsidR="00D803B5">
              <w:rPr>
                <w:sz w:val="20"/>
                <w:szCs w:val="20"/>
              </w:rPr>
              <w:t>This data is reported by all provinces and territories. However, r</w:t>
            </w:r>
            <w:r>
              <w:rPr>
                <w:sz w:val="20"/>
                <w:szCs w:val="20"/>
              </w:rPr>
              <w:t>eporting varies</w:t>
            </w:r>
            <w:r w:rsidR="00D803B5">
              <w:rPr>
                <w:sz w:val="20"/>
                <w:szCs w:val="20"/>
              </w:rPr>
              <w:t xml:space="preserve"> </w:t>
            </w:r>
            <w:r w:rsidR="00A4432D">
              <w:rPr>
                <w:sz w:val="20"/>
                <w:szCs w:val="20"/>
              </w:rPr>
              <w:t>as not all provinces and territories report outbreaks occurring in all facility types</w:t>
            </w:r>
            <w:r>
              <w:rPr>
                <w:sz w:val="20"/>
                <w:szCs w:val="20"/>
              </w:rPr>
              <w:t>.</w:t>
            </w:r>
          </w:p>
        </w:tc>
      </w:tr>
      <w:tr w:rsidR="00652302" w:rsidRPr="00E66AB7" w:rsidTr="00652302">
        <w:tc>
          <w:tcPr>
            <w:tcW w:w="1566" w:type="pct"/>
          </w:tcPr>
          <w:p w:rsidR="00652302" w:rsidRPr="00E66AB7" w:rsidRDefault="00652302" w:rsidP="008A3FA2">
            <w:pPr>
              <w:rPr>
                <w:sz w:val="20"/>
                <w:szCs w:val="20"/>
              </w:rPr>
            </w:pPr>
            <w:r w:rsidRPr="00E66AB7">
              <w:rPr>
                <w:sz w:val="20"/>
                <w:szCs w:val="20"/>
              </w:rPr>
              <w:t>Influenza activity level</w:t>
            </w:r>
          </w:p>
        </w:tc>
        <w:tc>
          <w:tcPr>
            <w:tcW w:w="3434" w:type="pct"/>
          </w:tcPr>
          <w:p w:rsidR="00652302" w:rsidRPr="00E66AB7" w:rsidRDefault="00652302" w:rsidP="00D803B5">
            <w:pPr>
              <w:rPr>
                <w:sz w:val="20"/>
                <w:szCs w:val="20"/>
              </w:rPr>
            </w:pPr>
            <w:r>
              <w:rPr>
                <w:sz w:val="20"/>
                <w:szCs w:val="20"/>
              </w:rPr>
              <w:t>Number of regions in Canada reporting influenza activity (n</w:t>
            </w:r>
            <w:r w:rsidRPr="00F27D2C">
              <w:rPr>
                <w:sz w:val="20"/>
                <w:szCs w:val="20"/>
              </w:rPr>
              <w:t>o activity, sporadic activity, localized activity and widespread activity</w:t>
            </w:r>
            <w:r>
              <w:rPr>
                <w:sz w:val="20"/>
                <w:szCs w:val="20"/>
              </w:rPr>
              <w:t xml:space="preserve">) by week. </w:t>
            </w:r>
            <w:r w:rsidRPr="004D5480">
              <w:rPr>
                <w:sz w:val="20"/>
                <w:szCs w:val="20"/>
              </w:rPr>
              <w:t>Influenza activity levels</w:t>
            </w:r>
            <w:r>
              <w:rPr>
                <w:sz w:val="20"/>
                <w:szCs w:val="20"/>
              </w:rPr>
              <w:t xml:space="preserve"> </w:t>
            </w:r>
            <w:r w:rsidRPr="004D5480">
              <w:rPr>
                <w:sz w:val="20"/>
                <w:szCs w:val="20"/>
              </w:rPr>
              <w:t xml:space="preserve">are assigned and reported by </w:t>
            </w:r>
            <w:r w:rsidR="00D803B5">
              <w:rPr>
                <w:sz w:val="20"/>
                <w:szCs w:val="20"/>
              </w:rPr>
              <w:t>all p</w:t>
            </w:r>
            <w:r w:rsidRPr="004D5480">
              <w:rPr>
                <w:sz w:val="20"/>
                <w:szCs w:val="20"/>
              </w:rPr>
              <w:t xml:space="preserve">rovincial and </w:t>
            </w:r>
            <w:r w:rsidR="00D803B5">
              <w:rPr>
                <w:sz w:val="20"/>
                <w:szCs w:val="20"/>
              </w:rPr>
              <w:t>t</w:t>
            </w:r>
            <w:r w:rsidRPr="004D5480">
              <w:rPr>
                <w:sz w:val="20"/>
                <w:szCs w:val="20"/>
              </w:rPr>
              <w:t xml:space="preserve">erritorial </w:t>
            </w:r>
            <w:r w:rsidR="00D803B5">
              <w:rPr>
                <w:sz w:val="20"/>
                <w:szCs w:val="20"/>
              </w:rPr>
              <w:t>epidemiologists</w:t>
            </w:r>
            <w:r w:rsidRPr="004D5480">
              <w:rPr>
                <w:sz w:val="20"/>
                <w:szCs w:val="20"/>
              </w:rPr>
              <w:t xml:space="preserve">, based on laboratory confirmations, sentinel ILI rates and reported outbreaks. </w:t>
            </w:r>
            <w:r w:rsidR="00D803B5" w:rsidRPr="00D803B5">
              <w:rPr>
                <w:sz w:val="20"/>
                <w:szCs w:val="20"/>
              </w:rPr>
              <w:t>The number of regions within a jurisdiction may not be proportionate to their population (e.g. jurisdictions with larger populations having fewer regions and vice versa). Therefore, when a large proportion of regions report influenza activity, it does not necessarily imply a large proportion of the population is affected.</w:t>
            </w:r>
          </w:p>
        </w:tc>
      </w:tr>
      <w:tr w:rsidR="00652302" w:rsidRPr="00E66AB7" w:rsidTr="00652302">
        <w:tc>
          <w:tcPr>
            <w:tcW w:w="1566" w:type="pct"/>
          </w:tcPr>
          <w:p w:rsidR="00652302" w:rsidRPr="00E66AB7" w:rsidRDefault="00652302" w:rsidP="008A3FA2">
            <w:pPr>
              <w:rPr>
                <w:sz w:val="20"/>
                <w:szCs w:val="20"/>
              </w:rPr>
            </w:pPr>
            <w:r w:rsidRPr="00E66AB7">
              <w:rPr>
                <w:sz w:val="20"/>
                <w:szCs w:val="20"/>
              </w:rPr>
              <w:t>Hospitalizations by age-group and week</w:t>
            </w:r>
          </w:p>
        </w:tc>
        <w:tc>
          <w:tcPr>
            <w:tcW w:w="3434" w:type="pct"/>
          </w:tcPr>
          <w:p w:rsidR="00652302" w:rsidRPr="00E66AB7" w:rsidRDefault="00652302" w:rsidP="00D803B5">
            <w:pPr>
              <w:rPr>
                <w:sz w:val="20"/>
                <w:szCs w:val="20"/>
              </w:rPr>
            </w:pPr>
            <w:r w:rsidRPr="00F27D2C">
              <w:rPr>
                <w:sz w:val="20"/>
                <w:szCs w:val="20"/>
              </w:rPr>
              <w:t xml:space="preserve">Number of </w:t>
            </w:r>
            <w:r>
              <w:rPr>
                <w:sz w:val="20"/>
                <w:szCs w:val="20"/>
              </w:rPr>
              <w:t xml:space="preserve">influenza-associated </w:t>
            </w:r>
            <w:r w:rsidRPr="00F27D2C">
              <w:rPr>
                <w:sz w:val="20"/>
                <w:szCs w:val="20"/>
              </w:rPr>
              <w:t>hospitalizations by age-groups and type/subtype</w:t>
            </w:r>
            <w:r>
              <w:rPr>
                <w:sz w:val="20"/>
                <w:szCs w:val="20"/>
              </w:rPr>
              <w:t xml:space="preserve">. </w:t>
            </w:r>
            <w:r w:rsidR="00D803B5">
              <w:rPr>
                <w:sz w:val="20"/>
                <w:szCs w:val="20"/>
              </w:rPr>
              <w:t xml:space="preserve">This data is </w:t>
            </w:r>
            <w:r w:rsidR="00D803B5" w:rsidRPr="004D5480">
              <w:rPr>
                <w:sz w:val="20"/>
                <w:szCs w:val="20"/>
              </w:rPr>
              <w:t>reported</w:t>
            </w:r>
            <w:r w:rsidR="00231F87">
              <w:rPr>
                <w:sz w:val="20"/>
                <w:szCs w:val="20"/>
              </w:rPr>
              <w:t xml:space="preserve"> only</w:t>
            </w:r>
            <w:r w:rsidR="00D803B5" w:rsidRPr="004D5480">
              <w:rPr>
                <w:sz w:val="20"/>
                <w:szCs w:val="20"/>
              </w:rPr>
              <w:t xml:space="preserve"> by </w:t>
            </w:r>
            <w:r w:rsidR="00D803B5">
              <w:rPr>
                <w:sz w:val="20"/>
                <w:szCs w:val="20"/>
              </w:rPr>
              <w:t>participating provinces and territories</w:t>
            </w:r>
            <w:r w:rsidR="00231F87">
              <w:rPr>
                <w:sz w:val="20"/>
                <w:szCs w:val="20"/>
              </w:rPr>
              <w:t>, therefore it is incomplete at the national level</w:t>
            </w:r>
            <w:r w:rsidR="00D803B5">
              <w:rPr>
                <w:sz w:val="20"/>
                <w:szCs w:val="20"/>
              </w:rPr>
              <w:t>.</w:t>
            </w:r>
          </w:p>
        </w:tc>
      </w:tr>
      <w:tr w:rsidR="00652302" w:rsidRPr="00E66AB7" w:rsidTr="00652302">
        <w:tc>
          <w:tcPr>
            <w:tcW w:w="1566" w:type="pct"/>
          </w:tcPr>
          <w:p w:rsidR="00652302" w:rsidRPr="00E66AB7" w:rsidRDefault="00652302" w:rsidP="009D3E2C">
            <w:pPr>
              <w:rPr>
                <w:sz w:val="20"/>
                <w:szCs w:val="20"/>
              </w:rPr>
            </w:pPr>
            <w:r w:rsidRPr="00E66AB7">
              <w:rPr>
                <w:sz w:val="20"/>
                <w:szCs w:val="20"/>
              </w:rPr>
              <w:t>ICU admissions by age-group and week</w:t>
            </w:r>
          </w:p>
        </w:tc>
        <w:tc>
          <w:tcPr>
            <w:tcW w:w="3434" w:type="pct"/>
          </w:tcPr>
          <w:p w:rsidR="00652302" w:rsidRPr="00E66AB7" w:rsidRDefault="00652302" w:rsidP="00F27D2C">
            <w:pPr>
              <w:rPr>
                <w:sz w:val="20"/>
                <w:szCs w:val="20"/>
              </w:rPr>
            </w:pPr>
            <w:r w:rsidRPr="00F27D2C">
              <w:rPr>
                <w:sz w:val="20"/>
                <w:szCs w:val="20"/>
              </w:rPr>
              <w:t xml:space="preserve">Number of </w:t>
            </w:r>
            <w:r>
              <w:rPr>
                <w:sz w:val="20"/>
                <w:szCs w:val="20"/>
              </w:rPr>
              <w:t>influenza-associated ICU admissions</w:t>
            </w:r>
            <w:r w:rsidRPr="00F27D2C">
              <w:rPr>
                <w:sz w:val="20"/>
                <w:szCs w:val="20"/>
              </w:rPr>
              <w:t xml:space="preserve"> by age-groups and type/subtype</w:t>
            </w:r>
            <w:r>
              <w:rPr>
                <w:sz w:val="20"/>
                <w:szCs w:val="20"/>
              </w:rPr>
              <w:t xml:space="preserve">. </w:t>
            </w:r>
            <w:r w:rsidR="00231F87">
              <w:rPr>
                <w:sz w:val="20"/>
                <w:szCs w:val="20"/>
              </w:rPr>
              <w:t xml:space="preserve">This data is </w:t>
            </w:r>
            <w:r w:rsidR="00231F87" w:rsidRPr="004D5480">
              <w:rPr>
                <w:sz w:val="20"/>
                <w:szCs w:val="20"/>
              </w:rPr>
              <w:t>reported</w:t>
            </w:r>
            <w:r w:rsidR="00231F87">
              <w:rPr>
                <w:sz w:val="20"/>
                <w:szCs w:val="20"/>
              </w:rPr>
              <w:t xml:space="preserve"> only</w:t>
            </w:r>
            <w:r w:rsidR="00231F87" w:rsidRPr="004D5480">
              <w:rPr>
                <w:sz w:val="20"/>
                <w:szCs w:val="20"/>
              </w:rPr>
              <w:t xml:space="preserve"> by </w:t>
            </w:r>
            <w:r w:rsidR="00231F87">
              <w:rPr>
                <w:sz w:val="20"/>
                <w:szCs w:val="20"/>
              </w:rPr>
              <w:t>participating provinces and territories, therefore it is incomplete at the national level.</w:t>
            </w:r>
          </w:p>
        </w:tc>
      </w:tr>
      <w:tr w:rsidR="00652302" w:rsidRPr="00E66AB7" w:rsidTr="00652302">
        <w:tc>
          <w:tcPr>
            <w:tcW w:w="1566" w:type="pct"/>
          </w:tcPr>
          <w:p w:rsidR="00652302" w:rsidRPr="00E66AB7" w:rsidRDefault="00652302" w:rsidP="009D3E2C">
            <w:pPr>
              <w:rPr>
                <w:sz w:val="20"/>
                <w:szCs w:val="20"/>
              </w:rPr>
            </w:pPr>
            <w:r w:rsidRPr="00E66AB7">
              <w:rPr>
                <w:sz w:val="20"/>
                <w:szCs w:val="20"/>
              </w:rPr>
              <w:t>Deaths by age-group and week</w:t>
            </w:r>
          </w:p>
        </w:tc>
        <w:tc>
          <w:tcPr>
            <w:tcW w:w="3434" w:type="pct"/>
          </w:tcPr>
          <w:p w:rsidR="00652302" w:rsidRPr="00E66AB7" w:rsidRDefault="00652302" w:rsidP="00F27D2C">
            <w:pPr>
              <w:rPr>
                <w:sz w:val="20"/>
                <w:szCs w:val="20"/>
              </w:rPr>
            </w:pPr>
            <w:r w:rsidRPr="00F27D2C">
              <w:rPr>
                <w:sz w:val="20"/>
                <w:szCs w:val="20"/>
              </w:rPr>
              <w:t xml:space="preserve">Number of </w:t>
            </w:r>
            <w:r>
              <w:rPr>
                <w:sz w:val="20"/>
                <w:szCs w:val="20"/>
              </w:rPr>
              <w:t xml:space="preserve">influenza-associated deaths </w:t>
            </w:r>
            <w:r w:rsidRPr="00F27D2C">
              <w:rPr>
                <w:sz w:val="20"/>
                <w:szCs w:val="20"/>
              </w:rPr>
              <w:t>by age-groups and type/subtype</w:t>
            </w:r>
            <w:r>
              <w:rPr>
                <w:sz w:val="20"/>
                <w:szCs w:val="20"/>
              </w:rPr>
              <w:t xml:space="preserve">. </w:t>
            </w:r>
            <w:r w:rsidR="00231F87">
              <w:rPr>
                <w:sz w:val="20"/>
                <w:szCs w:val="20"/>
              </w:rPr>
              <w:t xml:space="preserve">This </w:t>
            </w:r>
            <w:r w:rsidR="00231F87">
              <w:rPr>
                <w:sz w:val="20"/>
                <w:szCs w:val="20"/>
              </w:rPr>
              <w:lastRenderedPageBreak/>
              <w:t xml:space="preserve">data is </w:t>
            </w:r>
            <w:r w:rsidR="00231F87" w:rsidRPr="004D5480">
              <w:rPr>
                <w:sz w:val="20"/>
                <w:szCs w:val="20"/>
              </w:rPr>
              <w:t>reported</w:t>
            </w:r>
            <w:r w:rsidR="00231F87">
              <w:rPr>
                <w:sz w:val="20"/>
                <w:szCs w:val="20"/>
              </w:rPr>
              <w:t xml:space="preserve"> only</w:t>
            </w:r>
            <w:r w:rsidR="00231F87" w:rsidRPr="004D5480">
              <w:rPr>
                <w:sz w:val="20"/>
                <w:szCs w:val="20"/>
              </w:rPr>
              <w:t xml:space="preserve"> by </w:t>
            </w:r>
            <w:r w:rsidR="00231F87">
              <w:rPr>
                <w:sz w:val="20"/>
                <w:szCs w:val="20"/>
              </w:rPr>
              <w:t>participating provinces and territories, therefore it is incomplete at the national level.</w:t>
            </w:r>
          </w:p>
        </w:tc>
      </w:tr>
    </w:tbl>
    <w:p w:rsidR="000E6F00" w:rsidRDefault="000E6F00">
      <w:pPr>
        <w:rPr>
          <w:b/>
          <w:sz w:val="20"/>
          <w:szCs w:val="20"/>
        </w:rPr>
      </w:pPr>
    </w:p>
    <w:p w:rsidR="00A4432D" w:rsidRDefault="00231F87">
      <w:pPr>
        <w:rPr>
          <w:b/>
          <w:sz w:val="20"/>
          <w:szCs w:val="20"/>
        </w:rPr>
      </w:pPr>
      <w:r>
        <w:rPr>
          <w:b/>
          <w:sz w:val="20"/>
          <w:szCs w:val="20"/>
        </w:rPr>
        <w:t xml:space="preserve">General limitation: </w:t>
      </w:r>
      <w:r>
        <w:t>T</w:t>
      </w:r>
      <w:r w:rsidRPr="005C7CB6">
        <w:t>he data presented here may not reflect the true number of individuals affected by influenza in the population</w:t>
      </w:r>
      <w:r>
        <w:t xml:space="preserve"> as most of the data comes from sentinel data sources</w:t>
      </w:r>
      <w:r w:rsidRPr="005C7CB6">
        <w:t>.</w:t>
      </w:r>
    </w:p>
    <w:p w:rsidR="009D3E2C" w:rsidRPr="00E66AB7" w:rsidRDefault="009D3E2C" w:rsidP="009D3E2C">
      <w:pPr>
        <w:spacing w:after="0" w:line="240" w:lineRule="auto"/>
        <w:rPr>
          <w:b/>
          <w:sz w:val="20"/>
          <w:szCs w:val="20"/>
        </w:rPr>
      </w:pPr>
      <w:r w:rsidRPr="00E66AB7">
        <w:rPr>
          <w:b/>
          <w:sz w:val="20"/>
          <w:szCs w:val="20"/>
        </w:rPr>
        <w:t>Acknowledgements:</w:t>
      </w:r>
    </w:p>
    <w:p w:rsidR="0023252E" w:rsidRPr="00E66AB7" w:rsidRDefault="009D3E2C">
      <w:pPr>
        <w:rPr>
          <w:sz w:val="20"/>
          <w:szCs w:val="20"/>
        </w:rPr>
      </w:pPr>
      <w:r w:rsidRPr="00E66AB7">
        <w:rPr>
          <w:rFonts w:cstheme="minorHAnsi"/>
          <w:color w:val="000000"/>
          <w:sz w:val="20"/>
          <w:szCs w:val="20"/>
        </w:rPr>
        <w:t xml:space="preserve">These data were made possible through collaboration between the Public Health Agency of Canada (PHAC) and the respective provincial governments of Newfoundland and Labrador, Prince Edward Island, Nova Scotia, New Brunswick, Quebec, Ontario, Manitoba, Saskatchewan, Alberta, British Columbia, Yukon, Northwest </w:t>
      </w:r>
      <w:bookmarkStart w:id="0" w:name="_GoBack"/>
      <w:bookmarkEnd w:id="0"/>
      <w:r w:rsidRPr="00E66AB7">
        <w:rPr>
          <w:rFonts w:cstheme="minorHAnsi"/>
          <w:color w:val="000000"/>
          <w:sz w:val="20"/>
          <w:szCs w:val="20"/>
        </w:rPr>
        <w:t>Territories, and Nunavut.</w:t>
      </w:r>
    </w:p>
    <w:sectPr w:rsidR="0023252E" w:rsidRPr="00E66A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E2C"/>
    <w:rsid w:val="00007E9D"/>
    <w:rsid w:val="000117B4"/>
    <w:rsid w:val="000154E5"/>
    <w:rsid w:val="00017314"/>
    <w:rsid w:val="000213BF"/>
    <w:rsid w:val="00025BFA"/>
    <w:rsid w:val="00026F66"/>
    <w:rsid w:val="00027E01"/>
    <w:rsid w:val="00036EE2"/>
    <w:rsid w:val="0004663C"/>
    <w:rsid w:val="000762AF"/>
    <w:rsid w:val="0009095E"/>
    <w:rsid w:val="000923A3"/>
    <w:rsid w:val="00092412"/>
    <w:rsid w:val="00096665"/>
    <w:rsid w:val="000A1CA9"/>
    <w:rsid w:val="000A6726"/>
    <w:rsid w:val="000A782F"/>
    <w:rsid w:val="000B0BD5"/>
    <w:rsid w:val="000C22F6"/>
    <w:rsid w:val="000C284A"/>
    <w:rsid w:val="000C7738"/>
    <w:rsid w:val="000C77AB"/>
    <w:rsid w:val="000D6100"/>
    <w:rsid w:val="000D6951"/>
    <w:rsid w:val="000D6D57"/>
    <w:rsid w:val="000E209F"/>
    <w:rsid w:val="000E4A92"/>
    <w:rsid w:val="000E6F00"/>
    <w:rsid w:val="000F1B46"/>
    <w:rsid w:val="000F1FD2"/>
    <w:rsid w:val="000F3141"/>
    <w:rsid w:val="000F3E76"/>
    <w:rsid w:val="00103B2D"/>
    <w:rsid w:val="00105CE7"/>
    <w:rsid w:val="00112F1B"/>
    <w:rsid w:val="00113A2A"/>
    <w:rsid w:val="001147F5"/>
    <w:rsid w:val="001155A9"/>
    <w:rsid w:val="00115858"/>
    <w:rsid w:val="00121C3B"/>
    <w:rsid w:val="00122507"/>
    <w:rsid w:val="00130896"/>
    <w:rsid w:val="00130948"/>
    <w:rsid w:val="00130C77"/>
    <w:rsid w:val="001313D2"/>
    <w:rsid w:val="001462B3"/>
    <w:rsid w:val="00146FC4"/>
    <w:rsid w:val="00147FCC"/>
    <w:rsid w:val="00150520"/>
    <w:rsid w:val="00154F50"/>
    <w:rsid w:val="00155AB0"/>
    <w:rsid w:val="00163725"/>
    <w:rsid w:val="001732EC"/>
    <w:rsid w:val="0017387D"/>
    <w:rsid w:val="00174126"/>
    <w:rsid w:val="00174C0E"/>
    <w:rsid w:val="00177A81"/>
    <w:rsid w:val="00180A2E"/>
    <w:rsid w:val="00181529"/>
    <w:rsid w:val="0018536B"/>
    <w:rsid w:val="001A45C7"/>
    <w:rsid w:val="001A7C56"/>
    <w:rsid w:val="001B0A4C"/>
    <w:rsid w:val="001B1804"/>
    <w:rsid w:val="001B2995"/>
    <w:rsid w:val="001B639E"/>
    <w:rsid w:val="001B6BF7"/>
    <w:rsid w:val="001D428B"/>
    <w:rsid w:val="001E7FED"/>
    <w:rsid w:val="001F1EDD"/>
    <w:rsid w:val="00203EBE"/>
    <w:rsid w:val="002045EE"/>
    <w:rsid w:val="00205495"/>
    <w:rsid w:val="0020773C"/>
    <w:rsid w:val="00214B04"/>
    <w:rsid w:val="00220501"/>
    <w:rsid w:val="00227D04"/>
    <w:rsid w:val="00231F87"/>
    <w:rsid w:val="0023252E"/>
    <w:rsid w:val="002446D0"/>
    <w:rsid w:val="002505F1"/>
    <w:rsid w:val="00252BB3"/>
    <w:rsid w:val="00255DDD"/>
    <w:rsid w:val="00256B9D"/>
    <w:rsid w:val="00274AE5"/>
    <w:rsid w:val="00283561"/>
    <w:rsid w:val="00283B0D"/>
    <w:rsid w:val="002A0626"/>
    <w:rsid w:val="002A1E39"/>
    <w:rsid w:val="002B0730"/>
    <w:rsid w:val="002B14A5"/>
    <w:rsid w:val="002D20C5"/>
    <w:rsid w:val="002D69D3"/>
    <w:rsid w:val="002D6F4C"/>
    <w:rsid w:val="002E4076"/>
    <w:rsid w:val="002F461D"/>
    <w:rsid w:val="00300E59"/>
    <w:rsid w:val="00310A9B"/>
    <w:rsid w:val="0031292A"/>
    <w:rsid w:val="00313C5E"/>
    <w:rsid w:val="003167F2"/>
    <w:rsid w:val="00321ECE"/>
    <w:rsid w:val="0032688C"/>
    <w:rsid w:val="003274F5"/>
    <w:rsid w:val="00331B3E"/>
    <w:rsid w:val="00334AAC"/>
    <w:rsid w:val="00336253"/>
    <w:rsid w:val="003371CA"/>
    <w:rsid w:val="00345FDB"/>
    <w:rsid w:val="00351033"/>
    <w:rsid w:val="00352880"/>
    <w:rsid w:val="00360555"/>
    <w:rsid w:val="003623D9"/>
    <w:rsid w:val="003669A9"/>
    <w:rsid w:val="003669FC"/>
    <w:rsid w:val="003707D9"/>
    <w:rsid w:val="003829AC"/>
    <w:rsid w:val="003A47A9"/>
    <w:rsid w:val="003A53C3"/>
    <w:rsid w:val="003A5C6D"/>
    <w:rsid w:val="003A7C1F"/>
    <w:rsid w:val="003B1934"/>
    <w:rsid w:val="003B665E"/>
    <w:rsid w:val="003B6D05"/>
    <w:rsid w:val="003C07DD"/>
    <w:rsid w:val="003C0A44"/>
    <w:rsid w:val="003C113D"/>
    <w:rsid w:val="003D296F"/>
    <w:rsid w:val="003D3650"/>
    <w:rsid w:val="003D3FA3"/>
    <w:rsid w:val="003E5160"/>
    <w:rsid w:val="003F50AA"/>
    <w:rsid w:val="003F620F"/>
    <w:rsid w:val="003F6C73"/>
    <w:rsid w:val="00405351"/>
    <w:rsid w:val="004224A1"/>
    <w:rsid w:val="00425CFE"/>
    <w:rsid w:val="004328D0"/>
    <w:rsid w:val="004404AB"/>
    <w:rsid w:val="00445291"/>
    <w:rsid w:val="00447322"/>
    <w:rsid w:val="004473FE"/>
    <w:rsid w:val="00450ED2"/>
    <w:rsid w:val="004566F5"/>
    <w:rsid w:val="00456E9A"/>
    <w:rsid w:val="004601CD"/>
    <w:rsid w:val="00465B28"/>
    <w:rsid w:val="00467637"/>
    <w:rsid w:val="004715C9"/>
    <w:rsid w:val="004760E0"/>
    <w:rsid w:val="00482088"/>
    <w:rsid w:val="00495BF4"/>
    <w:rsid w:val="00497A7D"/>
    <w:rsid w:val="004A17B8"/>
    <w:rsid w:val="004B675E"/>
    <w:rsid w:val="004C49AB"/>
    <w:rsid w:val="004D21C0"/>
    <w:rsid w:val="004D22BC"/>
    <w:rsid w:val="004D2747"/>
    <w:rsid w:val="004D3D4A"/>
    <w:rsid w:val="004D4823"/>
    <w:rsid w:val="004D512B"/>
    <w:rsid w:val="004D5480"/>
    <w:rsid w:val="004E039A"/>
    <w:rsid w:val="004E7FF8"/>
    <w:rsid w:val="004F004D"/>
    <w:rsid w:val="005011FA"/>
    <w:rsid w:val="0050618E"/>
    <w:rsid w:val="0051085C"/>
    <w:rsid w:val="005250E1"/>
    <w:rsid w:val="00527A3E"/>
    <w:rsid w:val="00542E5C"/>
    <w:rsid w:val="005436FC"/>
    <w:rsid w:val="0054463E"/>
    <w:rsid w:val="0054708E"/>
    <w:rsid w:val="005604B5"/>
    <w:rsid w:val="0056676A"/>
    <w:rsid w:val="0056742D"/>
    <w:rsid w:val="00570AEE"/>
    <w:rsid w:val="00574EC1"/>
    <w:rsid w:val="005859A2"/>
    <w:rsid w:val="00586239"/>
    <w:rsid w:val="005904BA"/>
    <w:rsid w:val="005914A4"/>
    <w:rsid w:val="00596D54"/>
    <w:rsid w:val="005A49EC"/>
    <w:rsid w:val="005A6E13"/>
    <w:rsid w:val="005B449E"/>
    <w:rsid w:val="005B61DC"/>
    <w:rsid w:val="005C0DAB"/>
    <w:rsid w:val="005C3800"/>
    <w:rsid w:val="005C7008"/>
    <w:rsid w:val="005D1D25"/>
    <w:rsid w:val="005D4C87"/>
    <w:rsid w:val="005D6D31"/>
    <w:rsid w:val="005E0A9E"/>
    <w:rsid w:val="005E2481"/>
    <w:rsid w:val="005E5C29"/>
    <w:rsid w:val="005F115B"/>
    <w:rsid w:val="005F1C43"/>
    <w:rsid w:val="005F548D"/>
    <w:rsid w:val="006021D8"/>
    <w:rsid w:val="00603FC5"/>
    <w:rsid w:val="00604EAF"/>
    <w:rsid w:val="0060619A"/>
    <w:rsid w:val="00606412"/>
    <w:rsid w:val="00606976"/>
    <w:rsid w:val="00611784"/>
    <w:rsid w:val="00612073"/>
    <w:rsid w:val="0061230B"/>
    <w:rsid w:val="00612620"/>
    <w:rsid w:val="006134D6"/>
    <w:rsid w:val="00613C99"/>
    <w:rsid w:val="00620957"/>
    <w:rsid w:val="0062512A"/>
    <w:rsid w:val="00626CFF"/>
    <w:rsid w:val="006345BE"/>
    <w:rsid w:val="00634F4C"/>
    <w:rsid w:val="00637D2D"/>
    <w:rsid w:val="00645639"/>
    <w:rsid w:val="006469FC"/>
    <w:rsid w:val="00647416"/>
    <w:rsid w:val="00647FB9"/>
    <w:rsid w:val="006511A8"/>
    <w:rsid w:val="00652302"/>
    <w:rsid w:val="00683B13"/>
    <w:rsid w:val="00683E38"/>
    <w:rsid w:val="006916F5"/>
    <w:rsid w:val="00693DAF"/>
    <w:rsid w:val="006A141A"/>
    <w:rsid w:val="006A2922"/>
    <w:rsid w:val="006A51C1"/>
    <w:rsid w:val="006B0181"/>
    <w:rsid w:val="006B07B5"/>
    <w:rsid w:val="006B0EC9"/>
    <w:rsid w:val="006B1280"/>
    <w:rsid w:val="006B42D0"/>
    <w:rsid w:val="006B71B2"/>
    <w:rsid w:val="006C3FA2"/>
    <w:rsid w:val="006D5FBD"/>
    <w:rsid w:val="006D66AD"/>
    <w:rsid w:val="006E2465"/>
    <w:rsid w:val="006E2E38"/>
    <w:rsid w:val="006F0936"/>
    <w:rsid w:val="006F6E15"/>
    <w:rsid w:val="006F7952"/>
    <w:rsid w:val="00701488"/>
    <w:rsid w:val="00703C50"/>
    <w:rsid w:val="00707D09"/>
    <w:rsid w:val="00711DB7"/>
    <w:rsid w:val="00723038"/>
    <w:rsid w:val="0072517F"/>
    <w:rsid w:val="00735D42"/>
    <w:rsid w:val="00750388"/>
    <w:rsid w:val="00761F10"/>
    <w:rsid w:val="00764402"/>
    <w:rsid w:val="00767E00"/>
    <w:rsid w:val="007762DD"/>
    <w:rsid w:val="00783E45"/>
    <w:rsid w:val="007841ED"/>
    <w:rsid w:val="00790CFA"/>
    <w:rsid w:val="00792D4B"/>
    <w:rsid w:val="007A1EB4"/>
    <w:rsid w:val="007A6243"/>
    <w:rsid w:val="007A66CD"/>
    <w:rsid w:val="007A6751"/>
    <w:rsid w:val="007B0540"/>
    <w:rsid w:val="007B190E"/>
    <w:rsid w:val="007B2D01"/>
    <w:rsid w:val="007B4E35"/>
    <w:rsid w:val="007B5F74"/>
    <w:rsid w:val="007B647F"/>
    <w:rsid w:val="007B70A7"/>
    <w:rsid w:val="007C2F60"/>
    <w:rsid w:val="007D0BAC"/>
    <w:rsid w:val="007D1778"/>
    <w:rsid w:val="007D3AA7"/>
    <w:rsid w:val="007E613F"/>
    <w:rsid w:val="007E7236"/>
    <w:rsid w:val="007F1FA3"/>
    <w:rsid w:val="007F2D25"/>
    <w:rsid w:val="007F7FF2"/>
    <w:rsid w:val="0081186B"/>
    <w:rsid w:val="00814587"/>
    <w:rsid w:val="0081576D"/>
    <w:rsid w:val="0082155B"/>
    <w:rsid w:val="00823B1D"/>
    <w:rsid w:val="00826267"/>
    <w:rsid w:val="00832C13"/>
    <w:rsid w:val="00833211"/>
    <w:rsid w:val="00834533"/>
    <w:rsid w:val="008414CE"/>
    <w:rsid w:val="00842707"/>
    <w:rsid w:val="00855759"/>
    <w:rsid w:val="00864027"/>
    <w:rsid w:val="008640C1"/>
    <w:rsid w:val="00866958"/>
    <w:rsid w:val="00871DCE"/>
    <w:rsid w:val="00873A06"/>
    <w:rsid w:val="00876EB9"/>
    <w:rsid w:val="00884ABA"/>
    <w:rsid w:val="00892269"/>
    <w:rsid w:val="0089657A"/>
    <w:rsid w:val="00896D7C"/>
    <w:rsid w:val="008A0BDA"/>
    <w:rsid w:val="008A6092"/>
    <w:rsid w:val="008B0BCA"/>
    <w:rsid w:val="008B16E0"/>
    <w:rsid w:val="008B2D3E"/>
    <w:rsid w:val="008B58CF"/>
    <w:rsid w:val="008C0CE2"/>
    <w:rsid w:val="008C2331"/>
    <w:rsid w:val="008C292E"/>
    <w:rsid w:val="008C67D3"/>
    <w:rsid w:val="008D0712"/>
    <w:rsid w:val="008D26B4"/>
    <w:rsid w:val="008E251F"/>
    <w:rsid w:val="008E4D68"/>
    <w:rsid w:val="008E4F90"/>
    <w:rsid w:val="008E4FC6"/>
    <w:rsid w:val="008F06EA"/>
    <w:rsid w:val="008F0B02"/>
    <w:rsid w:val="008F3686"/>
    <w:rsid w:val="008F5672"/>
    <w:rsid w:val="009003BE"/>
    <w:rsid w:val="00901121"/>
    <w:rsid w:val="00901EB0"/>
    <w:rsid w:val="00915C51"/>
    <w:rsid w:val="00922004"/>
    <w:rsid w:val="00924724"/>
    <w:rsid w:val="00930CB2"/>
    <w:rsid w:val="009318FE"/>
    <w:rsid w:val="00931FDF"/>
    <w:rsid w:val="00935C6D"/>
    <w:rsid w:val="009403CB"/>
    <w:rsid w:val="00943D98"/>
    <w:rsid w:val="0094661F"/>
    <w:rsid w:val="00953531"/>
    <w:rsid w:val="00960BB6"/>
    <w:rsid w:val="0096461E"/>
    <w:rsid w:val="00964FBD"/>
    <w:rsid w:val="00965D96"/>
    <w:rsid w:val="00966887"/>
    <w:rsid w:val="00971DBF"/>
    <w:rsid w:val="009A3E80"/>
    <w:rsid w:val="009A6978"/>
    <w:rsid w:val="009B34AB"/>
    <w:rsid w:val="009B4A23"/>
    <w:rsid w:val="009C2F1E"/>
    <w:rsid w:val="009C584D"/>
    <w:rsid w:val="009C7B58"/>
    <w:rsid w:val="009D3E2C"/>
    <w:rsid w:val="009E094E"/>
    <w:rsid w:val="009E1EBD"/>
    <w:rsid w:val="009E1FC0"/>
    <w:rsid w:val="009E2143"/>
    <w:rsid w:val="009E373C"/>
    <w:rsid w:val="009E4A10"/>
    <w:rsid w:val="009E5B25"/>
    <w:rsid w:val="009E61A7"/>
    <w:rsid w:val="009F177A"/>
    <w:rsid w:val="00A036BE"/>
    <w:rsid w:val="00A06A54"/>
    <w:rsid w:val="00A101FF"/>
    <w:rsid w:val="00A11566"/>
    <w:rsid w:val="00A13008"/>
    <w:rsid w:val="00A140E4"/>
    <w:rsid w:val="00A30BA4"/>
    <w:rsid w:val="00A30CDD"/>
    <w:rsid w:val="00A31CA7"/>
    <w:rsid w:val="00A31D85"/>
    <w:rsid w:val="00A3202F"/>
    <w:rsid w:val="00A356E5"/>
    <w:rsid w:val="00A413CC"/>
    <w:rsid w:val="00A43DDD"/>
    <w:rsid w:val="00A4432D"/>
    <w:rsid w:val="00A5314F"/>
    <w:rsid w:val="00A65AD0"/>
    <w:rsid w:val="00A73330"/>
    <w:rsid w:val="00A834EA"/>
    <w:rsid w:val="00A83F07"/>
    <w:rsid w:val="00A924FF"/>
    <w:rsid w:val="00A95428"/>
    <w:rsid w:val="00A955E5"/>
    <w:rsid w:val="00AA7A2F"/>
    <w:rsid w:val="00AB00BD"/>
    <w:rsid w:val="00AB1565"/>
    <w:rsid w:val="00AC2E7E"/>
    <w:rsid w:val="00AC35B8"/>
    <w:rsid w:val="00AD012F"/>
    <w:rsid w:val="00AD5A93"/>
    <w:rsid w:val="00AE1453"/>
    <w:rsid w:val="00AE751C"/>
    <w:rsid w:val="00AF1EA0"/>
    <w:rsid w:val="00AF242C"/>
    <w:rsid w:val="00AF3453"/>
    <w:rsid w:val="00AF36B2"/>
    <w:rsid w:val="00B03F9B"/>
    <w:rsid w:val="00B04C7E"/>
    <w:rsid w:val="00B12957"/>
    <w:rsid w:val="00B22BCD"/>
    <w:rsid w:val="00B243E9"/>
    <w:rsid w:val="00B24FD8"/>
    <w:rsid w:val="00B2510D"/>
    <w:rsid w:val="00B341E4"/>
    <w:rsid w:val="00B36709"/>
    <w:rsid w:val="00B40AF2"/>
    <w:rsid w:val="00B41684"/>
    <w:rsid w:val="00B42FC1"/>
    <w:rsid w:val="00B44358"/>
    <w:rsid w:val="00B4626A"/>
    <w:rsid w:val="00B467A7"/>
    <w:rsid w:val="00B47A59"/>
    <w:rsid w:val="00B51349"/>
    <w:rsid w:val="00B561B8"/>
    <w:rsid w:val="00B6570B"/>
    <w:rsid w:val="00B714A1"/>
    <w:rsid w:val="00B74444"/>
    <w:rsid w:val="00B74A17"/>
    <w:rsid w:val="00B74E96"/>
    <w:rsid w:val="00B76294"/>
    <w:rsid w:val="00B76C7A"/>
    <w:rsid w:val="00B82EAC"/>
    <w:rsid w:val="00B8499A"/>
    <w:rsid w:val="00B91E4D"/>
    <w:rsid w:val="00B94BA9"/>
    <w:rsid w:val="00B96C21"/>
    <w:rsid w:val="00BA4B2D"/>
    <w:rsid w:val="00BB1340"/>
    <w:rsid w:val="00BB3E5A"/>
    <w:rsid w:val="00BB771D"/>
    <w:rsid w:val="00BC1764"/>
    <w:rsid w:val="00BC7251"/>
    <w:rsid w:val="00BD2FA9"/>
    <w:rsid w:val="00BD46EB"/>
    <w:rsid w:val="00BD5467"/>
    <w:rsid w:val="00BE1AF0"/>
    <w:rsid w:val="00BF10FF"/>
    <w:rsid w:val="00BF31CA"/>
    <w:rsid w:val="00BF66E9"/>
    <w:rsid w:val="00C04791"/>
    <w:rsid w:val="00C05789"/>
    <w:rsid w:val="00C17994"/>
    <w:rsid w:val="00C17A75"/>
    <w:rsid w:val="00C241D1"/>
    <w:rsid w:val="00C27FC4"/>
    <w:rsid w:val="00C3184F"/>
    <w:rsid w:val="00C340B6"/>
    <w:rsid w:val="00C34919"/>
    <w:rsid w:val="00C410F1"/>
    <w:rsid w:val="00C424AA"/>
    <w:rsid w:val="00C47293"/>
    <w:rsid w:val="00C51476"/>
    <w:rsid w:val="00C52F54"/>
    <w:rsid w:val="00C57305"/>
    <w:rsid w:val="00C70800"/>
    <w:rsid w:val="00C7254E"/>
    <w:rsid w:val="00C83570"/>
    <w:rsid w:val="00C85668"/>
    <w:rsid w:val="00C90E8A"/>
    <w:rsid w:val="00C91221"/>
    <w:rsid w:val="00CA4D34"/>
    <w:rsid w:val="00CB36CD"/>
    <w:rsid w:val="00CC4482"/>
    <w:rsid w:val="00CC5FE8"/>
    <w:rsid w:val="00CD1397"/>
    <w:rsid w:val="00CD2631"/>
    <w:rsid w:val="00CD2728"/>
    <w:rsid w:val="00CD3757"/>
    <w:rsid w:val="00CD61D4"/>
    <w:rsid w:val="00CE57C6"/>
    <w:rsid w:val="00CE5C70"/>
    <w:rsid w:val="00CE7501"/>
    <w:rsid w:val="00CF1E12"/>
    <w:rsid w:val="00D22100"/>
    <w:rsid w:val="00D2414D"/>
    <w:rsid w:val="00D25973"/>
    <w:rsid w:val="00D3576A"/>
    <w:rsid w:val="00D41942"/>
    <w:rsid w:val="00D44A42"/>
    <w:rsid w:val="00D47B4C"/>
    <w:rsid w:val="00D526E4"/>
    <w:rsid w:val="00D572F9"/>
    <w:rsid w:val="00D57524"/>
    <w:rsid w:val="00D6211A"/>
    <w:rsid w:val="00D628C8"/>
    <w:rsid w:val="00D65403"/>
    <w:rsid w:val="00D65536"/>
    <w:rsid w:val="00D671ED"/>
    <w:rsid w:val="00D70D10"/>
    <w:rsid w:val="00D72D67"/>
    <w:rsid w:val="00D803B5"/>
    <w:rsid w:val="00D829B2"/>
    <w:rsid w:val="00D8608A"/>
    <w:rsid w:val="00D867B0"/>
    <w:rsid w:val="00D938C6"/>
    <w:rsid w:val="00DA1E02"/>
    <w:rsid w:val="00DA24D6"/>
    <w:rsid w:val="00DA33D4"/>
    <w:rsid w:val="00DB5565"/>
    <w:rsid w:val="00DE3713"/>
    <w:rsid w:val="00DE38F7"/>
    <w:rsid w:val="00DF3321"/>
    <w:rsid w:val="00DF67DE"/>
    <w:rsid w:val="00E04C9D"/>
    <w:rsid w:val="00E06256"/>
    <w:rsid w:val="00E17E49"/>
    <w:rsid w:val="00E24A13"/>
    <w:rsid w:val="00E24C03"/>
    <w:rsid w:val="00E35A1D"/>
    <w:rsid w:val="00E42677"/>
    <w:rsid w:val="00E43456"/>
    <w:rsid w:val="00E60865"/>
    <w:rsid w:val="00E66AB7"/>
    <w:rsid w:val="00E74E44"/>
    <w:rsid w:val="00E86DBE"/>
    <w:rsid w:val="00E928BE"/>
    <w:rsid w:val="00E95272"/>
    <w:rsid w:val="00E9690C"/>
    <w:rsid w:val="00EC653E"/>
    <w:rsid w:val="00ED01EF"/>
    <w:rsid w:val="00ED2697"/>
    <w:rsid w:val="00EE1D10"/>
    <w:rsid w:val="00EF4147"/>
    <w:rsid w:val="00EF457F"/>
    <w:rsid w:val="00F03890"/>
    <w:rsid w:val="00F06212"/>
    <w:rsid w:val="00F12CC0"/>
    <w:rsid w:val="00F177F3"/>
    <w:rsid w:val="00F27D2C"/>
    <w:rsid w:val="00F33CDB"/>
    <w:rsid w:val="00F42076"/>
    <w:rsid w:val="00F43AB9"/>
    <w:rsid w:val="00F44D47"/>
    <w:rsid w:val="00F475DE"/>
    <w:rsid w:val="00F50239"/>
    <w:rsid w:val="00F51C8C"/>
    <w:rsid w:val="00F53274"/>
    <w:rsid w:val="00F56E05"/>
    <w:rsid w:val="00F63473"/>
    <w:rsid w:val="00F76E21"/>
    <w:rsid w:val="00F775C6"/>
    <w:rsid w:val="00F80FBA"/>
    <w:rsid w:val="00F8712F"/>
    <w:rsid w:val="00F9121C"/>
    <w:rsid w:val="00F93F8F"/>
    <w:rsid w:val="00FA5CD5"/>
    <w:rsid w:val="00FB6DD7"/>
    <w:rsid w:val="00FB6E62"/>
    <w:rsid w:val="00FB776F"/>
    <w:rsid w:val="00FC38F1"/>
    <w:rsid w:val="00FD0CFA"/>
    <w:rsid w:val="00FD5911"/>
    <w:rsid w:val="00FE32F0"/>
    <w:rsid w:val="00FF64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3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3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9D75B9ED</Template>
  <TotalTime>7</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EWONG</dc:creator>
  <cp:keywords/>
  <dc:description/>
  <cp:lastModifiedBy>NKHALIL</cp:lastModifiedBy>
  <cp:revision>4</cp:revision>
  <dcterms:created xsi:type="dcterms:W3CDTF">2014-02-26T17:32:00Z</dcterms:created>
  <dcterms:modified xsi:type="dcterms:W3CDTF">2014-02-26T17:38:00Z</dcterms:modified>
</cp:coreProperties>
</file>