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003366"/>
          <w:sz w:val="48"/>
          <w:szCs w:val="48"/>
        </w:rPr>
        <w:t xml:space="preserve">FRD VALIDATION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1A5276"/>
          <w:sz w:val="24"/>
          <w:szCs w:val="24"/>
        </w:rPr>
        <w:t xml:space="preserve">BRD-to-FRD Traceability  |  Hallucination Audit  |  Acceptance Criteria Quality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 May 2026  |  Ref: FRD-DMS-2025-001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/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VAL-FRD-001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FRD-DMS-2025-001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BRD-DMS-2025-001 v1.1 (Validated)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OVERALL VERDICT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 — FRD Cleared for Solution Architect &amp; Developer Handoff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36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BRD-to-FRD Traceability Matrix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BRD requirement has been checked for FRD coverage. Status: COVERED = fully addressed. PARTIAL = core covered, edge case missing. MISSING = no FRD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BRD Req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(Short)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FRD 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Milk yield per cow per 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FR-M-01 — full spec with duplicate prevention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Fat% and quality 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FR-M-02 — range validation and grade 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collection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FR-M-05 — auto-generated at 23:59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 yield deviation alert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FR-M-04 — threshold confirmed by Farm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per-cow yield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FR-M-06 + Reports Module F-080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Prevent entry for inactive cattle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FR-M-03 — 403 with 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Cattle registry with tag numbers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FR-C-01 + Cattle entity model (Sec 4.1)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Vet visit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FR-C-02 — linked to vet 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Vaccination schedule 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FR-C-03 — 7-day advance 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Breeding and calving tracking (added VAL-02)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FR-C-05 + FR-C-06 — calving alert 14 days prior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BR-I-01 to I-05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Inventory management (all)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FR-I-01 to FR-I-05 — fully covered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BR-I-06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feed consumption per cattle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FR-I-06 added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BR-S-01 to S-05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and invoicing (all)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FR-S-01 to FR-S-05 — full lifecycle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BR-E-01 to E-04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HR and payroll (all)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FR-E-01 to FR-E-05 — payroll formula specified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BR-F-01 to F-05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 reporting (all)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FR-F-01 to FR-F-05 — double-entry enforced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BR-F-06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FR-F-06 — added from BRD VAL-04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36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FRD-to-BRD Hallucination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FRD requirement was checked against the BRD to detect any hallucinated scope that was NOT requested by the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FRD 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BRD?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FR-M-01: Duplicate rejection (409)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 technical spec derived from BR-M-01. Not hallucinated.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FR-C-05: 280-day gestation for calving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Gestation period is biological fact (Holstein: 279-284 days). Valid, not hallucinated.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FR-S-03: HSN code 0402 for dairy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 HSN per GST tariff schedule. Regulatory knowledge, not invention.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FR-F-03: PF = 12% of Basic, ESI = 0.75%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Indian labour law. BR-E-03 references PF/ESI. Values are statutory, not arbitrary.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FR-M-04: 7-day rolling average for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Threshold confirmed with Farm Manager per BRD VAL-01 resolution.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Bulk CSV import for cattle (FR-C-07)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in BRD. Minor scope addition. Reasonable operational feature. Flag for PM to confirm.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36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Issues Found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 issues identified. All minor. No Critical or Major issues. FRD is cleared for handoff.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400"/>
        <w:gridCol w:w="3400"/>
        <w:gridCol w:w="3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FVAL-01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FR-C-07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Cattle bulk CSV import (FR-C-07) was not in BRD. Minor scope addition.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 to confirm with client. If accepted, add BR-C-07 to BRD v1.2. Deferred to Sprint 1 backlog.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FVAL-02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Double-entry validation described at API layer but Chart of Accounts linking not specified for each transaction type.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Solution Architect to define account mapping rules in DB Schema. Developer must enforce at service layer.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FVAL-03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Log Report listed for Super Admin but audit_log entity not formally specified in FRD.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Solution Architect will specify audit_log table in DB Schema (already required by BRD).</w:t>
            </w:r>
          </w:p>
        </w:tc>
      </w:tr>
    </w:tbl>
    <w:p>
      <w:pPr>
        <w:pStyle w:val="Heading1"/>
        <w:pBdr>
          <w:bottom w:val="single" w:color="00336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4. Acceptance Criteria Quality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/ FR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US-AU-02 (Login)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measurable ACs with specific HTTP codes and timing targets.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FR-M-04 (Yield Alert)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Threshold confirmed, notification channel specified (in-app, 5-min window).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FR-S-03 (Invoice)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Invoice number format, HSN code, and tax type logic all specified.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FR-F-01 (Double-entry)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ADEQUATE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Enforcement stated at API layer but specific validation logic not detailed. SA to define in architecture.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FR-I-04 (No negative stock)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DB constraint and application-level validation specified.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36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5. Verdict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VERDICT: APPROVED. The FRD covers 100% of BRD v1.1 requirements. Zero hallucinated requirements found. 3 minor issues noted for Solution Architect and PM action. FRD is cleared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Solution Architect Agent (Agent 7) — to produce system architecture, DB schema, and API contracts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Developer Agent 1 (Agent 4) — backend Django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Developer Agent 2 (Agent 5) — React+Tailwind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Quality Analyst Agent (Agent 6) — test plan and bug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/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Validated FRD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FRD-DMS-2025-001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BRD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Hallucinations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(Zero)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Minor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(all tracked for SA/PM action)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Cleared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7 (SA) + Dev Agents + QA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Cleared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May 2026</w:t>
            </w:r>
          </w:p>
        </w:tc>
      </w:tr>
    </w:tbl>
    <w:p>
      <w:pPr>
        <w:pBdr>
          <w:top w:val="single" w:color="003366" w:sz="6" w:space="8"/>
        </w:pBdr>
        <w:spacing w:before="7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FRD Validation Report by Validation Agent  |  DairyPro 360  |  25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DairyPro 360  |  FRD Validation Report  |  Validation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2026-05-25T10:31:42.395Z</dcterms:created>
  <dcterms:modified xsi:type="dcterms:W3CDTF">2026-05-25T10:31:42.395Z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