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Conflict of Interest Statement</w:t>
      </w:r>
    </w:p>
    <w:p>
      <w:pPr>
        <w:spacing w:after="240"/>
        <w:jc w:val="left"/>
      </w:pPr>
      <w:r>
        <w:rPr>
          <w:b w:val="false"/>
          <w:bCs w:val="false"/>
          <w:sz w:val="22"/>
          <w:szCs w:val="22"/>
        </w:rPr>
        <w:t xml:space="preserve">Manuscript: When Does Memory Help? A Cost-Aware Evaluation of Long-Term Memory in Tool-Using LLM Agents</w:t>
      </w:r>
    </w:p>
    <w:p>
      <w:pPr>
        <w:spacing w:after="160"/>
        <w:jc w:val="left"/>
      </w:pPr>
      <w:r>
        <w:rPr>
          <w:b w:val="false"/>
          <w:bCs w:val="false"/>
          <w:sz w:val="22"/>
          <w:szCs w:val="22"/>
        </w:rPr>
        <w:t xml:space="preserve">None of the authors (Shweta Mishra, Shashank Mishra) have a conflict of interest to disclose. The research received no external funding; all API costs were self-funded by the authors.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2026-07-18T21:41:56.273Z</dcterms:created>
  <dcterms:modified xsi:type="dcterms:W3CDTF">2026-07-18T21:41:56.273Z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