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Cover Letter</w:t>
      </w:r>
    </w:p>
    <w:p>
      <w:pPr>
        <w:spacing w:after="240"/>
        <w:jc w:val="left"/>
      </w:pPr>
      <w:r>
        <w:rPr>
          <w:b w:val="false"/>
          <w:bCs w:val="false"/>
          <w:sz w:val="22"/>
          <w:szCs w:val="22"/>
        </w:rPr>
        <w:t xml:space="preserve">To the Editor-in-Chief, IEEE Transactions on Artificial Intelligence:</w:t>
      </w:r>
    </w:p>
    <w:p>
      <w:pPr>
        <w:spacing w:after="160"/>
        <w:jc w:val="left"/>
      </w:pPr>
      <w:r>
        <w:rPr>
          <w:b w:val="false"/>
          <w:bCs w:val="false"/>
          <w:sz w:val="22"/>
          <w:szCs w:val="22"/>
        </w:rPr>
        <w:t xml:space="preserve">Please consider the enclosed manuscript, "When Does Memory Help? A Cost-Aware Evaluation of Long-Term Memory in Tool-Using LLM Agents," for publication as a regular paper.</w:t>
      </w:r>
    </w:p>
    <w:p>
      <w:pPr>
        <w:spacing w:after="160"/>
        <w:jc w:val="left"/>
      </w:pPr>
      <w:r>
        <w:rPr>
          <w:b w:val="false"/>
          <w:bCs w:val="false"/>
          <w:sz w:val="22"/>
          <w:szCs w:val="22"/>
        </w:rPr>
        <w:t xml:space="preserve">The manuscript presents MERIT, a benchmark and evaluation harness that measures whether long-term memory changes what a tool-using LLM agent does - and at what cost - rather than what it can recall. It reports 23,440 scored episodes across three agent models and three seeds with preregistered hypotheses, plus gated spot-checks on latest-generation models.</w:t>
      </w:r>
    </w:p>
    <w:p>
      <w:pPr>
        <w:spacing w:after="160"/>
        <w:jc w:val="left"/>
      </w:pPr>
      <w:r>
        <w:rPr>
          <w:b w:val="false"/>
          <w:bCs w:val="false"/>
          <w:sz w:val="22"/>
          <w:szCs w:val="22"/>
        </w:rPr>
        <w:t xml:space="preserve">This manuscript is original, has not been published previously, and is not under consideration by any other journal or conference. All authors have approved the manuscript and its submission. Consistent with the double-anonymized review policy, author-identifying information and the public repository link appear only on the Title Page; the benchmark code, data, and full episode traces are publicly released and will be linked in the final version.</w:t>
      </w:r>
    </w:p>
    <w:p>
      <w:pPr>
        <w:spacing w:after="160"/>
        <w:jc w:val="left"/>
      </w:pPr>
      <w:r>
        <w:rPr>
          <w:b w:val="false"/>
          <w:bCs w:val="false"/>
          <w:sz w:val="22"/>
          <w:szCs w:val="22"/>
        </w:rPr>
        <w:t xml:space="preserve">The use of an AI assistant (Claude, Anthropic) in preparing the manuscript and code is disclosed in the Acknowledgments and cited in the references, per the IEEE guidelines on AI-generated text.</w:t>
      </w:r>
    </w:p>
    <w:p>
      <w:pPr>
        <w:spacing w:after="240"/>
        <w:jc w:val="left"/>
      </w:pPr>
      <w:r>
        <w:rPr>
          <w:b w:val="false"/>
          <w:bCs w:val="false"/>
          <w:sz w:val="22"/>
          <w:szCs w:val="22"/>
        </w:rPr>
        <w:t xml:space="preserve">Thank you for your consideration.</w:t>
      </w:r>
    </w:p>
    <w:p>
      <w:pPr>
        <w:spacing w:after="160"/>
        <w:jc w:val="left"/>
      </w:pPr>
      <w:r>
        <w:rPr>
          <w:b w:val="false"/>
          <w:bCs w:val="false"/>
          <w:sz w:val="22"/>
          <w:szCs w:val="22"/>
        </w:rPr>
        <w:t xml:space="preserve">Sincerely,</w:t>
      </w:r>
    </w:p>
    <w:p>
      <w:pPr>
        <w:spacing w:after="160"/>
        <w:jc w:val="left"/>
      </w:pPr>
      <w:r>
        <w:rPr>
          <w:b w:val="false"/>
          <w:bCs w:val="false"/>
          <w:sz w:val="22"/>
          <w:szCs w:val="22"/>
        </w:rPr>
        <w:t xml:space="preserve">Shweta Mishra (corresponding author, 1196shweta@gmail.com)</w:t>
      </w:r>
    </w:p>
    <w:p>
      <w:pPr>
        <w:spacing w:after="160"/>
        <w:jc w:val="left"/>
      </w:pPr>
      <w:r>
        <w:rPr>
          <w:b w:val="false"/>
          <w:bCs w:val="false"/>
          <w:sz w:val="22"/>
          <w:szCs w:val="22"/>
        </w:rPr>
        <w:t xml:space="preserve">Shashank Mishra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2026-07-18T21:41:56.274Z</dcterms:created>
  <dcterms:modified xsi:type="dcterms:W3CDTF">2026-07-18T21:41:56.274Z</dcterms:modified>
</cp:coreProperties>
</file>

<file path=docProps/custom.xml><?xml version="1.0" encoding="utf-8"?>
<Properties xmlns="http://schemas.openxmlformats.org/officeDocument/2006/custom-properties" xmlns:vt="http://schemas.openxmlformats.org/officeDocument/2006/docPropsVTypes"/>
</file>