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900"/>
        <w:gridCol w:w="2200"/>
      </w:tblGrid>
      <w:tr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40"/>
                <w:szCs w:val="40"/>
              </w:rPr>
              <w:t xml:space="preserve">SREEJITH M 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2C5F8A"/>
                <w:sz w:val="22"/>
                <w:szCs w:val="22"/>
              </w:rPr>
              <w:t xml:space="preserve">Senior Project &amp; Portfolio Manager | PMO Leadership | NPD Execution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Mobile: +49 170 6693662   |   Email: sreejithmohanakumaran2k10@gmail.com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LinkedIn: linkedin.com/in/sreejithms14041988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Work Authorization: Eligible to work in Germany (Opportunity Card, §20a AufenthG) | Open to relocation nationwide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04875" cy="1171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2C5F8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PROFILE SUMMARY</w:t>
      </w:r>
    </w:p>
    <w:p>
      <w:pPr>
        <w:spacing w:after="1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16+ years directing product development,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portfolio governance, and resource and capacity management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across automotive and industrial manufacturing. As Head of Department for New Product Development, led multi-site NPD teams and portfolios of 60+ concurrent projects —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defining gate-review governance and mentoring engineering teams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through complex product launches. Builds PMO structures that translate executive strategy into on-ground delivery, using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SAP, Power BI, Primavera, and Lean/APQP frameworks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. Trusted by leadership and clients alike as the primary technical and commercial interface on complex, multi-stakeholder programs. Currently building German language proficiency (A1).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8A"/>
                <w:sz w:val="26"/>
                <w:szCs w:val="26"/>
              </w:rPr>
              <w:t xml:space="preserve">16+ yrs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Project &amp; PMO leadership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8A"/>
                <w:sz w:val="26"/>
                <w:szCs w:val="26"/>
              </w:rPr>
              <w:t xml:space="preserve">64+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Concurrent projects led (HOD, UnoMinda)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8A"/>
                <w:sz w:val="26"/>
                <w:szCs w:val="26"/>
              </w:rPr>
              <w:t xml:space="preserve">&gt;90%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Project success rate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5F8A"/>
                <w:sz w:val="26"/>
                <w:szCs w:val="26"/>
              </w:rPr>
              <w:t xml:space="preserve">+12%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5"/>
                <w:szCs w:val="15"/>
              </w:rPr>
              <w:t xml:space="preserve">Margin improvement delivered</w:t>
            </w:r>
          </w:p>
        </w:tc>
      </w:tr>
    </w:tbl>
    <w:p>
      <w:pPr>
        <w:pBdr>
          <w:bottom w:val="single" w:color="2C5F8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CORE COMPETENCIES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Project &amp; Portfolio Management (Projektmanagement)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PMO Leadership &amp; Governance Design (Gate-Prozesse)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Resource &amp; Capacity Management (Ressourcenmanagement)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New Product Development (NPD) &amp; APQP Gate Governance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Risk Management &amp; Mitigation (Risikomanagement)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Agile Methodologies &amp; Change Management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Mentoring &amp; Team Development (Coaching)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Stakeholder Alignment &amp; Cross-Functional Leadership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Strategic Sourcing &amp; Vendor Development (Lieferantenentwicklung)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Process Design &amp; Optimization (Prozessoptimierung) &amp; Lean/TQM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Project Controlling &amp; Cost/Budget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SAP · Power BI · Primavera P6 · Planisware · MS Project · Zoho Projects</w:t>
            </w:r>
          </w:p>
        </w:tc>
      </w:tr>
    </w:tbl>
    <w:p>
      <w:pPr>
        <w:pBdr>
          <w:bottom w:val="single" w:color="2C5F8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Lead, PMO — </w:t>
      </w: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Tech Mahindra (Honeywell Account)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May 2023 – July 2026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Led PMO continuity and migration workstreams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through Honeywell Advanced Materials' corporate carve-out into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Solstice Advanced Materials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taking ownership of critical transition activities to sustain project governance through the divestiture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Owned end-to-end data migration of project and portfolio records from Accolade to Planisware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the new enterprise PM platform, ensuring data integrity and uninterrupted continuity across all live projects,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coordinating with finance, engineering, and account teams to align timelines,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leading training sessions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to accelerate platform adoption across the account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Built and owned the PMO Process Site (Confluence)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the Advanced Materials Domain, including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leading its migration to Solstice Advanced Materials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during the corporate carve-out, and standardizing documentation, templates, and process governance across the account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Owned planned-expense validation for all live projects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in Accolade against the Annual Operating Plan (AOP), mapping planned versus actual AOP to eliminate variances,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built a senior-management dashboard informing decisions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to increase, reduce, or discontinue project funding based on expense and revenue-generation trade-offs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Automated revenue reporting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across all live projects and built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Power BI dashboards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tracking revenue, margin, and spend; reconciled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Month-on-Month revenue (YTD) against finance-reported actuals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resolving variances directly with project owners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Drove monthly stakeholder compliance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SKU data submissions, coordinating across project owners to ensure updates were completed accurately ahead of deadline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monthly NPI and financial MOS reports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driving leadership visibility and organization-wide accountability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Deputy Manager, New Product Control (Program Management) — </w:t>
      </w: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UnoMinda Limited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2022 – Apr 2023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Served as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Head of Department for NPD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at the Hosur location, with the full NPD team reporting to this role on a dotted-line basis across development, quality, and supply chain functions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Owned the NPD function end-to-end for two major accounts (TVSM and Ather Energy), acting as the senior escalation point for both internal leadership and customer stakeholders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Defined and administered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APQP gate-review criteria and project-selection decision frameworks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chairing gate-passage reviews and approving progression across the full project lifecycle against QCDDM benchmarks (Quality, Cost, Delivery, Development, Management), with proactive risk identification and mitigation ahead of project gateways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Owned end-to-end project development, resource allocation, and capacity planning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across a 64+ project portfolio,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prioritizing initiatives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against strategic value, team bandwidth, and delivery risk — sustaining a success rate exceeding 90% (15 projects transitioned into serial production) while controlling costs to drive a 12% profit margin increase across the FY22–23 cycle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Mentored and coached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engineers and project leads across development, quality, and supply chain functions, building PM capability, structured decision-making, and gate-readiness within the department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Achieved over 85% First Time Right (FTR) rate while introducing Zoho Projects as the standard PM tool within the Switch division, minimizing rework and improving tracking precision across teams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2C5F8A"/>
          <w:sz w:val="20"/>
          <w:szCs w:val="20"/>
        </w:rPr>
        <w:t xml:space="preserve">Gabriel India Limited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2016 – Dec 2021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/>
          <w:iCs/>
          <w:color w:val="1F2937"/>
          <w:sz w:val="19"/>
          <w:szCs w:val="19"/>
        </w:rPr>
        <w:t xml:space="preserve">Key Accounts Manager, Business Development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— Jan 2020 – Dec 2021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Fast-tracked to commercial leadership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promoted from vendor-side execution to full ownership of OEM relationships and revenue outcomes, on the strength of sourcing performance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Served as primary contact for OEM clients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managing product development cycles, quality oversight, commercial discussions, and daily supply flow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Orchestrated cross-functional collaboration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new projects to fulfill QCDDM objectives, facilitating stakeholder alignment across engineering, quality, and supply chain teams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Managed project workflows via PLM integrated with SAP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improving execution visibility and coordination across engineering and supply chain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i/>
          <w:iCs/>
          <w:color w:val="1F2937"/>
          <w:sz w:val="19"/>
          <w:szCs w:val="19"/>
        </w:rPr>
        <w:t xml:space="preserve">Senior Engineer, Sourcing &amp; SCM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— Oct 2016 – Jan 2020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Drove supplier integration for new product development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across key commodities, aligning vendor capability with technical requirements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Managed end-to-end sourcing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: feasibility assessments, cost finalization, capacity reviews, and vendor onboarding (domestic and China-based)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Onboarded and scaled an aluminium forging supplier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achieving 90% quality and delivery efficiency at competitive cost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Improved FTR performance from 65% to 87%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and reduced rejection rates on new products below 10%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Designed and implemented manufacturing process improvements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via VA/VE and ZBC initiatives; increased vendor productivity 15% through Value Stream Mapping (VSM)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Early Career — Engineering, NPD &amp; Process Design Foundations (2010–2016)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Senior Engineer, MED Methods — Rane Engine Valve Limited (2014–2016):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Redesigned process controls for an underperforming valve line, cutting EN52 rejection from 80% to 15% and raising output to 110 units/shift, for clients including MTU Friedrichshafen (Rolls-Royce Power Systems)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NPD Engineer — Nash Industries (I) Pvt. Ltd. (2012–2014):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blanking process workflows from concept to zero-rejection production, end-to-end</w:t>
      </w:r>
    </w:p>
    <w:p>
      <w:pPr>
        <w:pStyle w:val="ListParagraph"/>
        <w:numPr>
          <w:ilvl w:val="0"/>
          <w:numId w:val="1"/>
        </w:numPr>
        <w:spacing w:after="60"/>
        <w:jc w:val="both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Senior Engineer — Digh Vijay Plastics and Allied Products (P) Ltd. (2010–2012):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Managed BOM, ECN, process planning, vendor development, and product costing across multiple lines</w:t>
      </w:r>
    </w:p>
    <w:p>
      <w:pPr>
        <w:pBdr>
          <w:bottom w:val="single" w:color="2C5F8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EDUCATION</w:t>
      </w:r>
    </w:p>
    <w:p>
      <w:pPr>
        <w:spacing w:after="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M.Tech in Manufacturing Management — BITS, Pilani | CGPA 6.61 (≈ German Grade 2.0, Gut)</w:t>
      </w:r>
    </w:p>
    <w:p>
      <w:pPr>
        <w:jc w:val="both"/>
      </w:pPr>
      <w:r>
        <w:rPr>
          <w:rFonts w:ascii="Calibri" w:cs="Calibri" w:eastAsia="Calibri" w:hAnsi="Calibri"/>
          <w:sz w:val="18"/>
          <w:szCs w:val="18"/>
        </w:rPr>
        <w:t xml:space="preserve">B.E. in Mechanical Engineering — Anna University, Chennai | 68% Aggregate (≈ German Grade 2.0, Gut)</w:t>
      </w:r>
    </w:p>
    <w:p>
      <w:pPr>
        <w:pBdr>
          <w:bottom w:val="single" w:color="2C5F8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LANGUAGES</w:t>
      </w:r>
    </w:p>
    <w:p>
      <w:pPr>
        <w:jc w:val="both"/>
      </w:pPr>
      <w:r>
        <w:rPr>
          <w:rFonts w:ascii="Calibri" w:cs="Calibri" w:eastAsia="Calibri" w:hAnsi="Calibri"/>
          <w:sz w:val="18"/>
          <w:szCs w:val="18"/>
        </w:rPr>
        <w:t xml:space="preserve">English (Fluent) · Hindi (Fluent) · Malayalam (Native) · Tamil (Fluent) · Kannada (Conversational) · German (A1, in progress)</w:t>
      </w:r>
    </w:p>
    <w:p>
      <w:pPr>
        <w:pBdr>
          <w:bottom w:val="single" w:color="2C5F8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2C5F8A"/>
          <w:sz w:val="21"/>
          <w:szCs w:val="21"/>
        </w:rPr>
        <w:t xml:space="preserve">CERTIFICATIONS &amp; PROFESSIONAL DEVELOPMENT</w:t>
      </w:r>
    </w:p>
    <w:p>
      <w:pPr>
        <w:jc w:val="both"/>
      </w:pPr>
      <w:r>
        <w:rPr>
          <w:rFonts w:ascii="Calibri" w:cs="Calibri" w:eastAsia="Calibri" w:hAnsi="Calibri"/>
          <w:sz w:val="18"/>
          <w:szCs w:val="18"/>
        </w:rPr>
        <w:t xml:space="preserve">PMP Exam Preparation — 35 Contact Hours of Formal Project Management Education (PMI-aligned)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f1faf61e8d4da8922d56b30c917d12dfa9a6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2026-07-25T08:06:45.838Z</dcterms:created>
  <dcterms:modified xsi:type="dcterms:W3CDTF">2026-07-25T08:06:45.850Z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