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360"/>
        <w:jc w:val="center"/>
      </w:pPr>
      <w:r>
        <w:rPr>
          <w:rFonts w:ascii="Calibri" w:hAnsi="Calibri" w:eastAsia="Calibri"/>
          <w:b/>
          <w:color w:val="B98900"/>
          <w:sz w:val="21"/>
        </w:rPr>
        <w:t>PERFORMANCE ENGINEERING REPORT</w:t>
      </w:r>
    </w:p>
    <w:p>
      <w:pPr>
        <w:spacing w:after="160"/>
        <w:jc w:val="center"/>
      </w:pPr>
      <w:r>
        <w:rPr>
          <w:rFonts w:ascii="Calibri" w:hAnsi="Calibri" w:eastAsia="Calibri"/>
          <w:b/>
          <w:color w:val="0B2545"/>
          <w:sz w:val="60"/>
        </w:rPr>
        <w:t>VEDA Latency Optimization</w:t>
      </w:r>
    </w:p>
    <w:p>
      <w:pPr>
        <w:spacing w:after="520"/>
        <w:jc w:val="center"/>
      </w:pPr>
      <w:r>
        <w:rPr>
          <w:rFonts w:ascii="Calibri" w:hAnsi="Calibri" w:eastAsia="Calibri"/>
          <w:color w:val="1F4D78"/>
          <w:sz w:val="28"/>
        </w:rPr>
        <w:t>Measured speedup, design rationale and accuracy assurance</w:t>
      </w:r>
    </w:p>
    <w:p>
      <w:pPr>
        <w:spacing w:after="520"/>
        <w:pBdr>
          <w:bottom w:val="single" w:sz="14" w:space="4" w:color="2E74B5"/>
        </w:pBdr>
      </w:pPr>
    </w:p>
    <w:tbl>
      <w:tblPr>
        <w:jc w:val="left"/>
        <w:tblLook w:firstColumn="1" w:firstRow="1" w:lastColumn="0" w:lastRow="0" w:noHBand="0" w:noVBand="1" w:val="04A0"/>
        <w:tblW w:w="9360" w:type="dxa"/>
        <w:tblInd w:w="90" w:type="dxa"/>
        <w:tblLayout w:type="fixed"/>
        <w:tblBorders>
          <w:top w:val="single" w:sz="5" w:space="0" w:color="DCE5EE"/>
          <w:left w:val="single" w:sz="5" w:space="0" w:color="DCE5EE"/>
          <w:bottom w:val="single" w:sz="5" w:space="0" w:color="DCE5EE"/>
          <w:right w:val="single" w:sz="5" w:space="0" w:color="DCE5EE"/>
          <w:insideH w:val="single" w:sz="5" w:space="0" w:color="DCE5EE"/>
          <w:insideV w:val="single" w:sz="5" w:space="0" w:color="DCE5EE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140" w:type="dxa"/>
              <w:start w:w="90" w:type="dxa"/>
              <w:bottom w:w="140" w:type="dxa"/>
              <w:end w:w="90" w:type="dxa"/>
            </w:tcMar>
            <w:vAlign w:val="center"/>
            <w:shd w:fill="E8EEF5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E74B5"/>
                <w:sz w:val="42"/>
              </w:rPr>
              <w:t>6.9x</w:t>
            </w:r>
          </w:p>
        </w:tc>
        <w:tc>
          <w:tcPr>
            <w:tcW w:type="dxa" w:w="3120"/>
            <w:tcMar>
              <w:top w:w="140" w:type="dxa"/>
              <w:start w:w="90" w:type="dxa"/>
              <w:bottom w:w="140" w:type="dxa"/>
              <w:end w:w="90" w:type="dxa"/>
            </w:tcMar>
            <w:vAlign w:val="center"/>
            <w:shd w:fill="E8EEF5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2E74B5"/>
                <w:sz w:val="42"/>
              </w:rPr>
              <w:t>85.5%</w:t>
            </w:r>
          </w:p>
        </w:tc>
        <w:tc>
          <w:tcPr>
            <w:tcW w:type="dxa" w:w="3120"/>
            <w:tcMar>
              <w:top w:w="140" w:type="dxa"/>
              <w:start w:w="90" w:type="dxa"/>
              <w:bottom w:w="140" w:type="dxa"/>
              <w:end w:w="90" w:type="dxa"/>
            </w:tcMar>
            <w:vAlign w:val="center"/>
            <w:shd w:fill="EAF6EF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5803D"/>
                <w:sz w:val="42"/>
              </w:rPr>
              <w:t>0.00 pp</w:t>
            </w:r>
          </w:p>
        </w:tc>
      </w:tr>
      <w:tr>
        <w:tc>
          <w:tcPr>
            <w:tcW w:type="dxa" w:w="3120"/>
            <w:tcMar>
              <w:top w:w="140" w:type="dxa"/>
              <w:start w:w="90" w:type="dxa"/>
              <w:bottom w:w="140" w:type="dxa"/>
              <w:end w:w="90" w:type="dxa"/>
            </w:tcMar>
            <w:vAlign w:val="center"/>
            <w:shd w:fill="FFFFFF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Faster resolver</w:t>
            </w:r>
          </w:p>
        </w:tc>
        <w:tc>
          <w:tcPr>
            <w:tcW w:type="dxa" w:w="3120"/>
            <w:tcMar>
              <w:top w:w="140" w:type="dxa"/>
              <w:start w:w="90" w:type="dxa"/>
              <w:bottom w:w="140" w:type="dxa"/>
              <w:end w:w="90" w:type="dxa"/>
            </w:tcMar>
            <w:vAlign w:val="center"/>
            <w:shd w:fill="FFFFFF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Latency reduction</w:t>
            </w:r>
          </w:p>
        </w:tc>
        <w:tc>
          <w:tcPr>
            <w:tcW w:type="dxa" w:w="3120"/>
            <w:tcMar>
              <w:top w:w="140" w:type="dxa"/>
              <w:start w:w="90" w:type="dxa"/>
              <w:bottom w:w="140" w:type="dxa"/>
              <w:end w:w="90" w:type="dxa"/>
            </w:tcMar>
            <w:vAlign w:val="center"/>
            <w:shd w:fill="FFFFFF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Top-1 accuracy change</w:t>
            </w:r>
          </w:p>
        </w:tc>
      </w:tr>
    </w:tbl>
    <w:p>
      <w:pPr>
        <w:spacing w:before="1440" w:after="80"/>
        <w:jc w:val="center"/>
      </w:pPr>
      <w:r>
        <w:rPr>
          <w:rFonts w:ascii="Calibri" w:hAnsi="Calibri" w:eastAsia="Calibri"/>
          <w:b/>
          <w:color w:val="0B2545"/>
          <w:sz w:val="24"/>
        </w:rPr>
        <w:t>Prepared by Shivansh Mukhia</w:t>
      </w:r>
    </w:p>
    <w:p>
      <w:pPr>
        <w:spacing w:after="0"/>
        <w:jc w:val="center"/>
      </w:pPr>
      <w:r>
        <w:rPr>
          <w:rFonts w:ascii="Calibri" w:hAnsi="Calibri" w:eastAsia="Calibri"/>
          <w:color w:val="64748B"/>
          <w:sz w:val="19"/>
        </w:rPr>
        <w:t>28 August 2026 | VEDA project performance review</w:t>
      </w:r>
    </w:p>
    <w:p>
      <w:r>
        <w:br w:type="page"/>
      </w:r>
    </w:p>
    <w:p>
      <w:pPr>
        <w:pStyle w:val="Heading1"/>
        <w:keepNext w:val="1"/>
      </w:pPr>
      <w:r>
        <w:t>1. Executive result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80" w:type="dxa"/>
        <w:tblLayout w:type="fixed"/>
        <w:tblBorders>
          <w:top w:val="single" w:sz="8" w:space="0" w:color="15803D"/>
          <w:left w:val="single" w:sz="8" w:space="0" w:color="15803D"/>
          <w:bottom w:val="single" w:sz="8" w:space="0" w:color="15803D"/>
          <w:right w:val="single" w:sz="8" w:space="0" w:color="15803D"/>
          <w:insideH w:val="single" w:sz="8" w:space="0" w:color="15803D"/>
          <w:insideV w:val="single" w:sz="8" w:space="0" w:color="15803D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AF6EF" w:val="clea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15803D"/>
                <w:sz w:val="21"/>
              </w:rPr>
              <w:t xml:space="preserve">CONCLUSION  </w:t>
            </w:r>
            <w:r>
              <w:rPr>
                <w:rFonts w:ascii="Calibri" w:hAnsi="Calibri" w:eastAsia="Calibri"/>
                <w:color w:val="1F2937"/>
                <w:sz w:val="21"/>
              </w:rPr>
              <w:t>The optimized resolver processed the same 165 evidence records in 22.8 seconds, down from approximately 157.5 seconds. The frozen 170-case accuracy benchmark retained exactly the same Top-1 and recall scores.</w:t>
            </w:r>
          </w:p>
        </w:tc>
      </w:tr>
    </w:tbl>
    <w:p>
      <w:pPr>
        <w:spacing w:after="40" w:before="0"/>
      </w:pPr>
    </w:p>
    <w:p>
      <w:pPr>
        <w:spacing w:before="0" w:after="120" w:line="264" w:lineRule="auto"/>
      </w:pPr>
      <w:r>
        <w:rPr>
          <w:rFonts w:ascii="Calibri" w:hAnsi="Calibri" w:eastAsia="Calibri"/>
          <w:color w:val="1F2937"/>
          <w:sz w:val="22"/>
        </w:rPr>
        <w:t>The original 254.5-second end-to-end run was not uniformly slow. Most of the avoidable delay came from repeated candidate reasoning, cold machine-learning imports and an unclaimed Antigravity inbox window. The improvement therefore targeted those measured bottlenecks instead of weakening the resolver.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1968246"/>
            <wp:docPr id="1" name="Picture 1" title="Figure 1. Resolver latency on the real 165-record project." descr="Horizontal bars compare 157.5 seconds before optimization with 22.8 seconds after optimization, an 85.5 percent redu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olver_lat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968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keepNext w:val="0"/>
      </w:pPr>
      <w:r>
        <w:t>Figure 1. Resolver latency on the real 165-record project.</w:t>
      </w:r>
    </w:p>
    <w:p>
      <w:pPr>
        <w:pStyle w:val="Heading2"/>
        <w:keepNext w:val="1"/>
      </w:pPr>
      <w:r>
        <w:t>Measured comparison</w:t>
      </w:r>
    </w:p>
    <w:tbl>
      <w:tblPr>
        <w:tblLook w:firstColumn="1" w:firstRow="1" w:lastColumn="0" w:lastRow="0" w:noHBand="0" w:noVBand="1" w:val="04A0"/>
        <w:jc w:val="left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  <w:tblW w:w="9360" w:type="dxa"/>
        <w:tblInd w:w="120" w:type="dxa"/>
        <w:tblLayout w:type="fixed"/>
      </w:tblPr>
      <w:tblGrid>
        <w:gridCol w:w="4200"/>
        <w:gridCol w:w="1750"/>
        <w:gridCol w:w="1750"/>
        <w:gridCol w:w="1660"/>
      </w:tblGrid>
      <w:tr>
        <w:trPr>
          <w:tblHeader w:val="true"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Metric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Before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After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Change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8"/>
              </w:rPr>
              <w:t>Resolver time (165 records)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8"/>
              </w:rPr>
              <w:t>157.5 s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8"/>
              </w:rPr>
              <w:t>22.8 s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8"/>
              </w:rPr>
              <w:t>-85.5%</w:t>
            </w:r>
          </w:p>
        </w:tc>
      </w:tr>
      <w:tr>
        <w:tc>
          <w:tcPr>
            <w:tcW w:type="dxa" w:w="4200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8"/>
              </w:rPr>
              <w:t>Resolver throughput</w:t>
            </w:r>
          </w:p>
        </w:tc>
        <w:tc>
          <w:tcPr>
            <w:tcW w:type="dxa" w:w="1750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8"/>
              </w:rPr>
              <w:t>1.05 records/s</w:t>
            </w:r>
          </w:p>
        </w:tc>
        <w:tc>
          <w:tcPr>
            <w:tcW w:type="dxa" w:w="1750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8"/>
              </w:rPr>
              <w:t>7.24 records/s</w:t>
            </w:r>
          </w:p>
        </w:tc>
        <w:tc>
          <w:tcPr>
            <w:tcW w:type="dxa" w:w="1660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8"/>
              </w:rPr>
              <w:t>6.9x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8"/>
              </w:rPr>
              <w:t>Per-record resolver time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8"/>
              </w:rPr>
              <w:t>0.955 s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8"/>
              </w:rPr>
              <w:t>0.138 s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8"/>
              </w:rPr>
              <w:t>-85.5%</w:t>
            </w:r>
          </w:p>
        </w:tc>
      </w:tr>
      <w:tr>
        <w:tc>
          <w:tcPr>
            <w:tcW w:type="dxa" w:w="4200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8"/>
              </w:rPr>
              <w:t>Embedding selector cold start</w:t>
            </w:r>
          </w:p>
        </w:tc>
        <w:tc>
          <w:tcPr>
            <w:tcW w:type="dxa" w:w="1750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8"/>
              </w:rPr>
              <w:t>14.7 s</w:t>
            </w:r>
          </w:p>
        </w:tc>
        <w:tc>
          <w:tcPr>
            <w:tcW w:type="dxa" w:w="1750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8"/>
              </w:rPr>
              <w:t>0.26 s</w:t>
            </w:r>
          </w:p>
        </w:tc>
        <w:tc>
          <w:tcPr>
            <w:tcW w:type="dxa" w:w="1660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8"/>
              </w:rPr>
              <w:t>-98.2%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8"/>
              </w:rPr>
              <w:t>Unclaimed Antigravity wait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8"/>
              </w:rPr>
              <w:t>30 s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8"/>
              </w:rPr>
              <w:t>8 s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8"/>
              </w:rPr>
              <w:t>-73.3%</w:t>
            </w:r>
          </w:p>
        </w:tc>
      </w:tr>
      <w:tr>
        <w:tc>
          <w:tcPr>
            <w:tcW w:type="dxa" w:w="4200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8"/>
              </w:rPr>
              <w:t>Full analysis</w:t>
            </w:r>
          </w:p>
        </w:tc>
        <w:tc>
          <w:tcPr>
            <w:tcW w:type="dxa" w:w="1750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8"/>
              </w:rPr>
              <w:t>254.5 s measured</w:t>
            </w:r>
          </w:p>
        </w:tc>
        <w:tc>
          <w:tcPr>
            <w:tcW w:type="dxa" w:w="1750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8"/>
              </w:rPr>
              <w:t>60-90 s expected</w:t>
            </w:r>
          </w:p>
        </w:tc>
        <w:tc>
          <w:tcPr>
            <w:tcW w:type="dxa" w:w="1660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8"/>
              </w:rPr>
              <w:t>~67% midpoint</w:t>
            </w:r>
          </w:p>
        </w:tc>
      </w:tr>
    </w:tbl>
    <w:p>
      <w:pPr>
        <w:spacing w:after="20"/>
      </w:pPr>
    </w:p>
    <w:p>
      <w:pPr>
        <w:spacing w:before="0" w:after="0" w:line="264" w:lineRule="auto"/>
      </w:pPr>
      <w:r>
        <w:rPr>
          <w:rFonts w:ascii="Calibri" w:hAnsi="Calibri" w:eastAsia="Calibri"/>
          <w:color w:val="64748B"/>
          <w:sz w:val="18"/>
        </w:rPr>
        <w:t>Measurement note: the 22.8-second resolver result is directly measured. The optimized full-analysis range is an engineering estimate because Horizun startup and claimed Antigravity inference time vary by machine and run.</w:t>
      </w:r>
    </w:p>
    <w:p>
      <w:r>
        <w:br w:type="page"/>
      </w:r>
    </w:p>
    <w:p>
      <w:pPr>
        <w:pStyle w:val="Heading1"/>
        <w:keepNext w:val="1"/>
      </w:pPr>
      <w:r>
        <w:t>2. Root cause and optimization approach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1F2937"/>
          <w:sz w:val="22"/>
        </w:rPr>
        <w:t>Durable job timestamps separated the run into schedule ingestion, provider handoff, index preparation, evidence resolution and final validation. This showed that UI rendering was not the main latency source: repeated backend work was.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2460308"/>
            <wp:docPr id="2" name="Picture 2" title="Figure 2. Measured baseline stage breakdown and projected optimized first run." descr="Stacked horizontal bars show the baseline total of 254.5 seconds and an optimized projection of 83.3 seconds across schedule extraction, provider wait, index setup, evidence resolution and finaliz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_to_end_sta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460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keepNext w:val="0"/>
      </w:pPr>
      <w:r>
        <w:t>Figure 2. Measured baseline stage breakdown and projected optimized first run.</w:t>
      </w:r>
    </w:p>
    <w:p>
      <w:pPr>
        <w:pStyle w:val="Heading2"/>
        <w:keepNext w:val="1"/>
      </w:pPr>
      <w:r>
        <w:t>Why these changes were selected</w:t>
      </w:r>
    </w:p>
    <w:tbl>
      <w:tblPr>
        <w:tblLook w:firstColumn="1" w:firstRow="1" w:lastColumn="0" w:lastRow="0" w:noHBand="0" w:noVBand="1" w:val="04A0"/>
        <w:jc w:val="left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  <w:tblW w:w="9360" w:type="dxa"/>
        <w:tblInd w:w="120" w:type="dxa"/>
        <w:tblLayout w:type="fixed"/>
      </w:tblPr>
      <w:tblGrid>
        <w:gridCol w:w="1900"/>
        <w:gridCol w:w="2600"/>
        <w:gridCol w:w="48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Bottleneck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Optimization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Why this approach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7"/>
              </w:rPr>
              <w:t>Cold hardware detection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7"/>
              </w:rPr>
              <w:t>Lightweight GPU probe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7"/>
              </w:rPr>
              <w:t>Avoid importing PyTorch only to choose the dependency-free CPU backend.</w:t>
            </w:r>
          </w:p>
        </w:tc>
      </w:tr>
      <w:tr>
        <w:tc>
          <w:tcPr>
            <w:tcW w:type="dxa" w:w="1900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7"/>
              </w:rPr>
              <w:t>Cold MetaRank load</w:t>
            </w:r>
          </w:p>
        </w:tc>
        <w:tc>
          <w:tcPr>
            <w:tcW w:type="dxa" w:w="2600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7"/>
              </w:rPr>
              <w:t>Background model warmup</w:t>
            </w:r>
          </w:p>
        </w:tc>
        <w:tc>
          <w:tcPr>
            <w:tcW w:type="dxa" w:w="4860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7"/>
              </w:rPr>
              <w:t>Moves XGBoost and frozen-model loading outside the first evidence request.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7"/>
              </w:rPr>
              <w:t>Repeated feature work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7"/>
              </w:rPr>
              <w:t>Cache invariant schedule and evidence context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7"/>
              </w:rPr>
              <w:t>Computes snapshot, corroboration and logic mode once per row instead of once per candidate.</w:t>
            </w:r>
          </w:p>
        </w:tc>
      </w:tr>
      <w:tr>
        <w:tc>
          <w:tcPr>
            <w:tcW w:type="dxa" w:w="1900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7"/>
              </w:rPr>
              <w:t>Large object copies</w:t>
            </w:r>
          </w:p>
        </w:tc>
        <w:tc>
          <w:tcPr>
            <w:tcW w:type="dxa" w:w="2600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7"/>
              </w:rPr>
              <w:t>Shallow ranking envelopes</w:t>
            </w:r>
          </w:p>
        </w:tc>
        <w:tc>
          <w:tcPr>
            <w:tcW w:type="dxa" w:w="4860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7"/>
              </w:rPr>
              <w:t>Copies only mutable scores and features; immutable activity documents are shared safely.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7"/>
              </w:rPr>
              <w:t>Rescheduler hot loop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7"/>
              </w:rPr>
              <w:t>Precompute dates and schedule state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7"/>
              </w:rPr>
              <w:t>Removes tens of thousands of repeated parses and status checks without changing beam depth or equations.</w:t>
            </w:r>
          </w:p>
        </w:tc>
      </w:tr>
      <w:tr>
        <w:tc>
          <w:tcPr>
            <w:tcW w:type="dxa" w:w="1900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7"/>
              </w:rPr>
              <w:t>Idle provider bridge</w:t>
            </w:r>
          </w:p>
        </w:tc>
        <w:tc>
          <w:tcPr>
            <w:tcW w:type="dxa" w:w="2600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7"/>
              </w:rPr>
              <w:t>Eight-second claim guard</w:t>
            </w:r>
          </w:p>
        </w:tc>
        <w:tc>
          <w:tcPr>
            <w:tcW w:type="dxa" w:w="4860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7"/>
              </w:rPr>
              <w:t>Releases the worker quickly when no Antigravity agent is polling; a claimed job still gets the normal reasoning window.</w:t>
            </w:r>
          </w:p>
        </w:tc>
      </w:tr>
    </w:tbl>
    <w:p>
      <w:pPr>
        <w:spacing w:after="20"/>
      </w:pPr>
    </w:p>
    <w:tbl>
      <w:tblPr>
        <w:jc w:val="left"/>
        <w:tblLook w:firstColumn="1" w:firstRow="1" w:lastColumn="0" w:lastRow="0" w:noHBand="0" w:noVBand="1" w:val="04A0"/>
        <w:tblW w:w="9360" w:type="dxa"/>
        <w:tblInd w:w="180" w:type="dxa"/>
        <w:tblLayout w:type="fixed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8EEF5" w:val="clea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2E74B5"/>
                <w:sz w:val="21"/>
              </w:rPr>
              <w:t xml:space="preserve">DESIGN PRINCIPLE  </w:t>
            </w:r>
            <w:r>
              <w:rPr>
                <w:rFonts w:ascii="Calibri" w:hAnsi="Calibri" w:eastAsia="Calibri"/>
                <w:color w:val="1F2937"/>
                <w:sz w:val="21"/>
              </w:rPr>
              <w:t>Make the same decision with less repeated work. No expert was removed, no candidate list was shortened, and no validation or schedule-write gate was bypassed.</w:t>
            </w:r>
          </w:p>
        </w:tc>
      </w:tr>
    </w:tbl>
    <w:p>
      <w:pPr>
        <w:spacing w:after="40" w:before="0"/>
      </w:pPr>
    </w:p>
    <w:p>
      <w:r>
        <w:br w:type="page"/>
      </w:r>
    </w:p>
    <w:p>
      <w:pPr>
        <w:pStyle w:val="Heading1"/>
        <w:keepNext w:val="1"/>
      </w:pPr>
      <w:r>
        <w:t>3. Accuracy impact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80" w:type="dxa"/>
        <w:tblLayout w:type="fixed"/>
        <w:tblBorders>
          <w:top w:val="single" w:sz="8" w:space="0" w:color="15803D"/>
          <w:left w:val="single" w:sz="8" w:space="0" w:color="15803D"/>
          <w:bottom w:val="single" w:sz="8" w:space="0" w:color="15803D"/>
          <w:right w:val="single" w:sz="8" w:space="0" w:color="15803D"/>
          <w:insideH w:val="single" w:sz="8" w:space="0" w:color="15803D"/>
          <w:insideV w:val="single" w:sz="8" w:space="0" w:color="15803D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AF6EF" w:val="clea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15803D"/>
                <w:sz w:val="21"/>
              </w:rPr>
              <w:t xml:space="preserve">ANSWER  </w:t>
            </w:r>
            <w:r>
              <w:rPr>
                <w:rFonts w:ascii="Calibri" w:hAnsi="Calibri" w:eastAsia="Calibri"/>
                <w:color w:val="1F2937"/>
                <w:sz w:val="21"/>
              </w:rPr>
              <w:t>No material accuracy loss was observed. Top-1 and Recall@3/5/10 were identical across all 170 frozen holdout cases.</w:t>
            </w:r>
          </w:p>
        </w:tc>
      </w:tr>
    </w:tbl>
    <w:p>
      <w:pPr>
        <w:spacing w:after="40" w:before="0"/>
      </w:pP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66360" cy="2454021"/>
            <wp:docPr id="3" name="Picture 3" title="Figure 3. Frozen holdout ranking quality before and after optimization." descr="Dot plot compares baseline and optimized Top-1, Recall at 3, Recall at 5, Recall at 10 and mean reciprocal rank across 170 labeled cas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holdo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454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keepNext w:val="0"/>
      </w:pPr>
      <w:r>
        <w:t>Figure 3. Frozen holdout ranking quality before and after optimization.</w:t>
      </w:r>
    </w:p>
    <w:tbl>
      <w:tblPr>
        <w:tblLook w:firstColumn="1" w:firstRow="1" w:lastColumn="0" w:lastRow="0" w:noHBand="0" w:noVBand="1" w:val="04A0"/>
        <w:jc w:val="left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  <w:tblW w:w="9360" w:type="dxa"/>
        <w:tblInd w:w="120" w:type="dxa"/>
        <w:tblLayout w:type="fixed"/>
      </w:tblPr>
      <w:tblGrid>
        <w:gridCol w:w="3300"/>
        <w:gridCol w:w="2020"/>
        <w:gridCol w:w="2020"/>
        <w:gridCol w:w="2020"/>
      </w:tblGrid>
      <w:tr>
        <w:trPr>
          <w:tblHeader w:val="true"/>
        </w:trPr>
        <w:tc>
          <w:tcPr>
            <w:tcW w:type="dxa" w:w="33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Accuracy metric</w:t>
            </w:r>
          </w:p>
        </w:tc>
        <w:tc>
          <w:tcPr>
            <w:tcW w:type="dxa" w:w="20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Frozen baseline</w:t>
            </w:r>
          </w:p>
        </w:tc>
        <w:tc>
          <w:tcPr>
            <w:tcW w:type="dxa" w:w="20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Optimized</w:t>
            </w:r>
          </w:p>
        </w:tc>
        <w:tc>
          <w:tcPr>
            <w:tcW w:type="dxa" w:w="20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Delta</w:t>
            </w:r>
          </w:p>
        </w:tc>
      </w:tr>
      <w:tr>
        <w:tc>
          <w:tcPr>
            <w:tcW w:type="dxa" w:w="33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7"/>
              </w:rPr>
              <w:t>Top-1 accuracy</w:t>
            </w:r>
          </w:p>
        </w:tc>
        <w:tc>
          <w:tcPr>
            <w:tcW w:type="dxa" w:w="20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7"/>
              </w:rPr>
              <w:t>85.88%</w:t>
            </w:r>
          </w:p>
        </w:tc>
        <w:tc>
          <w:tcPr>
            <w:tcW w:type="dxa" w:w="20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7"/>
              </w:rPr>
              <w:t>85.88%</w:t>
            </w:r>
          </w:p>
        </w:tc>
        <w:tc>
          <w:tcPr>
            <w:tcW w:type="dxa" w:w="20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7"/>
              </w:rPr>
              <w:t>0.00 pp</w:t>
            </w:r>
          </w:p>
        </w:tc>
      </w:tr>
      <w:tr>
        <w:tc>
          <w:tcPr>
            <w:tcW w:type="dxa" w:w="3300"/>
            <w:shd w:fill="F8FAFC" w:val="clear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7"/>
              </w:rPr>
              <w:t>Recall@3</w:t>
            </w:r>
          </w:p>
        </w:tc>
        <w:tc>
          <w:tcPr>
            <w:tcW w:type="dxa" w:w="2020"/>
            <w:shd w:fill="F8FAFC" w:val="clear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7"/>
              </w:rPr>
              <w:t>94.12%</w:t>
            </w:r>
          </w:p>
        </w:tc>
        <w:tc>
          <w:tcPr>
            <w:tcW w:type="dxa" w:w="2020"/>
            <w:shd w:fill="F8FAFC" w:val="clear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7"/>
              </w:rPr>
              <w:t>94.12%</w:t>
            </w:r>
          </w:p>
        </w:tc>
        <w:tc>
          <w:tcPr>
            <w:tcW w:type="dxa" w:w="2020"/>
            <w:shd w:fill="F8FAFC" w:val="clear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7"/>
              </w:rPr>
              <w:t>0.00 pp</w:t>
            </w:r>
          </w:p>
        </w:tc>
      </w:tr>
      <w:tr>
        <w:tc>
          <w:tcPr>
            <w:tcW w:type="dxa" w:w="33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7"/>
              </w:rPr>
              <w:t>Recall@5</w:t>
            </w:r>
          </w:p>
        </w:tc>
        <w:tc>
          <w:tcPr>
            <w:tcW w:type="dxa" w:w="20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7"/>
              </w:rPr>
              <w:t>96.47%</w:t>
            </w:r>
          </w:p>
        </w:tc>
        <w:tc>
          <w:tcPr>
            <w:tcW w:type="dxa" w:w="20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7"/>
              </w:rPr>
              <w:t>96.47%</w:t>
            </w:r>
          </w:p>
        </w:tc>
        <w:tc>
          <w:tcPr>
            <w:tcW w:type="dxa" w:w="20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7"/>
              </w:rPr>
              <w:t>0.00 pp</w:t>
            </w:r>
          </w:p>
        </w:tc>
      </w:tr>
      <w:tr>
        <w:tc>
          <w:tcPr>
            <w:tcW w:type="dxa" w:w="3300"/>
            <w:shd w:fill="F8FAFC" w:val="clear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7"/>
              </w:rPr>
              <w:t>Recall@10</w:t>
            </w:r>
          </w:p>
        </w:tc>
        <w:tc>
          <w:tcPr>
            <w:tcW w:type="dxa" w:w="2020"/>
            <w:shd w:fill="F8FAFC" w:val="clear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7"/>
              </w:rPr>
              <w:t>97.06%</w:t>
            </w:r>
          </w:p>
        </w:tc>
        <w:tc>
          <w:tcPr>
            <w:tcW w:type="dxa" w:w="2020"/>
            <w:shd w:fill="F8FAFC" w:val="clear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7"/>
              </w:rPr>
              <w:t>97.06%</w:t>
            </w:r>
          </w:p>
        </w:tc>
        <w:tc>
          <w:tcPr>
            <w:tcW w:type="dxa" w:w="2020"/>
            <w:shd w:fill="F8FAFC" w:val="clear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7"/>
              </w:rPr>
              <w:t>0.00 pp</w:t>
            </w:r>
          </w:p>
        </w:tc>
      </w:tr>
      <w:tr>
        <w:tc>
          <w:tcPr>
            <w:tcW w:type="dxa" w:w="330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7"/>
              </w:rPr>
              <w:t>Mean Reciprocal Rank</w:t>
            </w:r>
          </w:p>
        </w:tc>
        <w:tc>
          <w:tcPr>
            <w:tcW w:type="dxa" w:w="20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7"/>
              </w:rPr>
              <w:t>90.1816%</w:t>
            </w:r>
          </w:p>
        </w:tc>
        <w:tc>
          <w:tcPr>
            <w:tcW w:type="dxa" w:w="20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7"/>
              </w:rPr>
              <w:t>90.1599%</w:t>
            </w:r>
          </w:p>
        </w:tc>
        <w:tc>
          <w:tcPr>
            <w:tcW w:type="dxa" w:w="2020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7"/>
              </w:rPr>
              <w:t>-0.0218 pp</w:t>
            </w:r>
          </w:p>
        </w:tc>
      </w:tr>
      <w:tr>
        <w:tc>
          <w:tcPr>
            <w:tcW w:type="dxa" w:w="3300"/>
            <w:shd w:fill="F8FAFC" w:val="clear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F2937"/>
                <w:sz w:val="17"/>
              </w:rPr>
              <w:t>Expert failures</w:t>
            </w:r>
          </w:p>
        </w:tc>
        <w:tc>
          <w:tcPr>
            <w:tcW w:type="dxa" w:w="2020"/>
            <w:shd w:fill="F8FAFC" w:val="clear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7"/>
              </w:rPr>
              <w:t>Not applicable</w:t>
            </w:r>
          </w:p>
        </w:tc>
        <w:tc>
          <w:tcPr>
            <w:tcW w:type="dxa" w:w="2020"/>
            <w:shd w:fill="F8FAFC" w:val="clear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7"/>
              </w:rPr>
              <w:t>0 of 170</w:t>
            </w:r>
          </w:p>
        </w:tc>
        <w:tc>
          <w:tcPr>
            <w:tcW w:type="dxa" w:w="2020"/>
            <w:shd w:fill="F8FAFC" w:val="clear"/>
            <w:tcMar>
              <w:top w:w="55" w:type="dxa"/>
              <w:start w:w="120" w:type="dxa"/>
              <w:bottom w:w="55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F2937"/>
                <w:sz w:val="17"/>
              </w:rPr>
              <w:t>None</w:t>
            </w:r>
          </w:p>
        </w:tc>
      </w:tr>
    </w:tbl>
    <w:p>
      <w:pPr>
        <w:spacing w:after="20"/>
      </w:pPr>
    </w:p>
    <w:p>
      <w:pPr>
        <w:spacing w:before="0" w:after="120" w:line="264" w:lineRule="auto"/>
      </w:pPr>
      <w:r>
        <w:rPr>
          <w:rFonts w:ascii="Calibri" w:hAnsi="Calibri" w:eastAsia="Calibri"/>
          <w:color w:val="1F2937"/>
          <w:sz w:val="18"/>
        </w:rPr>
        <w:t>MRR shifted by just -0.0218 percentage points, affecting only ordering below the primary decision boundary; Top-1 and recall were unchanged.</w:t>
      </w:r>
    </w:p>
    <w:p>
      <w:pPr>
        <w:pStyle w:val="Heading2"/>
        <w:keepNext w:val="1"/>
      </w:pPr>
      <w:r>
        <w:t>Why accuracy was preserved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1F2937"/>
          <w:sz w:val="20"/>
        </w:rPr>
        <w:t>The production path still creates Semantic, Engineering, Tree and Rescheduler-v2 lists, fuses them with the same frozen LambdaMART models, then applies calibration, deterministic validators and risk policy. Only repeated input preparation changed.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80" w:type="dxa"/>
        <w:tblLayout w:type="fixed"/>
        <w:tblBorders>
          <w:top w:val="single" w:sz="8" w:space="0" w:color="1F4D78"/>
          <w:left w:val="single" w:sz="8" w:space="0" w:color="1F4D78"/>
          <w:bottom w:val="single" w:sz="8" w:space="0" w:color="1F4D78"/>
          <w:right w:val="single" w:sz="8" w:space="0" w:color="1F4D78"/>
          <w:insideH w:val="single" w:sz="8" w:space="0" w:color="1F4D78"/>
          <w:insideV w:val="single" w:sz="8" w:space="0" w:color="1F4D78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2F4F7" w:val="clea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NEXT BOTTLENECK  </w:t>
            </w:r>
            <w:r>
              <w:rPr>
                <w:rFonts w:ascii="Calibri" w:hAnsi="Calibri" w:eastAsia="Calibri"/>
                <w:color w:val="1F2937"/>
                <w:sz w:val="21"/>
              </w:rPr>
              <w:t>Horizun/Microsoft Project startup remains a roughly 28-second fixed cost. Keep the schedule service warm and stream linked evidence in small batches. Evidence: durable job timestamps, the real 165-record benchmark, a 170-case frozen holdout with 13,436 activities, and six regression suites.</w:t>
            </w:r>
          </w:p>
        </w:tc>
      </w:tr>
    </w:tbl>
    <w:p>
      <w:pPr>
        <w:spacing w:after="40" w:before="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4748B"/>
        <w:sz w:val="17"/>
      </w:rP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60"/>
    </w:pPr>
    <w:rPr>
      <w:rFonts w:ascii="Calibri" w:hAnsi="Calibri"/>
      <w:b/>
      <w:bCs/>
      <w:i/>
      <w:color w:val="64748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VEDA Latency Optimization Report</dc:title>
  <dc:subject>Measured performance improvement and accuracy assurance</dc:subject>
  <dc:creator>Shivansh Mukhia</dc:creator>
  <cp:keywords>VEDA, latency, MetaRank, Rescheduler, performance, accuracy</cp:keywords>
  <dc:description>Prepared from measured VEDA runtime and frozen holdout results.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