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eastAsia="Arial"/>
          <w:b/>
          <w:color w:val="E87500"/>
          <w:sz w:val="68"/>
        </w:rPr>
        <w:t>FLARE</w:t>
      </w:r>
      <w:r>
        <w:rPr>
          <w:rFonts w:ascii="Arial" w:hAnsi="Arial" w:eastAsia="Arial"/>
          <w:b/>
          <w:color w:val="1F4E79"/>
          <w:sz w:val="68"/>
        </w:rPr>
        <w:t xml:space="preserve"> Population Map</w:t>
      </w:r>
    </w:p>
    <w:p>
      <w:pPr>
        <w:jc w:val="center"/>
      </w:pPr>
      <w:r>
        <w:rPr>
          <w:rFonts w:ascii="Arial" w:hAnsi="Arial" w:eastAsia="Arial"/>
          <w:color w:val="464646"/>
          <w:sz w:val="44"/>
        </w:rPr>
        <w:t>User and Technical Manual</w:t>
      </w:r>
    </w:p>
    <w:p>
      <w:pPr>
        <w:spacing w:before="360"/>
        <w:jc w:val="center"/>
      </w:pPr>
      <w:r>
        <w:rPr>
          <w:rFonts w:ascii="Arial" w:hAnsi="Arial" w:eastAsia="Arial"/>
          <w:i/>
          <w:sz w:val="24"/>
        </w:rPr>
        <w:t>Maximum-Population Pathway, Time-Evolving Airborne Dose, and Synthetic Deposition Visualization</w:t>
      </w:r>
    </w:p>
    <w:p>
      <w:pPr>
        <w:spacing w:before="2400"/>
        <w:jc w:val="center"/>
      </w:pPr>
      <w:r>
        <w:rPr>
          <w:rFonts w:ascii="Arial" w:hAnsi="Arial" w:eastAsia="Arial"/>
          <w:b/>
        </w:rPr>
        <w:t>Prepared for the FLARE project</w:t>
        <w:br/>
        <w:t>Version corresponding to the browser-side map-control and discrete-slider release</w:t>
        <w:br/>
        <w:t>July 2026</w:t>
      </w:r>
      <w:r>
        <w:rPr>
          <w:rFonts w:ascii="Arial" w:hAnsi="Arial" w:eastAsia="Arial"/>
        </w:rPr>
      </w:r>
      <w:r>
        <w:rPr>
          <w:rFonts w:ascii="Arial" w:hAnsi="Arial" w:eastAsia="Arial"/>
        </w:rPr>
      </w:r>
    </w:p>
    <w:tbl>
      <w:tblPr>
        <w:tblW w:type="auto" w:w="0"/>
        <w:jc w:val="center"/>
        <w:tblLayout w:type="autofit"/>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r>
              <w:rPr>
                <w:b/>
              </w:rPr>
              <w:t xml:space="preserve">Scope: </w:t>
            </w:r>
            <w:r>
              <w:t>This manual documents the supplied standalone FLARE Population Map package. It is based on the application source code, launcher scripts, database builders, and bundled README. It does not describe functions that are not present in that package.</w:t>
            </w:r>
          </w:p>
        </w:tc>
      </w:tr>
    </w:tbl>
    <w:p/>
    <w:p>
      <w:r>
        <w:rPr>
          <w:rFonts w:ascii="Arial" w:hAnsi="Arial" w:eastAsia="Arial"/>
        </w:rPr>
        <w:br w:type="page"/>
      </w:r>
    </w:p>
    <w:p>
      <w:pPr>
        <w:pStyle w:val="Heading1"/>
        <w:keepNext/>
      </w:pPr>
      <w:r>
        <w:rPr>
          <w:rFonts w:ascii="Arial" w:hAnsi="Arial" w:eastAsia="Arial"/>
        </w:rPr>
        <w:t>Contents</w:t>
      </w:r>
    </w:p>
    <w:tbl>
      <w:tblPr>
        <w:tblStyle w:val="TableGrid"/>
        <w:tblW w:type="auto" w:w="0"/>
        <w:jc w:val="center"/>
        <w:tblLook w:firstColumn="1" w:firstRow="1" w:lastColumn="0" w:lastRow="0" w:noHBand="0" w:noVBand="1" w:val="04A0"/>
      </w:tblPr>
      <w:tblGrid>
        <w:gridCol w:w="5083"/>
        <w:gridCol w:w="5083"/>
      </w:tblGrid>
      <w:tr>
        <w:trPr>
          <w:cantSplit/>
        </w:trPr>
        <w:tc>
          <w:tcPr>
            <w:tcW w:type="dxa" w:w="1584"/>
            <w:shd w:fill="D9EAF7"/>
            <w:vAlign w:val="center"/>
          </w:tcPr>
          <w:p>
            <w:r>
              <w:rPr>
                <w:b/>
              </w:rPr>
              <w:t>Section</w:t>
            </w:r>
          </w:p>
        </w:tc>
        <w:tc>
          <w:tcPr>
            <w:tcW w:type="dxa" w:w="8352"/>
            <w:shd w:fill="D9EAF7"/>
            <w:vAlign w:val="center"/>
          </w:tcPr>
          <w:p>
            <w:r>
              <w:rPr>
                <w:b/>
              </w:rPr>
              <w:t>Title</w:t>
            </w:r>
          </w:p>
        </w:tc>
      </w:tr>
      <w:tr>
        <w:trPr>
          <w:cantSplit/>
        </w:trPr>
        <w:tc>
          <w:tcPr>
            <w:tcW w:type="dxa" w:w="1584"/>
            <w:vAlign w:val="top"/>
            <w:tcMar>
              <w:top w:w="80" w:type="dxa"/>
              <w:start w:w="100" w:type="dxa"/>
              <w:bottom w:w="80" w:type="dxa"/>
              <w:end w:w="100" w:type="dxa"/>
            </w:tcMar>
          </w:tcPr>
          <w:p>
            <w:r>
              <w:t>1</w:t>
            </w:r>
          </w:p>
        </w:tc>
        <w:tc>
          <w:tcPr>
            <w:tcW w:type="dxa" w:w="8352"/>
            <w:vAlign w:val="top"/>
            <w:tcMar>
              <w:top w:w="80" w:type="dxa"/>
              <w:start w:w="100" w:type="dxa"/>
              <w:bottom w:w="80" w:type="dxa"/>
              <w:end w:w="100" w:type="dxa"/>
            </w:tcMar>
          </w:tcPr>
          <w:p>
            <w:r>
              <w:t>Executive Summary and High-Level Introduction</w:t>
            </w:r>
          </w:p>
        </w:tc>
      </w:tr>
      <w:tr>
        <w:trPr>
          <w:cantSplit/>
        </w:trPr>
        <w:tc>
          <w:tcPr>
            <w:tcW w:type="dxa" w:w="1584"/>
            <w:vAlign w:val="top"/>
            <w:tcMar>
              <w:top w:w="80" w:type="dxa"/>
              <w:start w:w="100" w:type="dxa"/>
              <w:bottom w:w="80" w:type="dxa"/>
              <w:end w:w="100" w:type="dxa"/>
            </w:tcMar>
          </w:tcPr>
          <w:p>
            <w:r>
              <w:t>2</w:t>
            </w:r>
          </w:p>
        </w:tc>
        <w:tc>
          <w:tcPr>
            <w:tcW w:type="dxa" w:w="8352"/>
            <w:vAlign w:val="top"/>
            <w:tcMar>
              <w:top w:w="80" w:type="dxa"/>
              <w:start w:w="100" w:type="dxa"/>
              <w:bottom w:w="80" w:type="dxa"/>
              <w:end w:w="100" w:type="dxa"/>
            </w:tcMar>
          </w:tcPr>
          <w:p>
            <w:r>
              <w:t>Theory and Analytical Basis</w:t>
            </w:r>
          </w:p>
        </w:tc>
      </w:tr>
      <w:tr>
        <w:trPr>
          <w:cantSplit/>
        </w:trPr>
        <w:tc>
          <w:tcPr>
            <w:tcW w:type="dxa" w:w="1584"/>
            <w:vAlign w:val="top"/>
            <w:tcMar>
              <w:top w:w="80" w:type="dxa"/>
              <w:start w:w="100" w:type="dxa"/>
              <w:bottom w:w="80" w:type="dxa"/>
              <w:end w:w="100" w:type="dxa"/>
            </w:tcMar>
          </w:tcPr>
          <w:p>
            <w:r>
              <w:t>3</w:t>
            </w:r>
          </w:p>
        </w:tc>
        <w:tc>
          <w:tcPr>
            <w:tcW w:type="dxa" w:w="8352"/>
            <w:vAlign w:val="top"/>
            <w:tcMar>
              <w:top w:w="80" w:type="dxa"/>
              <w:start w:w="100" w:type="dxa"/>
              <w:bottom w:w="80" w:type="dxa"/>
              <w:end w:w="100" w:type="dxa"/>
            </w:tcMar>
          </w:tcPr>
          <w:p>
            <w:r>
              <w:t>Installation</w:t>
            </w:r>
          </w:p>
        </w:tc>
      </w:tr>
      <w:tr>
        <w:trPr>
          <w:cantSplit/>
        </w:trPr>
        <w:tc>
          <w:tcPr>
            <w:tcW w:type="dxa" w:w="1584"/>
            <w:vAlign w:val="top"/>
            <w:tcMar>
              <w:top w:w="80" w:type="dxa"/>
              <w:start w:w="100" w:type="dxa"/>
              <w:bottom w:w="80" w:type="dxa"/>
              <w:end w:w="100" w:type="dxa"/>
            </w:tcMar>
          </w:tcPr>
          <w:p>
            <w:r>
              <w:t>4</w:t>
            </w:r>
          </w:p>
        </w:tc>
        <w:tc>
          <w:tcPr>
            <w:tcW w:type="dxa" w:w="8352"/>
            <w:vAlign w:val="top"/>
            <w:tcMar>
              <w:top w:w="80" w:type="dxa"/>
              <w:start w:w="100" w:type="dxa"/>
              <w:bottom w:w="80" w:type="dxa"/>
              <w:end w:w="100" w:type="dxa"/>
            </w:tcMar>
          </w:tcPr>
          <w:p>
            <w:r>
              <w:t>Getting Started</w:t>
            </w:r>
          </w:p>
        </w:tc>
      </w:tr>
      <w:tr>
        <w:trPr>
          <w:cantSplit/>
        </w:trPr>
        <w:tc>
          <w:tcPr>
            <w:tcW w:type="dxa" w:w="1584"/>
            <w:vAlign w:val="top"/>
            <w:tcMar>
              <w:top w:w="80" w:type="dxa"/>
              <w:start w:w="100" w:type="dxa"/>
              <w:bottom w:w="80" w:type="dxa"/>
              <w:end w:w="100" w:type="dxa"/>
            </w:tcMar>
          </w:tcPr>
          <w:p>
            <w:r>
              <w:t>5</w:t>
            </w:r>
          </w:p>
        </w:tc>
        <w:tc>
          <w:tcPr>
            <w:tcW w:type="dxa" w:w="8352"/>
            <w:vAlign w:val="top"/>
            <w:tcMar>
              <w:top w:w="80" w:type="dxa"/>
              <w:start w:w="100" w:type="dxa"/>
              <w:bottom w:w="80" w:type="dxa"/>
              <w:end w:w="100" w:type="dxa"/>
            </w:tcMar>
          </w:tcPr>
          <w:p>
            <w:r>
              <w:t>User Options and Interface Controls</w:t>
            </w:r>
          </w:p>
        </w:tc>
      </w:tr>
      <w:tr>
        <w:trPr>
          <w:cantSplit/>
        </w:trPr>
        <w:tc>
          <w:tcPr>
            <w:tcW w:type="dxa" w:w="1584"/>
            <w:vAlign w:val="top"/>
            <w:tcMar>
              <w:top w:w="80" w:type="dxa"/>
              <w:start w:w="100" w:type="dxa"/>
              <w:bottom w:w="80" w:type="dxa"/>
              <w:end w:w="100" w:type="dxa"/>
            </w:tcMar>
          </w:tcPr>
          <w:p>
            <w:r>
              <w:t>6</w:t>
            </w:r>
          </w:p>
        </w:tc>
        <w:tc>
          <w:tcPr>
            <w:tcW w:type="dxa" w:w="8352"/>
            <w:vAlign w:val="top"/>
            <w:tcMar>
              <w:top w:w="80" w:type="dxa"/>
              <w:start w:w="100" w:type="dxa"/>
              <w:bottom w:w="80" w:type="dxa"/>
              <w:end w:w="100" w:type="dxa"/>
            </w:tcMar>
          </w:tcPr>
          <w:p>
            <w:r>
              <w:t>Interpreting Results and Outputs</w:t>
            </w:r>
          </w:p>
        </w:tc>
      </w:tr>
      <w:tr>
        <w:trPr>
          <w:cantSplit/>
        </w:trPr>
        <w:tc>
          <w:tcPr>
            <w:tcW w:type="dxa" w:w="1584"/>
            <w:vAlign w:val="top"/>
            <w:tcMar>
              <w:top w:w="80" w:type="dxa"/>
              <w:start w:w="100" w:type="dxa"/>
              <w:bottom w:w="80" w:type="dxa"/>
              <w:end w:w="100" w:type="dxa"/>
            </w:tcMar>
          </w:tcPr>
          <w:p>
            <w:r>
              <w:t>7</w:t>
            </w:r>
          </w:p>
        </w:tc>
        <w:tc>
          <w:tcPr>
            <w:tcW w:type="dxa" w:w="8352"/>
            <w:vAlign w:val="top"/>
            <w:tcMar>
              <w:top w:w="80" w:type="dxa"/>
              <w:start w:w="100" w:type="dxa"/>
              <w:bottom w:w="80" w:type="dxa"/>
              <w:end w:w="100" w:type="dxa"/>
            </w:tcMar>
          </w:tcPr>
          <w:p>
            <w:r>
              <w:t>Troubleshooting and Operational Guidance</w:t>
            </w:r>
          </w:p>
        </w:tc>
      </w:tr>
      <w:tr>
        <w:trPr>
          <w:cantSplit/>
        </w:trPr>
        <w:tc>
          <w:tcPr>
            <w:tcW w:type="dxa" w:w="1584"/>
            <w:vAlign w:val="top"/>
            <w:tcMar>
              <w:top w:w="80" w:type="dxa"/>
              <w:start w:w="100" w:type="dxa"/>
              <w:bottom w:w="80" w:type="dxa"/>
              <w:end w:w="100" w:type="dxa"/>
            </w:tcMar>
          </w:tcPr>
          <w:p>
            <w:r>
              <w:t>Appendix A</w:t>
            </w:r>
          </w:p>
        </w:tc>
        <w:tc>
          <w:tcPr>
            <w:tcW w:type="dxa" w:w="8352"/>
            <w:vAlign w:val="top"/>
            <w:tcMar>
              <w:top w:w="80" w:type="dxa"/>
              <w:start w:w="100" w:type="dxa"/>
              <w:bottom w:w="80" w:type="dxa"/>
              <w:end w:w="100" w:type="dxa"/>
            </w:tcMar>
          </w:tcPr>
          <w:p>
            <w:r>
              <w:t>Code Design and Workflow</w:t>
            </w:r>
          </w:p>
        </w:tc>
      </w:tr>
      <w:tr>
        <w:trPr>
          <w:cantSplit/>
        </w:trPr>
        <w:tc>
          <w:tcPr>
            <w:tcW w:type="dxa" w:w="1584"/>
            <w:vAlign w:val="top"/>
            <w:tcMar>
              <w:top w:w="80" w:type="dxa"/>
              <w:start w:w="100" w:type="dxa"/>
              <w:bottom w:w="80" w:type="dxa"/>
              <w:end w:w="100" w:type="dxa"/>
            </w:tcMar>
          </w:tcPr>
          <w:p>
            <w:r>
              <w:t>Appendix B</w:t>
            </w:r>
          </w:p>
        </w:tc>
        <w:tc>
          <w:tcPr>
            <w:tcW w:type="dxa" w:w="8352"/>
            <w:vAlign w:val="top"/>
            <w:tcMar>
              <w:top w:w="80" w:type="dxa"/>
              <w:start w:w="100" w:type="dxa"/>
              <w:bottom w:w="80" w:type="dxa"/>
              <w:end w:w="100" w:type="dxa"/>
            </w:tcMar>
          </w:tcPr>
          <w:p>
            <w:r>
              <w:t>Input and Output Data Structures</w:t>
            </w:r>
          </w:p>
        </w:tc>
      </w:tr>
      <w:tr>
        <w:trPr>
          <w:cantSplit/>
        </w:trPr>
        <w:tc>
          <w:tcPr>
            <w:tcW w:type="dxa" w:w="1584"/>
            <w:vAlign w:val="top"/>
            <w:tcMar>
              <w:top w:w="80" w:type="dxa"/>
              <w:start w:w="100" w:type="dxa"/>
              <w:bottom w:w="80" w:type="dxa"/>
              <w:end w:w="100" w:type="dxa"/>
            </w:tcMar>
          </w:tcPr>
          <w:p>
            <w:r>
              <w:t>Appendix C</w:t>
            </w:r>
          </w:p>
        </w:tc>
        <w:tc>
          <w:tcPr>
            <w:tcW w:type="dxa" w:w="8352"/>
            <w:vAlign w:val="top"/>
            <w:tcMar>
              <w:top w:w="80" w:type="dxa"/>
              <w:start w:w="100" w:type="dxa"/>
              <w:bottom w:w="80" w:type="dxa"/>
              <w:end w:w="100" w:type="dxa"/>
            </w:tcMar>
          </w:tcPr>
          <w:p>
            <w:r>
              <w:t>Model Assumptions and Limitations</w:t>
            </w:r>
          </w:p>
        </w:tc>
      </w:tr>
    </w:tbl>
    <w:p/>
    <w:p>
      <w:pPr>
        <w:keepLines w:val="0"/>
      </w:pPr>
      <w:r>
        <w:rPr>
          <w:rFonts w:ascii="Arial" w:hAnsi="Arial" w:eastAsia="Arial"/>
        </w:rPr>
        <w:t>The headings in this document are compatible with Word’s Navigation Pane. Use View &gt; Navigation Pane to move directly among sections.</w:t>
      </w:r>
    </w:p>
    <w:p>
      <w:r>
        <w:rPr>
          <w:rFonts w:ascii="Arial" w:hAnsi="Arial" w:eastAsia="Arial"/>
        </w:rPr>
        <w:br w:type="page"/>
      </w:r>
    </w:p>
    <w:p>
      <w:pPr>
        <w:pStyle w:val="Heading1"/>
        <w:keepNext/>
      </w:pPr>
      <w:r>
        <w:rPr>
          <w:rFonts w:ascii="Arial" w:hAnsi="Arial" w:eastAsia="Arial"/>
        </w:rPr>
        <w:t>1. Executive Summary and High-Level Introduction</w:t>
      </w:r>
    </w:p>
    <w:p>
      <w:pPr>
        <w:pStyle w:val="Heading2"/>
        <w:keepNext/>
      </w:pPr>
      <w:r>
        <w:rPr>
          <w:rFonts w:ascii="Arial" w:hAnsi="Arial" w:eastAsia="Arial"/>
        </w:rPr>
        <w:t>1.1 Purpose</w:t>
      </w:r>
    </w:p>
    <w:p>
      <w:pPr>
        <w:keepLines w:val="0"/>
      </w:pPr>
      <w:r>
        <w:rPr>
          <w:rFonts w:ascii="Arial" w:hAnsi="Arial" w:eastAsia="Arial"/>
        </w:rPr>
        <w:t>The FLARE Population Map is a standalone Streamlit application that combines FLARE/NOTBADTRAD radiological consequence results with gridded population data and an interactive geographic display. Its principal purpose is to identify and visualize a release pathway that is consequential from a population perspective, then show how an airborne-dose or synthetic ground-deposition footprint develops between the FLARE exclusion-area-boundary (EAB) and low-population-zone (LPZ) integration times.</w:t>
      </w:r>
    </w:p>
    <w:p>
      <w:pPr>
        <w:keepLines w:val="0"/>
      </w:pPr>
      <w:r>
        <w:rPr>
          <w:rFonts w:ascii="Arial" w:hAnsi="Arial" w:eastAsia="Arial"/>
        </w:rPr>
        <w:t>The tool reads a FLARE output workbook rather than recreating the underlying NOTBADTRAD dose calculation. It preserves the workbook’s centerline total effective dose equivalent (TEDE) versus distance curves and adds a reduced-order, two-dimensional lateral-dispersion treatment. The resulting dose field can be rotated around a user-selected site to find a pathway that maximizes either population-weighted dose or population within the dose-defined plume. A user may also specify a custom direction.</w:t>
      </w:r>
    </w:p>
    <w:p>
      <w:pPr>
        <w:pStyle w:val="Heading2"/>
        <w:keepNext/>
      </w:pPr>
      <w:r>
        <w:rPr>
          <w:rFonts w:ascii="Arial" w:hAnsi="Arial" w:eastAsia="Arial"/>
        </w:rPr>
        <w:t>1.2 Principal capabilities</w:t>
      </w:r>
    </w:p>
    <w:p>
      <w:pPr>
        <w:pStyle w:val="ListBullet"/>
      </w:pPr>
      <w:r>
        <w:rPr>
          <w:rFonts w:ascii="Arial" w:hAnsi="Arial" w:eastAsia="Arial"/>
        </w:rPr>
        <w:t>Load a FLARE output workbook containing Input Echo, Dose, and—when deposition is used—Source Term information.</w:t>
      </w:r>
    </w:p>
    <w:p>
      <w:pPr>
        <w:pStyle w:val="ListBullet"/>
      </w:pPr>
      <w:r>
        <w:rPr>
          <w:rFonts w:ascii="Arial" w:hAnsi="Arial" w:eastAsia="Arial"/>
        </w:rPr>
        <w:t>Query either a national 2020 Census-derived population database or the bundled synthetic Lynchburg demonstration database.</w:t>
      </w:r>
    </w:p>
    <w:p>
      <w:pPr>
        <w:pStyle w:val="ListBullet"/>
      </w:pPr>
      <w:r>
        <w:rPr>
          <w:rFonts w:ascii="Arial" w:hAnsi="Arial" w:eastAsia="Arial"/>
        </w:rPr>
        <w:t>Locate a site by arming the map-selection control and clicking the desired point.</w:t>
      </w:r>
    </w:p>
    <w:p>
      <w:pPr>
        <w:pStyle w:val="ListBullet"/>
      </w:pPr>
      <w:r>
        <w:rPr>
          <w:rFonts w:ascii="Arial" w:hAnsi="Arial" w:eastAsia="Arial"/>
        </w:rPr>
        <w:t>Choose airborne dose or synthetic ground deposition as the radiological layer.</w:t>
      </w:r>
    </w:p>
    <w:p>
      <w:pPr>
        <w:pStyle w:val="ListBullet"/>
      </w:pPr>
      <w:r>
        <w:rPr>
          <w:rFonts w:ascii="Arial" w:hAnsi="Arial" w:eastAsia="Arial"/>
        </w:rPr>
        <w:t>Search 360 degrees for a maximum population × dose pathway or a maximum population-inside-plume pathway, or use a custom bearing.</w:t>
      </w:r>
    </w:p>
    <w:p>
      <w:pPr>
        <w:pStyle w:val="ListBullet"/>
      </w:pPr>
      <w:r>
        <w:rPr>
          <w:rFonts w:ascii="Arial" w:hAnsi="Arial" w:eastAsia="Arial"/>
        </w:rPr>
        <w:t>Construct 24 cumulative intervals between the EAB and LPZ integration times and select any interval with a browser-side slider that updates the existing map without a Streamlit rerun.</w:t>
      </w:r>
    </w:p>
    <w:p>
      <w:pPr>
        <w:pStyle w:val="ListBullet"/>
      </w:pPr>
      <w:r>
        <w:rPr>
          <w:rFonts w:ascii="Arial" w:hAnsi="Arial" w:eastAsia="Arial"/>
        </w:rPr>
        <w:t>Control the airborne-dose minimum and maximum with a browser-side, two-ended logarithmic dose-range slider. Values snap to a three-significant-digit grid whose last significant digit is 0 or 5. The minimum screens the plume and defines the population-above-threshold calculation; both limits define the plume color map.</w:t>
      </w:r>
    </w:p>
    <w:p>
      <w:pPr>
        <w:pStyle w:val="ListBullet"/>
      </w:pPr>
      <w:r>
        <w:rPr>
          <w:rFonts w:ascii="Arial" w:hAnsi="Arial" w:eastAsia="Arial"/>
        </w:rPr>
        <w:t>Control the inner and outer map/analysis radii with a browser-side, two-ended logarithmic slider using discrete practical values; changes within the loaded extent update locally, while expansion beyond the loaded extent triggers one controlled recalculation. Produce a report-quality, single-page 8.5 × 11-inch PDF and an updated FLARE workbook containing summary, interval, and spatial results.</w:t>
      </w:r>
    </w:p>
    <w:p>
      <w:pPr>
        <w:pStyle w:val="ListBullet"/>
      </w:pPr>
      <w:r>
        <w:rPr>
          <w:rFonts w:ascii="Arial" w:hAnsi="Arial" w:eastAsia="Arial"/>
        </w:rPr>
        <w:t>Persist the active workbook, site, and user options for later restoration.</w:t>
      </w:r>
    </w:p>
    <w:p>
      <w:pPr>
        <w:pStyle w:val="Heading2"/>
        <w:keepNext/>
      </w:pPr>
      <w:r>
        <w:rPr>
          <w:rFonts w:ascii="Arial" w:hAnsi="Arial" w:eastAsia="Arial"/>
        </w:rPr>
        <w:t>1.3 Intended use</w:t>
      </w:r>
    </w:p>
    <w:p>
      <w:pPr>
        <w:keepLines w:val="0"/>
      </w:pPr>
      <w:r>
        <w:rPr>
          <w:rFonts w:ascii="Arial" w:hAnsi="Arial" w:eastAsia="Arial"/>
        </w:rPr>
        <w:t>The application is a screening, visualization, and communication tool. It provides a traceable bridge between FLARE consequence calculations and the spatial distribution of population. It is particularly useful for exploring the sensitivity of a hypothetical release direction, comparing conservative and better-estimate synthetic meteorological sequences, reviewing time evolution, and preparing figures or structured output for follow-on analysis.</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r>
              <w:rPr>
                <w:b/>
              </w:rPr>
              <w:t xml:space="preserve">Important: </w:t>
            </w:r>
            <w:r>
              <w:t>The atmospheric and deposition treatments are reduced-order surrogates. They are not site-specific meteorological reconstructions, regulatory-grade atmospheric transport calculations, or substitutes for an approved consequence-analysis methodology.</w:t>
            </w:r>
          </w:p>
        </w:tc>
      </w:tr>
    </w:tbl>
    <w:p/>
    <w:p>
      <w:pPr>
        <w:pStyle w:val="Heading2"/>
        <w:keepNext/>
      </w:pPr>
      <w:r>
        <w:rPr>
          <w:rFonts w:ascii="Arial" w:hAnsi="Arial" w:eastAsia="Arial"/>
        </w:rPr>
        <w:t>1.4 Conceptual workflow</w:t>
      </w:r>
    </w:p>
    <w:p>
      <w:pPr>
        <w:pStyle w:val="ListNumber"/>
      </w:pPr>
      <w:r>
        <w:rPr>
          <w:rFonts w:ascii="Arial" w:hAnsi="Arial" w:eastAsia="Arial"/>
        </w:rPr>
        <w:t>Install or launch the application and select the population database.</w:t>
      </w:r>
    </w:p>
    <w:p>
      <w:pPr>
        <w:pStyle w:val="ListNumber"/>
      </w:pPr>
      <w:r>
        <w:rPr>
          <w:rFonts w:ascii="Arial" w:hAnsi="Arial" w:eastAsia="Arial"/>
        </w:rPr>
        <w:t>Upload a FLARE output workbook. The application reads the dose curves, integration times, meteorological inputs, and source-term groups.</w:t>
      </w:r>
    </w:p>
    <w:p>
      <w:pPr>
        <w:pStyle w:val="ListNumber"/>
      </w:pPr>
      <w:r>
        <w:rPr>
          <w:rFonts w:ascii="Arial" w:hAnsi="Arial" w:eastAsia="Arial"/>
        </w:rPr>
        <w:t>Select the site on the map and define the inner and outer analysis radii with the map-side radius slider.</w:t>
      </w:r>
    </w:p>
    <w:p>
      <w:pPr>
        <w:pStyle w:val="ListNumber"/>
      </w:pPr>
      <w:r>
        <w:rPr>
          <w:rFonts w:ascii="Arial" w:hAnsi="Arial" w:eastAsia="Arial"/>
        </w:rPr>
        <w:t>Select the radiological layer, pathway criterion, meteorological scenario, dose range, and cumulative interval. The interval, dose-range, and radius controls are located above the map rather than in the sidebar.</w:t>
      </w:r>
    </w:p>
    <w:p>
      <w:pPr>
        <w:pStyle w:val="ListNumber"/>
      </w:pPr>
      <w:r>
        <w:rPr>
          <w:rFonts w:ascii="Arial" w:hAnsi="Arial" w:eastAsia="Arial"/>
        </w:rPr>
        <w:t>The application queries population cells within the loaded outer radius, evaluates candidate bearings, constructs all cumulative fields, and sends the interactive map and supporting arrays to the browser. Interval and dose-range changes are then handled locally; radius expansion beyond the loaded extent requests one Python recalculation.</w:t>
      </w:r>
    </w:p>
    <w:p>
      <w:pPr>
        <w:pStyle w:val="ListNumber"/>
      </w:pPr>
      <w:r>
        <w:rPr>
          <w:rFonts w:ascii="Arial" w:hAnsi="Arial" w:eastAsia="Arial"/>
        </w:rPr>
        <w:t>Review the map, legend, and analysis summary; then export a one-page PDF or an augmented FLARE workbook.</w:t>
      </w:r>
    </w:p>
    <w:p>
      <w:pPr>
        <w:pStyle w:val="Heading1"/>
        <w:keepNext/>
      </w:pPr>
      <w:r>
        <w:rPr>
          <w:rFonts w:ascii="Arial" w:hAnsi="Arial" w:eastAsia="Arial"/>
        </w:rPr>
        <w:t>2. Theory and Analytical Basis</w:t>
      </w:r>
    </w:p>
    <w:p>
      <w:pPr>
        <w:pStyle w:val="Heading2"/>
        <w:keepNext/>
      </w:pPr>
      <w:r>
        <w:rPr>
          <w:rFonts w:ascii="Arial" w:hAnsi="Arial" w:eastAsia="Arial"/>
        </w:rPr>
        <w:t>2.1 Analytical architecture</w:t>
      </w:r>
    </w:p>
    <w:p>
      <w:pPr>
        <w:keepLines w:val="0"/>
      </w:pPr>
      <w:r>
        <w:rPr>
          <w:rFonts w:ascii="Arial" w:hAnsi="Arial" w:eastAsia="Arial"/>
        </w:rPr>
        <w:t>The calculation separates four concerns: (1) population representation, (2) local geographic geometry, (3) radiological-field construction, and (4) pathway optimization. This separation is deliberate. Population data are queried independently of the FLARE workbook; the centerline dose remains a FLARE/NOTBADTRAD result; lateral spreading is applied as a transparent multiplier; and the pathway search operates on population cells after dose is evaluated at each cell.</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D9EAF7"/>
            <w:vAlign w:val="center"/>
          </w:tcPr>
          <w:p>
            <w:r>
              <w:rPr>
                <w:b/>
              </w:rPr>
              <w:t>Analytical element</w:t>
            </w:r>
          </w:p>
        </w:tc>
        <w:tc>
          <w:tcPr>
            <w:tcW w:type="dxa" w:w="3389"/>
            <w:shd w:fill="D9EAF7"/>
            <w:vAlign w:val="center"/>
          </w:tcPr>
          <w:p>
            <w:r>
              <w:rPr>
                <w:b/>
              </w:rPr>
              <w:t>Source or model</w:t>
            </w:r>
          </w:p>
        </w:tc>
        <w:tc>
          <w:tcPr>
            <w:tcW w:type="dxa" w:w="3389"/>
            <w:shd w:fill="D9EAF7"/>
            <w:vAlign w:val="center"/>
          </w:tcPr>
          <w:p>
            <w:r>
              <w:rPr>
                <w:b/>
              </w:rPr>
              <w:t>Role</w:t>
            </w:r>
          </w:p>
        </w:tc>
      </w:tr>
      <w:tr>
        <w:trPr>
          <w:cantSplit/>
        </w:trPr>
        <w:tc>
          <w:tcPr>
            <w:tcW w:type="dxa" w:w="3389"/>
            <w:vAlign w:val="top"/>
            <w:tcMar>
              <w:top w:w="80" w:type="dxa"/>
              <w:start w:w="100" w:type="dxa"/>
              <w:bottom w:w="80" w:type="dxa"/>
              <w:end w:w="100" w:type="dxa"/>
            </w:tcMar>
          </w:tcPr>
          <w:p>
            <w:r>
              <w:t>Population</w:t>
            </w:r>
          </w:p>
        </w:tc>
        <w:tc>
          <w:tcPr>
            <w:tcW w:type="dxa" w:w="3389"/>
            <w:vAlign w:val="top"/>
            <w:tcMar>
              <w:top w:w="80" w:type="dxa"/>
              <w:start w:w="100" w:type="dxa"/>
              <w:bottom w:w="80" w:type="dxa"/>
              <w:end w:w="100" w:type="dxa"/>
            </w:tcMar>
          </w:tcPr>
          <w:p>
            <w:r>
              <w:t>SQLite occupied-cell grid</w:t>
            </w:r>
          </w:p>
        </w:tc>
        <w:tc>
          <w:tcPr>
            <w:tcW w:type="dxa" w:w="3389"/>
            <w:vAlign w:val="top"/>
            <w:tcMar>
              <w:top w:w="80" w:type="dxa"/>
              <w:start w:w="100" w:type="dxa"/>
              <w:bottom w:w="80" w:type="dxa"/>
              <w:end w:w="100" w:type="dxa"/>
            </w:tcMar>
          </w:tcPr>
          <w:p>
            <w:r>
              <w:t>Provides latitude, longitude, and population for each occupied grid cell.</w:t>
            </w:r>
          </w:p>
        </w:tc>
      </w:tr>
      <w:tr>
        <w:trPr>
          <w:cantSplit/>
        </w:trPr>
        <w:tc>
          <w:tcPr>
            <w:tcW w:type="dxa" w:w="3389"/>
            <w:vAlign w:val="top"/>
            <w:tcMar>
              <w:top w:w="80" w:type="dxa"/>
              <w:start w:w="100" w:type="dxa"/>
              <w:bottom w:w="80" w:type="dxa"/>
              <w:end w:w="100" w:type="dxa"/>
            </w:tcMar>
          </w:tcPr>
          <w:p>
            <w:r>
              <w:t>Centerline airborne dose</w:t>
            </w:r>
          </w:p>
        </w:tc>
        <w:tc>
          <w:tcPr>
            <w:tcW w:type="dxa" w:w="3389"/>
            <w:vAlign w:val="top"/>
            <w:tcMar>
              <w:top w:w="80" w:type="dxa"/>
              <w:start w:w="100" w:type="dxa"/>
              <w:bottom w:w="80" w:type="dxa"/>
              <w:end w:w="100" w:type="dxa"/>
            </w:tcMar>
          </w:tcPr>
          <w:p>
            <w:r>
              <w:t>FLARE workbook Dose sheet</w:t>
            </w:r>
          </w:p>
        </w:tc>
        <w:tc>
          <w:tcPr>
            <w:tcW w:type="dxa" w:w="3389"/>
            <w:vAlign w:val="top"/>
            <w:tcMar>
              <w:top w:w="80" w:type="dxa"/>
              <w:start w:w="100" w:type="dxa"/>
              <w:bottom w:w="80" w:type="dxa"/>
              <w:end w:w="100" w:type="dxa"/>
            </w:tcMar>
          </w:tcPr>
          <w:p>
            <w:r>
              <w:t>Provides EAB- and LPZ-interval TEDE versus distance.</w:t>
            </w:r>
          </w:p>
        </w:tc>
      </w:tr>
      <w:tr>
        <w:trPr>
          <w:cantSplit/>
        </w:trPr>
        <w:tc>
          <w:tcPr>
            <w:tcW w:type="dxa" w:w="3389"/>
            <w:vAlign w:val="top"/>
            <w:tcMar>
              <w:top w:w="80" w:type="dxa"/>
              <w:start w:w="100" w:type="dxa"/>
              <w:bottom w:w="80" w:type="dxa"/>
              <w:end w:w="100" w:type="dxa"/>
            </w:tcMar>
          </w:tcPr>
          <w:p>
            <w:r>
              <w:t>Lateral dispersion</w:t>
            </w:r>
          </w:p>
        </w:tc>
        <w:tc>
          <w:tcPr>
            <w:tcW w:type="dxa" w:w="3389"/>
            <w:vAlign w:val="top"/>
            <w:tcMar>
              <w:top w:w="80" w:type="dxa"/>
              <w:start w:w="100" w:type="dxa"/>
              <w:bottom w:w="80" w:type="dxa"/>
              <w:end w:w="100" w:type="dxa"/>
            </w:tcMar>
          </w:tcPr>
          <w:p>
            <w:r>
              <w:t>Rural Pasquill-Gifford/Turner sigma-y correlation plus bounded low-wind meander multiplier</w:t>
            </w:r>
          </w:p>
        </w:tc>
        <w:tc>
          <w:tcPr>
            <w:tcW w:type="dxa" w:w="3389"/>
            <w:vAlign w:val="top"/>
            <w:tcMar>
              <w:top w:w="80" w:type="dxa"/>
              <w:start w:w="100" w:type="dxa"/>
              <w:bottom w:w="80" w:type="dxa"/>
              <w:end w:w="100" w:type="dxa"/>
            </w:tcMar>
          </w:tcPr>
          <w:p>
            <w:r>
              <w:t>Converts the one-dimensional centerline curve into a two-dimensional crosswind distribution.</w:t>
            </w:r>
          </w:p>
        </w:tc>
      </w:tr>
      <w:tr>
        <w:trPr>
          <w:cantSplit/>
        </w:trPr>
        <w:tc>
          <w:tcPr>
            <w:tcW w:type="dxa" w:w="3389"/>
            <w:vAlign w:val="top"/>
            <w:tcMar>
              <w:top w:w="80" w:type="dxa"/>
              <w:start w:w="100" w:type="dxa"/>
              <w:bottom w:w="80" w:type="dxa"/>
              <w:end w:w="100" w:type="dxa"/>
            </w:tcMar>
          </w:tcPr>
          <w:p>
            <w:r>
              <w:t>Time evolution</w:t>
            </w:r>
          </w:p>
        </w:tc>
        <w:tc>
          <w:tcPr>
            <w:tcW w:type="dxa" w:w="3389"/>
            <w:vAlign w:val="top"/>
            <w:tcMar>
              <w:top w:w="80" w:type="dxa"/>
              <w:start w:w="100" w:type="dxa"/>
              <w:bottom w:w="80" w:type="dxa"/>
              <w:end w:w="100" w:type="dxa"/>
            </w:tcMar>
          </w:tcPr>
          <w:p>
            <w:r>
              <w:t>Interpolation between cumulative EAB and LPZ anchor curves over 24 intervals</w:t>
            </w:r>
          </w:p>
        </w:tc>
        <w:tc>
          <w:tcPr>
            <w:tcW w:type="dxa" w:w="3389"/>
            <w:vAlign w:val="top"/>
            <w:tcMar>
              <w:top w:w="80" w:type="dxa"/>
              <w:start w:w="100" w:type="dxa"/>
              <w:bottom w:w="80" w:type="dxa"/>
              <w:end w:w="100" w:type="dxa"/>
            </w:tcMar>
          </w:tcPr>
          <w:p>
            <w:r>
              <w:t>Builds cumulative fields and incremental contributions.</w:t>
            </w:r>
          </w:p>
        </w:tc>
      </w:tr>
      <w:tr>
        <w:trPr>
          <w:cantSplit/>
        </w:trPr>
        <w:tc>
          <w:tcPr>
            <w:tcW w:type="dxa" w:w="3389"/>
            <w:vAlign w:val="top"/>
            <w:tcMar>
              <w:top w:w="80" w:type="dxa"/>
              <w:start w:w="100" w:type="dxa"/>
              <w:bottom w:w="80" w:type="dxa"/>
              <w:end w:w="100" w:type="dxa"/>
            </w:tcMar>
          </w:tcPr>
          <w:p>
            <w:r>
              <w:t>Pathway search</w:t>
            </w:r>
          </w:p>
        </w:tc>
        <w:tc>
          <w:tcPr>
            <w:tcW w:type="dxa" w:w="3389"/>
            <w:vAlign w:val="top"/>
            <w:tcMar>
              <w:top w:w="80" w:type="dxa"/>
              <w:start w:w="100" w:type="dxa"/>
              <w:bottom w:w="80" w:type="dxa"/>
              <w:end w:w="100" w:type="dxa"/>
            </w:tcMar>
          </w:tcPr>
          <w:p>
            <w:r>
              <w:t>One-degree bearing sweep or custom bearing</w:t>
            </w:r>
          </w:p>
        </w:tc>
        <w:tc>
          <w:tcPr>
            <w:tcW w:type="dxa" w:w="3389"/>
            <w:vAlign w:val="top"/>
            <w:tcMar>
              <w:top w:w="80" w:type="dxa"/>
              <w:start w:w="100" w:type="dxa"/>
              <w:bottom w:w="80" w:type="dxa"/>
              <w:end w:w="100" w:type="dxa"/>
            </w:tcMar>
          </w:tcPr>
          <w:p>
            <w:r>
              <w:t>Selects the direction using population × dose or population-above-threshold.</w:t>
            </w:r>
          </w:p>
        </w:tc>
      </w:tr>
      <w:tr>
        <w:trPr>
          <w:cantSplit/>
        </w:trPr>
        <w:tc>
          <w:tcPr>
            <w:tcW w:type="dxa" w:w="3389"/>
            <w:vAlign w:val="top"/>
            <w:tcMar>
              <w:top w:w="80" w:type="dxa"/>
              <w:start w:w="100" w:type="dxa"/>
              <w:bottom w:w="80" w:type="dxa"/>
              <w:end w:w="100" w:type="dxa"/>
            </w:tcMar>
          </w:tcPr>
          <w:p>
            <w:r>
              <w:t>Deposition</w:t>
            </w:r>
          </w:p>
        </w:tc>
        <w:tc>
          <w:tcPr>
            <w:tcW w:type="dxa" w:w="3389"/>
            <w:vAlign w:val="top"/>
            <w:tcMar>
              <w:top w:w="80" w:type="dxa"/>
              <w:start w:w="100" w:type="dxa"/>
              <w:bottom w:w="80" w:type="dxa"/>
              <w:end w:w="100" w:type="dxa"/>
            </w:tcMar>
          </w:tcPr>
          <w:p>
            <w:r>
              <w:t>Source-term-weighted synthetic retention and transport surrogate</w:t>
            </w:r>
          </w:p>
        </w:tc>
        <w:tc>
          <w:tcPr>
            <w:tcW w:type="dxa" w:w="3389"/>
            <w:vAlign w:val="top"/>
            <w:tcMar>
              <w:top w:w="80" w:type="dxa"/>
              <w:start w:w="100" w:type="dxa"/>
              <w:bottom w:w="80" w:type="dxa"/>
              <w:end w:w="100" w:type="dxa"/>
            </w:tcMar>
          </w:tcPr>
          <w:p>
            <w:r>
              <w:t>Displays relative cumulative deposition normalized to the final LPZ case/group maximum.</w:t>
            </w:r>
          </w:p>
        </w:tc>
      </w:tr>
    </w:tbl>
    <w:p/>
    <w:p>
      <w:pPr>
        <w:pStyle w:val="Heading2"/>
        <w:keepNext/>
      </w:pPr>
      <w:r>
        <w:rPr>
          <w:rFonts w:ascii="Arial" w:hAnsi="Arial" w:eastAsia="Arial"/>
        </w:rPr>
        <w:t>2.2 Population representation</w:t>
      </w:r>
    </w:p>
    <w:p>
      <w:pPr>
        <w:keepLines w:val="0"/>
      </w:pPr>
      <w:r>
        <w:rPr>
          <w:rFonts w:ascii="Arial" w:hAnsi="Arial" w:eastAsia="Arial"/>
        </w:rPr>
        <w:t>The runtime population database contains a single table named population_cells with cell_id, latitude, longitude, and population. Only occupied cells are retained. The production builder reads 2020 Census tabulation-block population and internal-point coordinates, aggregates occupied blocks into a nominal 1-km grid, and writes the common grid to SQLite. The common grid is not partitioned by state during runtime, so radius queries naturally cross jurisdictional boundaries.</w:t>
      </w:r>
    </w:p>
    <w:p>
      <w:pPr>
        <w:keepLines w:val="0"/>
      </w:pPr>
      <w:r>
        <w:rPr>
          <w:rFonts w:ascii="Arial" w:hAnsi="Arial" w:eastAsia="Arial"/>
        </w:rPr>
        <w:t>A radius query first constructs a latitude/longitude bounding box around the site and then returns candidate cells from SQLite. The calculation layer computes local distances and excludes cells outside the circular analysis radius. This two-stage approach preserves query efficiency while retaining a circular analytical domain.</w:t>
      </w:r>
    </w:p>
    <w:p>
      <w:pPr>
        <w:keepLines w:val="0"/>
      </w:pPr>
      <w:r>
        <w:rPr>
          <w:rFonts w:ascii="Arial" w:hAnsi="Arial" w:eastAsia="Arial"/>
        </w:rPr>
        <w:t>Census block population is represented at the block internal point before gridded aggregation. Consequently, the population field is a discrete occupied-cell representation rather than a continuous areal density surface. The map may display a population-density layer, but pathway scoring uses the cell population values, not the rendered heat-map appearance.</w:t>
      </w:r>
    </w:p>
    <w:p>
      <w:pPr>
        <w:pStyle w:val="Heading2"/>
        <w:keepNext/>
      </w:pPr>
      <w:r>
        <w:rPr>
          <w:rFonts w:ascii="Arial" w:hAnsi="Arial" w:eastAsia="Arial"/>
        </w:rPr>
        <w:t>2.3 Local geographic coordinate system</w:t>
      </w:r>
    </w:p>
    <w:p>
      <w:pPr>
        <w:keepLines w:val="0"/>
      </w:pPr>
      <w:r>
        <w:rPr>
          <w:rFonts w:ascii="Arial" w:hAnsi="Arial" w:eastAsia="Arial"/>
        </w:rPr>
        <w:t>For each population cell, latitude and longitude are transformed to a local east/north system centered on the selected site. Let R be the Earth radius in miles, φ and λ be cell latitude and longitude in radians, and φ₀ and λ₀ be the site coordinates. The code uses the local approximation:</w:t>
      </w:r>
    </w:p>
    <w:p>
      <w:pPr>
        <w:jc w:val="center"/>
      </w:pPr>
      <w:r>
        <w:rPr>
          <w:rFonts w:ascii="Arial" w:hAnsi="Arial" w:eastAsia="Arial"/>
          <w:i/>
          <w:sz w:val="22"/>
        </w:rPr>
        <w:t>x = R(λ − λ₀) cos[(φ + φ₀)/2]      and      y = R(φ − φ₀)</w:t>
      </w:r>
    </w:p>
    <w:p>
      <w:pPr>
        <w:keepLines w:val="0"/>
      </w:pPr>
      <w:r>
        <w:rPr>
          <w:rFonts w:ascii="Arial" w:hAnsi="Arial" w:eastAsia="Arial"/>
        </w:rPr>
        <w:t>Here x is eastward distance and y is northward distance. Distance is r = √(x² + y²). Compass bearing is measured clockwise from north using atan2(x, y), then wrapped to 0–360 degrees. This approximation is appropriate for the tool’s local-to-regional analysis domain, but it is not a full geodesic projection.</w:t>
      </w:r>
    </w:p>
    <w:p>
      <w:pPr>
        <w:keepLines w:val="0"/>
      </w:pPr>
      <w:r>
        <w:rPr>
          <w:rFonts w:ascii="Arial" w:hAnsi="Arial" w:eastAsia="Arial"/>
        </w:rPr>
        <w:t>The signed angular difference between a cell bearing and a candidate plume bearing is wrapped to the interval [−180°, 180°). This prevents discontinuities at north; for example, 359° and 1° differ by 2°, not 358°.</w:t>
      </w:r>
    </w:p>
    <w:p>
      <w:pPr>
        <w:pStyle w:val="Heading2"/>
        <w:keepNext/>
      </w:pPr>
      <w:r>
        <w:rPr>
          <w:rFonts w:ascii="Arial" w:hAnsi="Arial" w:eastAsia="Arial"/>
        </w:rPr>
        <w:t>2.4 FLARE workbook inputs</w:t>
      </w:r>
    </w:p>
    <w:p>
      <w:pPr>
        <w:keepLines w:val="0"/>
      </w:pPr>
      <w:r>
        <w:rPr>
          <w:rFonts w:ascii="Arial" w:hAnsi="Arial" w:eastAsia="Arial"/>
        </w:rPr>
        <w:t>The workbook reader expects an Input Echo sheet and a Dose sheet. A Source Term sheet is used when deposition groups are available. The Input Echo sheet is read as key/value pairs. The principal keys used by the map are stability class, wind speed, release height, release durations, EAB and LPZ dose-integration times, and EAB/LPZ distances.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9EAF7"/>
            <w:vAlign w:val="center"/>
          </w:tcPr>
          <w:p>
            <w:r>
              <w:rPr>
                <w:b/>
              </w:rPr>
              <w:t>Workbook item</w:t>
            </w:r>
          </w:p>
        </w:tc>
        <w:tc>
          <w:tcPr>
            <w:tcW w:type="dxa" w:w="5083"/>
            <w:shd w:fill="D9EAF7"/>
            <w:vAlign w:val="center"/>
          </w:tcPr>
          <w:p>
            <w:r>
              <w:rPr>
                <w:b/>
              </w:rPr>
              <w:t>Use in the map</w:t>
            </w:r>
          </w:p>
        </w:tc>
      </w:tr>
      <w:tr>
        <w:trPr>
          <w:cantSplit/>
        </w:trPr>
        <w:tc>
          <w:tcPr>
            <w:tcW w:type="dxa" w:w="5083"/>
            <w:vAlign w:val="top"/>
            <w:tcMar>
              <w:top w:w="80" w:type="dxa"/>
              <w:start w:w="100" w:type="dxa"/>
              <w:bottom w:w="80" w:type="dxa"/>
              <w:end w:w="100" w:type="dxa"/>
            </w:tcMar>
          </w:tcPr>
          <w:p>
            <w:r>
              <w:t>nbt_stability_class</w:t>
            </w:r>
          </w:p>
        </w:tc>
        <w:tc>
          <w:tcPr>
            <w:tcW w:type="dxa" w:w="5083"/>
            <w:vAlign w:val="top"/>
            <w:tcMar>
              <w:top w:w="80" w:type="dxa"/>
              <w:start w:w="100" w:type="dxa"/>
              <w:bottom w:w="80" w:type="dxa"/>
              <w:end w:w="100" w:type="dxa"/>
            </w:tcMar>
          </w:tcPr>
          <w:p>
            <w:r>
              <w:t>Nominal Pasquill stability class A–F.</w:t>
            </w:r>
          </w:p>
        </w:tc>
      </w:tr>
      <w:tr>
        <w:trPr>
          <w:cantSplit/>
        </w:trPr>
        <w:tc>
          <w:tcPr>
            <w:tcW w:type="dxa" w:w="5083"/>
            <w:vAlign w:val="top"/>
            <w:tcMar>
              <w:top w:w="80" w:type="dxa"/>
              <w:start w:w="100" w:type="dxa"/>
              <w:bottom w:w="80" w:type="dxa"/>
              <w:end w:w="100" w:type="dxa"/>
            </w:tcMar>
          </w:tcPr>
          <w:p>
            <w:r>
              <w:t>nbt_wind_speed_m_s</w:t>
            </w:r>
          </w:p>
        </w:tc>
        <w:tc>
          <w:tcPr>
            <w:tcW w:type="dxa" w:w="5083"/>
            <w:vAlign w:val="top"/>
            <w:tcMar>
              <w:top w:w="80" w:type="dxa"/>
              <w:start w:w="100" w:type="dxa"/>
              <w:bottom w:w="80" w:type="dxa"/>
              <w:end w:w="100" w:type="dxa"/>
            </w:tcMar>
          </w:tcPr>
          <w:p>
            <w:r>
              <w:t>Nominal transport speed and low-wind meander input.</w:t>
            </w:r>
          </w:p>
        </w:tc>
      </w:tr>
      <w:tr>
        <w:trPr>
          <w:cantSplit/>
        </w:trPr>
        <w:tc>
          <w:tcPr>
            <w:tcW w:type="dxa" w:w="5083"/>
            <w:vAlign w:val="top"/>
            <w:tcMar>
              <w:top w:w="80" w:type="dxa"/>
              <w:start w:w="100" w:type="dxa"/>
              <w:bottom w:w="80" w:type="dxa"/>
              <w:end w:w="100" w:type="dxa"/>
            </w:tcMar>
          </w:tcPr>
          <w:p>
            <w:r>
              <w:t>nbt_release_height_m</w:t>
            </w:r>
          </w:p>
        </w:tc>
        <w:tc>
          <w:tcPr>
            <w:tcW w:type="dxa" w:w="5083"/>
            <w:vAlign w:val="top"/>
            <w:tcMar>
              <w:top w:w="80" w:type="dxa"/>
              <w:start w:w="100" w:type="dxa"/>
              <w:bottom w:w="80" w:type="dxa"/>
              <w:end w:w="100" w:type="dxa"/>
            </w:tcMar>
          </w:tcPr>
          <w:p>
            <w:r>
              <w:t>Carried as a dispersion input; the current lateral model does not calculate vertical plume rise or ground reflection.</w:t>
            </w:r>
          </w:p>
        </w:tc>
      </w:tr>
      <w:tr>
        <w:trPr>
          <w:cantSplit/>
        </w:trPr>
        <w:tc>
          <w:tcPr>
            <w:tcW w:type="dxa" w:w="5083"/>
            <w:vAlign w:val="top"/>
            <w:tcMar>
              <w:top w:w="80" w:type="dxa"/>
              <w:start w:w="100" w:type="dxa"/>
              <w:bottom w:w="80" w:type="dxa"/>
              <w:end w:w="100" w:type="dxa"/>
            </w:tcMar>
          </w:tcPr>
          <w:p>
            <w:r>
              <w:t>nbt_gap_release_duration_hr and nbt_early_iv_duration_hr</w:t>
            </w:r>
          </w:p>
        </w:tc>
        <w:tc>
          <w:tcPr>
            <w:tcW w:type="dxa" w:w="5083"/>
            <w:vAlign w:val="top"/>
            <w:tcMar>
              <w:top w:w="80" w:type="dxa"/>
              <w:start w:w="100" w:type="dxa"/>
              <w:bottom w:w="80" w:type="dxa"/>
              <w:end w:w="100" w:type="dxa"/>
            </w:tcMar>
          </w:tcPr>
          <w:p>
            <w:r>
              <w:t>Release-duration context and source-term interval construction.</w:t>
            </w:r>
          </w:p>
        </w:tc>
      </w:tr>
      <w:tr>
        <w:trPr>
          <w:cantSplit/>
        </w:trPr>
        <w:tc>
          <w:tcPr>
            <w:tcW w:type="dxa" w:w="5083"/>
            <w:vAlign w:val="top"/>
            <w:tcMar>
              <w:top w:w="80" w:type="dxa"/>
              <w:start w:w="100" w:type="dxa"/>
              <w:bottom w:w="80" w:type="dxa"/>
              <w:end w:w="100" w:type="dxa"/>
            </w:tcMar>
          </w:tcPr>
          <w:p>
            <w:r>
              <w:t>nbt_eab_integration_hr and nbt_lpz_integration_hr</w:t>
            </w:r>
          </w:p>
        </w:tc>
        <w:tc>
          <w:tcPr>
            <w:tcW w:type="dxa" w:w="5083"/>
            <w:vAlign w:val="top"/>
            <w:tcMar>
              <w:top w:w="80" w:type="dxa"/>
              <w:start w:w="100" w:type="dxa"/>
              <w:bottom w:w="80" w:type="dxa"/>
              <w:end w:w="100" w:type="dxa"/>
            </w:tcMar>
          </w:tcPr>
          <w:p>
            <w:r>
              <w:t>Define the cumulative time anchors and the 24-interval evolution window.</w:t>
            </w:r>
          </w:p>
        </w:tc>
      </w:tr>
      <w:tr>
        <w:trPr>
          <w:cantSplit/>
        </w:trPr>
        <w:tc>
          <w:tcPr>
            <w:tcW w:type="dxa" w:w="5083"/>
            <w:vAlign w:val="top"/>
            <w:tcMar>
              <w:top w:w="80" w:type="dxa"/>
              <w:start w:w="100" w:type="dxa"/>
              <w:bottom w:w="80" w:type="dxa"/>
              <w:end w:w="100" w:type="dxa"/>
            </w:tcMar>
          </w:tcPr>
          <w:p>
            <w:r>
              <w:t>nbt_distance_eab_m</w:t>
            </w:r>
          </w:p>
        </w:tc>
        <w:tc>
          <w:tcPr>
            <w:tcW w:type="dxa" w:w="5083"/>
            <w:vAlign w:val="top"/>
            <w:tcMar>
              <w:top w:w="80" w:type="dxa"/>
              <w:start w:w="100" w:type="dxa"/>
              <w:bottom w:w="80" w:type="dxa"/>
              <w:end w:w="100" w:type="dxa"/>
            </w:tcMar>
          </w:tcPr>
          <w:p>
            <w:r>
              <w:t>Initializes the map/analysis radius when a new workbook is loaded.</w:t>
            </w:r>
          </w:p>
        </w:tc>
      </w:tr>
      <w:tr>
        <w:trPr>
          <w:cantSplit/>
        </w:trPr>
        <w:tc>
          <w:tcPr>
            <w:tcW w:type="dxa" w:w="5083"/>
            <w:vAlign w:val="top"/>
            <w:tcMar>
              <w:top w:w="80" w:type="dxa"/>
              <w:start w:w="100" w:type="dxa"/>
              <w:bottom w:w="80" w:type="dxa"/>
              <w:end w:w="100" w:type="dxa"/>
            </w:tcMar>
          </w:tcPr>
          <w:p>
            <w:r>
              <w:t>Dose sheet distance and TEDE columns</w:t>
            </w:r>
          </w:p>
        </w:tc>
        <w:tc>
          <w:tcPr>
            <w:tcW w:type="dxa" w:w="5083"/>
            <w:vAlign w:val="top"/>
            <w:tcMar>
              <w:top w:w="80" w:type="dxa"/>
              <w:start w:w="100" w:type="dxa"/>
              <w:bottom w:w="80" w:type="dxa"/>
              <w:end w:w="100" w:type="dxa"/>
            </w:tcMar>
          </w:tcPr>
          <w:p>
            <w:r>
              <w:t>Build EAB and LPZ centerline DoseCurve objects.</w:t>
            </w:r>
          </w:p>
        </w:tc>
      </w:tr>
      <w:tr>
        <w:trPr>
          <w:cantSplit/>
        </w:trPr>
        <w:tc>
          <w:tcPr>
            <w:tcW w:type="dxa" w:w="5083"/>
            <w:vAlign w:val="top"/>
            <w:tcMar>
              <w:top w:w="80" w:type="dxa"/>
              <w:start w:w="100" w:type="dxa"/>
              <w:bottom w:w="80" w:type="dxa"/>
              <w:end w:w="100" w:type="dxa"/>
            </w:tcMar>
          </w:tcPr>
          <w:p>
            <w:r>
              <w:t>Source Term group inventory and release fractions</w:t>
            </w:r>
          </w:p>
        </w:tc>
        <w:tc>
          <w:tcPr>
            <w:tcW w:type="dxa" w:w="5083"/>
            <w:vAlign w:val="top"/>
            <w:tcMar>
              <w:top w:w="80" w:type="dxa"/>
              <w:start w:w="100" w:type="dxa"/>
              <w:bottom w:w="80" w:type="dxa"/>
              <w:end w:w="100" w:type="dxa"/>
            </w:tcMar>
          </w:tcPr>
          <w:p>
            <w:r>
              <w:t>Weight the synthetic deposition field and group selector.</w:t>
            </w:r>
          </w:p>
        </w:tc>
      </w:tr>
    </w:tbl>
    <w:p/>
    <w:p>
      <w:pPr>
        <w:pStyle w:val="Heading2"/>
        <w:keepNext/>
      </w:pPr>
      <w:r>
        <w:rPr>
          <w:rFonts w:ascii="Arial" w:hAnsi="Arial" w:eastAsia="Arial"/>
        </w:rPr>
        <w:t>2.5 Centerline dose interpolation</w:t>
      </w:r>
    </w:p>
    <w:p>
      <w:pPr>
        <w:keepLines w:val="0"/>
      </w:pPr>
      <w:r>
        <w:rPr>
          <w:rFonts w:ascii="Arial" w:hAnsi="Arial" w:eastAsia="Arial"/>
        </w:rPr>
        <w:t>The Dose sheet is treated as the authoritative centerline TEDE-versus-distance result. For ordinary local-dose evaluation, the DoseCurve object performs interpolation in logarithmic distance/logarithmic dose space. This is appropriate for positive quantities that commonly exhibit approximate power-law behavior over segments. It also provides power-law extrapolation below the first and above the last tabulated distance using the slope of the nearest pair of points.</w:t>
      </w:r>
    </w:p>
    <w:p>
      <w:pPr>
        <w:keepLines w:val="0"/>
      </w:pPr>
      <w:r>
        <w:rPr>
          <w:rFonts w:ascii="Arial" w:hAnsi="Arial" w:eastAsia="Arial"/>
        </w:rPr>
        <w:t>For construction of the time-evolving Cartesian field, the code linearly interpolates the EAB and LPZ centerline arrays onto the radial distance of every grid point, holding the first and last dose values outside the tabulated range. Thus, the package contains two closely related interpolation paths: log-log interpolation for pointwise pathway evaluation and direct linear interpolation for the gridded cumulative-field builder. This distinction should be retained in technical interpretation and future verification.</w:t>
      </w:r>
    </w:p>
    <w:p>
      <w:pPr>
        <w:pStyle w:val="Heading2"/>
        <w:keepNext/>
      </w:pPr>
      <w:r>
        <w:rPr>
          <w:rFonts w:ascii="Arial" w:hAnsi="Arial" w:eastAsia="Arial"/>
        </w:rPr>
        <w:t>2.6 Horizontal dispersion model</w:t>
      </w:r>
    </w:p>
    <w:p>
      <w:pPr>
        <w:keepLines w:val="0"/>
      </w:pPr>
      <w:r>
        <w:rPr>
          <w:rFonts w:ascii="Arial" w:hAnsi="Arial" w:eastAsia="Arial"/>
        </w:rPr>
        <w:t>The lateral model preserves the centerline dose and applies a Gaussian crosswind factor. Horizontal dispersion follows a rural Pasquill-Gifford/Turner form:</w:t>
      </w:r>
    </w:p>
    <w:p>
      <w:pPr>
        <w:jc w:val="center"/>
      </w:pPr>
      <w:r>
        <w:rPr>
          <w:rFonts w:ascii="Arial" w:hAnsi="Arial" w:eastAsia="Arial"/>
          <w:i/>
        </w:rPr>
        <w:t>σᵧ(x) = a x / √(1 + b x)</w:t>
      </w:r>
    </w:p>
    <w:p>
      <w:pPr>
        <w:keepLines w:val="0"/>
      </w:pPr>
      <w:r>
        <w:rPr>
          <w:rFonts w:ascii="Arial" w:hAnsi="Arial" w:eastAsia="Arial"/>
        </w:rPr>
        <w:t>Distance x and σᵧ are in metres. The coefficients are stability-class dependent. The code uses b = 0.0001 m⁻¹ for all classes and a values of 0.22, 0.16, 0.11, 0.08, 0.06, and 0.04 for classes A through F, respectively. Unstable classes therefore spread more rapidly than stable classes.</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541"/>
            <w:shd w:fill="D9EAF7"/>
            <w:vAlign w:val="center"/>
          </w:tcPr>
          <w:p>
            <w:r>
              <w:rPr>
                <w:b/>
              </w:rPr>
              <w:t>Stability class</w:t>
            </w:r>
          </w:p>
        </w:tc>
        <w:tc>
          <w:tcPr>
            <w:tcW w:type="dxa" w:w="2541"/>
            <w:shd w:fill="D9EAF7"/>
            <w:vAlign w:val="center"/>
          </w:tcPr>
          <w:p>
            <w:r>
              <w:rPr>
                <w:b/>
              </w:rPr>
              <w:t>a</w:t>
            </w:r>
          </w:p>
        </w:tc>
        <w:tc>
          <w:tcPr>
            <w:tcW w:type="dxa" w:w="2541"/>
            <w:shd w:fill="D9EAF7"/>
            <w:vAlign w:val="center"/>
          </w:tcPr>
          <w:p>
            <w:r>
              <w:rPr>
                <w:b/>
              </w:rPr>
              <w:t>b (m⁻¹)</w:t>
            </w:r>
          </w:p>
        </w:tc>
        <w:tc>
          <w:tcPr>
            <w:tcW w:type="dxa" w:w="2541"/>
            <w:shd w:fill="D9EAF7"/>
            <w:vAlign w:val="center"/>
          </w:tcPr>
          <w:p>
            <w:r>
              <w:rPr>
                <w:b/>
              </w:rPr>
              <w:t>Relative lateral spread</w:t>
            </w:r>
          </w:p>
        </w:tc>
      </w:tr>
      <w:tr>
        <w:trPr>
          <w:cantSplit/>
        </w:trPr>
        <w:tc>
          <w:tcPr>
            <w:tcW w:type="dxa" w:w="2541"/>
            <w:vAlign w:val="top"/>
            <w:tcMar>
              <w:top w:w="80" w:type="dxa"/>
              <w:start w:w="100" w:type="dxa"/>
              <w:bottom w:w="80" w:type="dxa"/>
              <w:end w:w="100" w:type="dxa"/>
            </w:tcMar>
          </w:tcPr>
          <w:p>
            <w:r>
              <w:t>A</w:t>
            </w:r>
          </w:p>
        </w:tc>
        <w:tc>
          <w:tcPr>
            <w:tcW w:type="dxa" w:w="2541"/>
            <w:vAlign w:val="top"/>
            <w:tcMar>
              <w:top w:w="80" w:type="dxa"/>
              <w:start w:w="100" w:type="dxa"/>
              <w:bottom w:w="80" w:type="dxa"/>
              <w:end w:w="100" w:type="dxa"/>
            </w:tcMar>
          </w:tcPr>
          <w:p>
            <w:r>
              <w:t>0.22</w:t>
            </w:r>
          </w:p>
        </w:tc>
        <w:tc>
          <w:tcPr>
            <w:tcW w:type="dxa" w:w="2541"/>
            <w:vAlign w:val="top"/>
            <w:tcMar>
              <w:top w:w="80" w:type="dxa"/>
              <w:start w:w="100" w:type="dxa"/>
              <w:bottom w:w="80" w:type="dxa"/>
              <w:end w:w="100" w:type="dxa"/>
            </w:tcMar>
          </w:tcPr>
          <w:p>
            <w:r>
              <w:t>0.0001</w:t>
            </w:r>
          </w:p>
        </w:tc>
        <w:tc>
          <w:tcPr>
            <w:tcW w:type="dxa" w:w="2541"/>
            <w:vAlign w:val="top"/>
            <w:tcMar>
              <w:top w:w="80" w:type="dxa"/>
              <w:start w:w="100" w:type="dxa"/>
              <w:bottom w:w="80" w:type="dxa"/>
              <w:end w:w="100" w:type="dxa"/>
            </w:tcMar>
          </w:tcPr>
          <w:p>
            <w:r>
              <w:t>Largest</w:t>
            </w:r>
          </w:p>
        </w:tc>
      </w:tr>
      <w:tr>
        <w:trPr>
          <w:cantSplit/>
        </w:trPr>
        <w:tc>
          <w:tcPr>
            <w:tcW w:type="dxa" w:w="2541"/>
            <w:vAlign w:val="top"/>
            <w:tcMar>
              <w:top w:w="80" w:type="dxa"/>
              <w:start w:w="100" w:type="dxa"/>
              <w:bottom w:w="80" w:type="dxa"/>
              <w:end w:w="100" w:type="dxa"/>
            </w:tcMar>
          </w:tcPr>
          <w:p>
            <w:r>
              <w:t>B</w:t>
            </w:r>
          </w:p>
        </w:tc>
        <w:tc>
          <w:tcPr>
            <w:tcW w:type="dxa" w:w="2541"/>
            <w:vAlign w:val="top"/>
            <w:tcMar>
              <w:top w:w="80" w:type="dxa"/>
              <w:start w:w="100" w:type="dxa"/>
              <w:bottom w:w="80" w:type="dxa"/>
              <w:end w:w="100" w:type="dxa"/>
            </w:tcMar>
          </w:tcPr>
          <w:p>
            <w:r>
              <w:t>0.16</w:t>
            </w:r>
          </w:p>
        </w:tc>
        <w:tc>
          <w:tcPr>
            <w:tcW w:type="dxa" w:w="2541"/>
            <w:vAlign w:val="top"/>
            <w:tcMar>
              <w:top w:w="80" w:type="dxa"/>
              <w:start w:w="100" w:type="dxa"/>
              <w:bottom w:w="80" w:type="dxa"/>
              <w:end w:w="100" w:type="dxa"/>
            </w:tcMar>
          </w:tcPr>
          <w:p>
            <w:r>
              <w:t>0.0001</w:t>
            </w:r>
          </w:p>
        </w:tc>
        <w:tc>
          <w:tcPr>
            <w:tcW w:type="dxa" w:w="2541"/>
            <w:vAlign w:val="top"/>
            <w:tcMar>
              <w:top w:w="80" w:type="dxa"/>
              <w:start w:w="100" w:type="dxa"/>
              <w:bottom w:w="80" w:type="dxa"/>
              <w:end w:w="100" w:type="dxa"/>
            </w:tcMar>
          </w:tcPr>
          <w:p>
            <w:r>
              <w:t>Very large</w:t>
            </w:r>
          </w:p>
        </w:tc>
      </w:tr>
      <w:tr>
        <w:trPr>
          <w:cantSplit/>
        </w:trPr>
        <w:tc>
          <w:tcPr>
            <w:tcW w:type="dxa" w:w="2541"/>
            <w:vAlign w:val="top"/>
            <w:tcMar>
              <w:top w:w="80" w:type="dxa"/>
              <w:start w:w="100" w:type="dxa"/>
              <w:bottom w:w="80" w:type="dxa"/>
              <w:end w:w="100" w:type="dxa"/>
            </w:tcMar>
          </w:tcPr>
          <w:p>
            <w:r>
              <w:t>C</w:t>
            </w:r>
          </w:p>
        </w:tc>
        <w:tc>
          <w:tcPr>
            <w:tcW w:type="dxa" w:w="2541"/>
            <w:vAlign w:val="top"/>
            <w:tcMar>
              <w:top w:w="80" w:type="dxa"/>
              <w:start w:w="100" w:type="dxa"/>
              <w:bottom w:w="80" w:type="dxa"/>
              <w:end w:w="100" w:type="dxa"/>
            </w:tcMar>
          </w:tcPr>
          <w:p>
            <w:r>
              <w:t>0.11</w:t>
            </w:r>
          </w:p>
        </w:tc>
        <w:tc>
          <w:tcPr>
            <w:tcW w:type="dxa" w:w="2541"/>
            <w:vAlign w:val="top"/>
            <w:tcMar>
              <w:top w:w="80" w:type="dxa"/>
              <w:start w:w="100" w:type="dxa"/>
              <w:bottom w:w="80" w:type="dxa"/>
              <w:end w:w="100" w:type="dxa"/>
            </w:tcMar>
          </w:tcPr>
          <w:p>
            <w:r>
              <w:t>0.0001</w:t>
            </w:r>
          </w:p>
        </w:tc>
        <w:tc>
          <w:tcPr>
            <w:tcW w:type="dxa" w:w="2541"/>
            <w:vAlign w:val="top"/>
            <w:tcMar>
              <w:top w:w="80" w:type="dxa"/>
              <w:start w:w="100" w:type="dxa"/>
              <w:bottom w:w="80" w:type="dxa"/>
              <w:end w:w="100" w:type="dxa"/>
            </w:tcMar>
          </w:tcPr>
          <w:p>
            <w:r>
              <w:t>Moderate-large</w:t>
            </w:r>
          </w:p>
        </w:tc>
      </w:tr>
      <w:tr>
        <w:trPr>
          <w:cantSplit/>
        </w:trPr>
        <w:tc>
          <w:tcPr>
            <w:tcW w:type="dxa" w:w="2541"/>
            <w:vAlign w:val="top"/>
            <w:tcMar>
              <w:top w:w="80" w:type="dxa"/>
              <w:start w:w="100" w:type="dxa"/>
              <w:bottom w:w="80" w:type="dxa"/>
              <w:end w:w="100" w:type="dxa"/>
            </w:tcMar>
          </w:tcPr>
          <w:p>
            <w:r>
              <w:t>D</w:t>
            </w:r>
          </w:p>
        </w:tc>
        <w:tc>
          <w:tcPr>
            <w:tcW w:type="dxa" w:w="2541"/>
            <w:vAlign w:val="top"/>
            <w:tcMar>
              <w:top w:w="80" w:type="dxa"/>
              <w:start w:w="100" w:type="dxa"/>
              <w:bottom w:w="80" w:type="dxa"/>
              <w:end w:w="100" w:type="dxa"/>
            </w:tcMar>
          </w:tcPr>
          <w:p>
            <w:r>
              <w:t>0.08</w:t>
            </w:r>
          </w:p>
        </w:tc>
        <w:tc>
          <w:tcPr>
            <w:tcW w:type="dxa" w:w="2541"/>
            <w:vAlign w:val="top"/>
            <w:tcMar>
              <w:top w:w="80" w:type="dxa"/>
              <w:start w:w="100" w:type="dxa"/>
              <w:bottom w:w="80" w:type="dxa"/>
              <w:end w:w="100" w:type="dxa"/>
            </w:tcMar>
          </w:tcPr>
          <w:p>
            <w:r>
              <w:t>0.0001</w:t>
            </w:r>
          </w:p>
        </w:tc>
        <w:tc>
          <w:tcPr>
            <w:tcW w:type="dxa" w:w="2541"/>
            <w:vAlign w:val="top"/>
            <w:tcMar>
              <w:top w:w="80" w:type="dxa"/>
              <w:start w:w="100" w:type="dxa"/>
              <w:bottom w:w="80" w:type="dxa"/>
              <w:end w:w="100" w:type="dxa"/>
            </w:tcMar>
          </w:tcPr>
          <w:p>
            <w:r>
              <w:t>Neutral</w:t>
            </w:r>
          </w:p>
        </w:tc>
      </w:tr>
      <w:tr>
        <w:trPr>
          <w:cantSplit/>
        </w:trPr>
        <w:tc>
          <w:tcPr>
            <w:tcW w:type="dxa" w:w="2541"/>
            <w:vAlign w:val="top"/>
            <w:tcMar>
              <w:top w:w="80" w:type="dxa"/>
              <w:start w:w="100" w:type="dxa"/>
              <w:bottom w:w="80" w:type="dxa"/>
              <w:end w:w="100" w:type="dxa"/>
            </w:tcMar>
          </w:tcPr>
          <w:p>
            <w:r>
              <w:t>E</w:t>
            </w:r>
          </w:p>
        </w:tc>
        <w:tc>
          <w:tcPr>
            <w:tcW w:type="dxa" w:w="2541"/>
            <w:vAlign w:val="top"/>
            <w:tcMar>
              <w:top w:w="80" w:type="dxa"/>
              <w:start w:w="100" w:type="dxa"/>
              <w:bottom w:w="80" w:type="dxa"/>
              <w:end w:w="100" w:type="dxa"/>
            </w:tcMar>
          </w:tcPr>
          <w:p>
            <w:r>
              <w:t>0.06</w:t>
            </w:r>
          </w:p>
        </w:tc>
        <w:tc>
          <w:tcPr>
            <w:tcW w:type="dxa" w:w="2541"/>
            <w:vAlign w:val="top"/>
            <w:tcMar>
              <w:top w:w="80" w:type="dxa"/>
              <w:start w:w="100" w:type="dxa"/>
              <w:bottom w:w="80" w:type="dxa"/>
              <w:end w:w="100" w:type="dxa"/>
            </w:tcMar>
          </w:tcPr>
          <w:p>
            <w:r>
              <w:t>0.0001</w:t>
            </w:r>
          </w:p>
        </w:tc>
        <w:tc>
          <w:tcPr>
            <w:tcW w:type="dxa" w:w="2541"/>
            <w:vAlign w:val="top"/>
            <w:tcMar>
              <w:top w:w="80" w:type="dxa"/>
              <w:start w:w="100" w:type="dxa"/>
              <w:bottom w:w="80" w:type="dxa"/>
              <w:end w:w="100" w:type="dxa"/>
            </w:tcMar>
          </w:tcPr>
          <w:p>
            <w:r>
              <w:t>Small</w:t>
            </w:r>
          </w:p>
        </w:tc>
      </w:tr>
      <w:tr>
        <w:trPr>
          <w:cantSplit/>
        </w:trPr>
        <w:tc>
          <w:tcPr>
            <w:tcW w:type="dxa" w:w="2541"/>
            <w:vAlign w:val="top"/>
            <w:tcMar>
              <w:top w:w="80" w:type="dxa"/>
              <w:start w:w="100" w:type="dxa"/>
              <w:bottom w:w="80" w:type="dxa"/>
              <w:end w:w="100" w:type="dxa"/>
            </w:tcMar>
          </w:tcPr>
          <w:p>
            <w:r>
              <w:t>F</w:t>
            </w:r>
          </w:p>
        </w:tc>
        <w:tc>
          <w:tcPr>
            <w:tcW w:type="dxa" w:w="2541"/>
            <w:vAlign w:val="top"/>
            <w:tcMar>
              <w:top w:w="80" w:type="dxa"/>
              <w:start w:w="100" w:type="dxa"/>
              <w:bottom w:w="80" w:type="dxa"/>
              <w:end w:w="100" w:type="dxa"/>
            </w:tcMar>
          </w:tcPr>
          <w:p>
            <w:r>
              <w:t>0.04</w:t>
            </w:r>
          </w:p>
        </w:tc>
        <w:tc>
          <w:tcPr>
            <w:tcW w:type="dxa" w:w="2541"/>
            <w:vAlign w:val="top"/>
            <w:tcMar>
              <w:top w:w="80" w:type="dxa"/>
              <w:start w:w="100" w:type="dxa"/>
              <w:bottom w:w="80" w:type="dxa"/>
              <w:end w:w="100" w:type="dxa"/>
            </w:tcMar>
          </w:tcPr>
          <w:p>
            <w:r>
              <w:t>0.0001</w:t>
            </w:r>
          </w:p>
        </w:tc>
        <w:tc>
          <w:tcPr>
            <w:tcW w:type="dxa" w:w="2541"/>
            <w:vAlign w:val="top"/>
            <w:tcMar>
              <w:top w:w="80" w:type="dxa"/>
              <w:start w:w="100" w:type="dxa"/>
              <w:bottom w:w="80" w:type="dxa"/>
              <w:end w:w="100" w:type="dxa"/>
            </w:tcMar>
          </w:tcPr>
          <w:p>
            <w:r>
              <w:t>Smallest</w:t>
            </w:r>
          </w:p>
        </w:tc>
      </w:tr>
    </w:tbl>
    <w:p/>
    <w:p>
      <w:pPr>
        <w:keepLines w:val="0"/>
      </w:pPr>
      <w:r>
        <w:rPr>
          <w:rFonts w:ascii="Arial" w:hAnsi="Arial" w:eastAsia="Arial"/>
        </w:rPr>
        <w:t>For weak winds, the base σᵧ is multiplied by a bounded meander factor. The factor is unity at and above 1 m/s, increases as wind speed falls below 1 m/s, increases logarithmically with release duration, and is capped at 2.5. Wind speed is floored at 0.1 m/s in this calculation. The correction is intentionally bounded so that it broadens the plume without overwhelming the stability correlation.</w:t>
      </w:r>
    </w:p>
    <w:p>
      <w:pPr>
        <w:keepLines w:val="0"/>
      </w:pPr>
      <w:r>
        <w:rPr>
          <w:rFonts w:ascii="Arial" w:hAnsi="Arial" w:eastAsia="Arial"/>
        </w:rPr>
        <w:t>The crosswind dose fraction is Gaussian:</w:t>
      </w:r>
    </w:p>
    <w:p>
      <w:pPr>
        <w:jc w:val="center"/>
      </w:pPr>
      <w:r>
        <w:rPr>
          <w:rFonts w:ascii="Arial" w:hAnsi="Arial" w:eastAsia="Arial"/>
          <w:i/>
        </w:rPr>
        <w:t>f(y,x) = exp[−½(y/σᵧ(x))²]</w:t>
      </w:r>
    </w:p>
    <w:p>
      <w:pPr>
        <w:keepLines w:val="0"/>
      </w:pPr>
      <w:r>
        <w:rPr>
          <w:rFonts w:ascii="Arial" w:hAnsi="Arial" w:eastAsia="Arial"/>
        </w:rPr>
        <w:t>The local two-dimensional dose is the centerline dose at downwind distance x multiplied by this factor. Points behind the site, where downwind distance is not positive, are assigned zero dose. The displayed plume footprint is therefore dose-defined rather than a fixed-angle geometric wedge when a workbook is loaded.</w:t>
      </w:r>
    </w:p>
    <w:p>
      <w:pPr>
        <w:keepLines w:val="0"/>
      </w:pPr>
      <w:r>
        <w:rPr>
          <w:rFonts w:ascii="Arial" w:hAnsi="Arial" w:eastAsia="Arial"/>
        </w:rPr>
        <w:t>The crosswind half-width corresponding to an edge fraction fₑ is σᵧ√[2 ln(1/fₑ)]. The code supports this relationship for dose-contour geometry. In the current interface, the active minimum dose threshold is the dominant screening criterion for airborne-dose display and population counting.</w:t>
      </w:r>
    </w:p>
    <w:p>
      <w:pPr>
        <w:pStyle w:val="Heading2"/>
        <w:keepNext/>
      </w:pPr>
      <w:r>
        <w:rPr>
          <w:rFonts w:ascii="Arial" w:hAnsi="Arial" w:eastAsia="Arial"/>
        </w:rPr>
        <w:t>2.7 Candidate-bearing coordinate transform</w:t>
      </w:r>
    </w:p>
    <w:p>
      <w:pPr>
        <w:keepLines w:val="0"/>
      </w:pPr>
      <w:r>
        <w:rPr>
          <w:rFonts w:ascii="Arial" w:hAnsi="Arial" w:eastAsia="Arial"/>
        </w:rPr>
        <w:t>For a candidate bearing θ, the local east/north coordinates of each cell are rotated into downwind and crosswind coordinates:</w:t>
      </w:r>
    </w:p>
    <w:p>
      <w:pPr>
        <w:jc w:val="center"/>
      </w:pPr>
      <w:r>
        <w:rPr>
          <w:rFonts w:ascii="Arial" w:hAnsi="Arial" w:eastAsia="Arial"/>
          <w:i/>
        </w:rPr>
        <w:t>x_d = x_E sin θ + y_N cos θ      and      y_c = x_E cos θ − y_N sin θ</w:t>
      </w:r>
    </w:p>
    <w:p>
      <w:pPr>
        <w:keepLines w:val="0"/>
      </w:pPr>
      <w:r>
        <w:rPr>
          <w:rFonts w:ascii="Arial" w:hAnsi="Arial" w:eastAsia="Arial"/>
        </w:rPr>
        <w:t>This convention makes θ = 0° point north and θ = 90° point east. Dose is evaluated only where x_d &gt; 0 and radial distance does not exceed the analysis radius.</w:t>
      </w:r>
    </w:p>
    <w:p>
      <w:pPr>
        <w:pStyle w:val="Heading2"/>
        <w:keepNext/>
      </w:pPr>
      <w:r>
        <w:rPr>
          <w:rFonts w:ascii="Arial" w:hAnsi="Arial" w:eastAsia="Arial"/>
        </w:rPr>
        <w:t>2.8 Pathway optimization criteria</w:t>
      </w:r>
    </w:p>
    <w:p>
      <w:pPr>
        <w:pStyle w:val="Heading3"/>
        <w:keepNext/>
      </w:pPr>
      <w:r>
        <w:rPr>
          <w:rFonts w:ascii="Arial" w:hAnsi="Arial" w:eastAsia="Arial"/>
        </w:rPr>
        <w:t>2.8.1 Maximum population × dose</w:t>
      </w:r>
    </w:p>
    <w:p>
      <w:pPr>
        <w:keepLines w:val="0"/>
      </w:pPr>
      <w:r>
        <w:rPr>
          <w:rFonts w:ascii="Arial" w:hAnsi="Arial" w:eastAsia="Arial"/>
        </w:rPr>
        <w:t>For each candidate bearing, the code evaluates dose at every queried population cell. Cells below the selected minimum dose are screened out. The score is the sum of population multiplied by local dose over the included cells:</w:t>
      </w:r>
    </w:p>
    <w:p>
      <w:pPr>
        <w:jc w:val="center"/>
      </w:pPr>
      <w:r>
        <w:rPr>
          <w:rFonts w:ascii="Arial" w:hAnsi="Arial" w:eastAsia="Arial"/>
          <w:i/>
        </w:rPr>
        <w:t>S(θ) = Σᵢ Pᵢ Dᵢ(θ), for Dᵢ ≥ Dmin and rᵢ ≤ R</w:t>
      </w:r>
    </w:p>
    <w:p>
      <w:pPr>
        <w:keepLines w:val="0"/>
      </w:pPr>
      <w:r>
        <w:rPr>
          <w:rFonts w:ascii="Arial" w:hAnsi="Arial" w:eastAsia="Arial"/>
        </w:rPr>
        <w:t>This criterion favors directions that combine population and consequence magnitude. A smaller highly exposed population can outweigh a larger population at doses near the threshold.</w:t>
      </w:r>
    </w:p>
    <w:p>
      <w:pPr>
        <w:pStyle w:val="Heading3"/>
        <w:keepNext/>
      </w:pPr>
      <w:r>
        <w:rPr>
          <w:rFonts w:ascii="Arial" w:hAnsi="Arial" w:eastAsia="Arial"/>
        </w:rPr>
        <w:t>2.8.2 Maximum population inside plume</w:t>
      </w:r>
    </w:p>
    <w:p>
      <w:pPr>
        <w:keepLines w:val="0"/>
      </w:pPr>
      <w:r>
        <w:rPr>
          <w:rFonts w:ascii="Arial" w:hAnsi="Arial" w:eastAsia="Arial"/>
        </w:rPr>
        <w:t>The second criterion uses the same dose field and threshold but scores only the population included above threshold:</w:t>
      </w:r>
    </w:p>
    <w:p>
      <w:pPr>
        <w:jc w:val="center"/>
      </w:pPr>
      <w:r>
        <w:rPr>
          <w:rFonts w:ascii="Arial" w:hAnsi="Arial" w:eastAsia="Arial"/>
          <w:i/>
        </w:rPr>
        <w:t>P(θ) = Σᵢ Pᵢ, for Dᵢ ≥ Dmin and rᵢ ≤ R</w:t>
      </w:r>
    </w:p>
    <w:p>
      <w:pPr>
        <w:keepLines w:val="0"/>
      </w:pPr>
      <w:r>
        <w:rPr>
          <w:rFonts w:ascii="Arial" w:hAnsi="Arial" w:eastAsia="Arial"/>
        </w:rPr>
        <w:t>This criterion is insensitive to dose magnitude above the threshold. It answers a different question: which bearing places the largest population inside the active dose-defined footprint?</w:t>
      </w:r>
    </w:p>
    <w:p>
      <w:pPr>
        <w:pStyle w:val="Heading3"/>
        <w:keepNext/>
      </w:pPr>
      <w:r>
        <w:rPr>
          <w:rFonts w:ascii="Arial" w:hAnsi="Arial" w:eastAsia="Arial"/>
        </w:rPr>
        <w:t>2.8.3 Custom direction</w:t>
      </w:r>
    </w:p>
    <w:p>
      <w:pPr>
        <w:keepLines w:val="0"/>
      </w:pPr>
      <w:r>
        <w:rPr>
          <w:rFonts w:ascii="Arial" w:hAnsi="Arial" w:eastAsia="Arial"/>
        </w:rPr>
        <w:t>Custom direction bypasses the maximization sweep. The selected bearing is still evaluated using the same dose threshold, population count, and field-construction methods. Bearings are meteorological directions measured clockwise from north; 0° and 360° both represent north.</w:t>
      </w:r>
    </w:p>
    <w:p>
      <w:pPr>
        <w:keepLines w:val="0"/>
      </w:pPr>
      <w:r>
        <w:rPr>
          <w:rFonts w:ascii="Arial" w:hAnsi="Arial" w:eastAsia="Arial"/>
        </w:rPr>
        <w:t>Automated searches use a one-degree bearing step in the current interface. The selected result includes bearing, population above threshold, population × dose score, and number of included cells. Where equal scores occur in the legacy geometric wedge search, the code contains a circular-mean tie-breaker; the dose-informed search selects the first strict maximum encountered unless later code changes add an explicit tie-break.</w:t>
      </w:r>
    </w:p>
    <w:p>
      <w:pPr>
        <w:pStyle w:val="Heading2"/>
        <w:keepNext/>
      </w:pPr>
      <w:r>
        <w:rPr>
          <w:rFonts w:ascii="Arial" w:hAnsi="Arial" w:eastAsia="Arial"/>
        </w:rPr>
        <w:t>2.9 Meaning of “Population above threshold”</w:t>
      </w:r>
    </w:p>
    <w:p>
      <w:pPr>
        <w:keepLines w:val="0"/>
      </w:pPr>
      <w:r>
        <w:rPr>
          <w:rFonts w:ascii="Arial" w:hAnsi="Arial" w:eastAsia="Arial"/>
        </w:rPr>
        <w:t>Population above threshold is the sum of the population in queried cells that satisfy all of the following conditions for the selected pathway and cumulative field: the cell is within the user’s analysis radius, it lies downwind for the evaluated bearing or is reached by the cumulative multi-interval field, and its airborne dose is at or above the lower value of the Dose range control. The value is therefore conditional on site, radius, pathway criterion or custom direction, meteorological scenario, cumulative interval, and minimum dose.</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r>
              <w:rPr>
                <w:b/>
              </w:rPr>
              <w:t xml:space="preserve">Dose-range interaction: </w:t>
            </w:r>
            <w:r>
              <w:t>The lower dose value is both a display-screening threshold and the population-counting threshold. The upper value does not change which cells are counted; it defines the top of the airborne-dose color scale. Changing either endpoint regenerates the plume color map and legend.</w:t>
            </w:r>
          </w:p>
        </w:tc>
      </w:tr>
    </w:tbl>
    <w:p/>
    <w:p>
      <w:pPr>
        <w:pStyle w:val="Heading2"/>
        <w:keepNext/>
      </w:pPr>
      <w:r>
        <w:rPr>
          <w:rFonts w:ascii="Arial" w:hAnsi="Arial" w:eastAsia="Arial"/>
        </w:rPr>
        <w:t>2.10 Time-evolving consequence model</w:t>
      </w:r>
    </w:p>
    <w:p>
      <w:pPr>
        <w:keepLines w:val="0"/>
      </w:pPr>
      <w:r>
        <w:rPr>
          <w:rFonts w:ascii="Arial" w:hAnsi="Arial" w:eastAsia="Arial"/>
        </w:rPr>
        <w:t>The model treats the EAB and LPZ centerline curves as cumulative anchor states. Step 0 represents the EAB cumulative state. Twenty-four additional intervals span the EAB-to-LPZ integration-time range, making step 24 the LPZ cumulative state. The interval count is fixed at 24 in the application.</w:t>
      </w:r>
    </w:p>
    <w:p>
      <w:pPr>
        <w:keepLines w:val="0"/>
      </w:pPr>
      <w:r>
        <w:rPr>
          <w:rFonts w:ascii="Arial" w:hAnsi="Arial" w:eastAsia="Arial"/>
        </w:rPr>
        <w:t>The cumulative interpolation fraction is front-loaded rather than linear. For normalized interval position s, the fraction is:</w:t>
      </w:r>
    </w:p>
    <w:p>
      <w:pPr>
        <w:jc w:val="center"/>
      </w:pPr>
      <w:r>
        <w:rPr>
          <w:rFonts w:ascii="Arial" w:hAnsi="Arial" w:eastAsia="Arial"/>
          <w:i/>
        </w:rPr>
        <w:t>F(s) = [1 − exp(−2.4s)] / [1 − exp(−2.4)]</w:t>
      </w:r>
    </w:p>
    <w:p>
      <w:pPr>
        <w:keepLines w:val="0"/>
      </w:pPr>
      <w:r>
        <w:rPr>
          <w:rFonts w:ascii="Arial" w:hAnsi="Arial" w:eastAsia="Arial"/>
        </w:rPr>
        <w:t>The incremental fraction for an interval is the increase in F from the preceding interval. At each step, the target centerline curve is EAB + F(s)(LPZ − EAB). Negative incremental changes are clipped to zero, so the cumulative field does not decrease because of local interpolation differences.</w:t>
      </w:r>
    </w:p>
    <w:p>
      <w:pPr>
        <w:keepLines w:val="0"/>
      </w:pPr>
      <w:r>
        <w:rPr>
          <w:rFonts w:ascii="Arial" w:hAnsi="Arial" w:eastAsia="Arial"/>
        </w:rPr>
        <w:t>The Cartesian field spans −R to +R in east and north coordinates and is masked to the circular analysis radius. The initial EAB field is centered on the predominant pathway. For each subsequent interval, the incremental centerline dose is spread laterally using that interval’s bearing, wind speed, stability class, and duration, then added to the cumulative field. This permits the better-estimate directional sequence to leave an accumulated radial/azimuthal footprint rather than merely replacing one plume with another.</w:t>
      </w:r>
    </w:p>
    <w:p>
      <w:pPr>
        <w:pStyle w:val="Heading2"/>
        <w:keepNext/>
      </w:pPr>
      <w:r>
        <w:rPr>
          <w:rFonts w:ascii="Arial" w:hAnsi="Arial" w:eastAsia="Arial"/>
        </w:rPr>
        <w:t>2.11 Synthetic meteorological scenarios</w:t>
      </w:r>
    </w:p>
    <w:p>
      <w:pPr>
        <w:pStyle w:val="Heading3"/>
        <w:keepNext/>
      </w:pPr>
      <w:r>
        <w:rPr>
          <w:rFonts w:ascii="Arial" w:hAnsi="Arial" w:eastAsia="Arial"/>
        </w:rPr>
        <w:t>2.11.1 Unidirectional</w:t>
      </w:r>
    </w:p>
    <w:p>
      <w:pPr>
        <w:keepLines w:val="0"/>
      </w:pPr>
      <w:r>
        <w:rPr>
          <w:rFonts w:ascii="Arial" w:hAnsi="Arial" w:eastAsia="Arial"/>
        </w:rPr>
        <w:t>Every interval remains centered on the selected predominant pathway. Wind speed and stability class still vary deterministically by interval, affecting transport and lateral width, but direction does not change. This concentrates all incremental contributions along the population-significant bearing and is the more conservative directional treatment within the surrogate model.</w:t>
      </w:r>
    </w:p>
    <w:p>
      <w:pPr>
        <w:pStyle w:val="Heading3"/>
        <w:keepNext/>
      </w:pPr>
      <w:r>
        <w:rPr>
          <w:rFonts w:ascii="Arial" w:hAnsi="Arial" w:eastAsia="Arial"/>
        </w:rPr>
        <w:t>2.11.2 Constrained Variability</w:t>
      </w:r>
    </w:p>
    <w:p>
      <w:pPr>
        <w:keepLines w:val="0"/>
      </w:pPr>
      <w:r>
        <w:rPr>
          <w:rFonts w:ascii="Arial" w:hAnsi="Arial" w:eastAsia="Arial"/>
        </w:rPr>
        <w:t>Direction follows a deterministic, bounded, mean-reverting autoregressive sequence. The prior offset is multiplied by 0.62, a deterministic innovation with an amplitude of 12 degrees is added, and the offset is clipped to ±28 degrees. The resulting bearing is the predominant pathway plus the offset, wrapped to 0–360 degrees. Because the pseudo-random values are generated from SHA-256 hashes of a stable seed, workbook, and interval identifiers, the same case and seed reproduce the same sequence.</w:t>
      </w:r>
    </w:p>
    <w:p>
      <w:pPr>
        <w:keepLines w:val="0"/>
      </w:pPr>
      <w:r>
        <w:rPr>
          <w:rFonts w:ascii="Arial" w:hAnsi="Arial" w:eastAsia="Arial"/>
        </w:rPr>
        <w:t>Wind speed is multiplied by a deterministic factor between 0.72 and 1.28 of nominal, with a floor of 0.1 m/s. Stability may shift by one class relative to nominal, bounded to A–F. These variations are synthetic and are not sampled from a site meteorological record.</w:t>
      </w:r>
    </w:p>
    <w:p>
      <w:pPr>
        <w:pStyle w:val="Heading2"/>
        <w:keepNext/>
      </w:pPr>
      <w:r>
        <w:rPr>
          <w:rFonts w:ascii="Arial" w:hAnsi="Arial" w:eastAsia="Arial"/>
        </w:rPr>
        <w:t>2.12 Ground-deposition surrogate</w:t>
      </w:r>
    </w:p>
    <w:p>
      <w:pPr>
        <w:keepLines w:val="0"/>
      </w:pPr>
      <w:r>
        <w:rPr>
          <w:rFonts w:ascii="Arial" w:hAnsi="Arial" w:eastAsia="Arial"/>
        </w:rPr>
        <w:t>Ground deposition is reported as a relative, cumulative field rather than an absolute activity-per-area concentration. The model uses source-term group inventory, release fractions, interval duration, wind speed, stability, lateral Gaussian spreading, downwind transport, and a retention function. Noble-gas groups are excluded from deposition-group choices by the deposition model.</w:t>
      </w:r>
    </w:p>
    <w:p>
      <w:pPr>
        <w:keepLines w:val="0"/>
      </w:pPr>
      <w:r>
        <w:rPr>
          <w:rFonts w:ascii="Arial" w:hAnsi="Arial" w:eastAsia="Arial"/>
        </w:rPr>
        <w:t>For each interval, the airborne incremental field is multiplied by a downwind retention term that decays with distance and includes an additional square-root dilution term. The interval contribution is also multiplied by the selected group’s share of source-term-weighted depositing inventory. The exact source weighting uses core inventory, the larger of total release fraction or gap-plus-early fraction, and an internal deposition factor by release-group key.</w:t>
      </w:r>
    </w:p>
    <w:p>
      <w:pPr>
        <w:keepLines w:val="0"/>
      </w:pPr>
      <w:r>
        <w:rPr>
          <w:rFonts w:ascii="Arial" w:hAnsi="Arial" w:eastAsia="Arial"/>
        </w:rPr>
        <w:t>The final cumulative deposition maximum for the selected scenario and group is normalized to 1.0. Intermediate frames are divided by that same final maximum. Consequently, the legend expresses percent of final LPZ case/group maximum, and time progression remains visually comparable. The result is not a prediction of Bq/m², Ci/km², or measured contamination.</w:t>
      </w:r>
    </w:p>
    <w:p>
      <w:pPr>
        <w:pStyle w:val="Heading2"/>
        <w:keepNext/>
      </w:pPr>
      <w:r>
        <w:rPr>
          <w:rFonts w:ascii="Arial" w:hAnsi="Arial" w:eastAsia="Arial"/>
        </w:rPr>
        <w:t>2.13 Dose-range color mapping</w:t>
      </w:r>
    </w:p>
    <w:p>
      <w:pPr>
        <w:keepLines w:val="0"/>
      </w:pPr>
      <w:r>
        <w:rPr>
          <w:rFonts w:ascii="Arial" w:hAnsi="Arial" w:eastAsia="Arial"/>
        </w:rPr>
        <w:t>Airborne-dose colors are defined by the user-selected minimum and maximum dose. The application constructs logarithmically spaced boundaries across that exact range and assigns a discrete color band to values between successive limits. Values below the minimum are transparent and are excluded from population-above-threshold. Values at or above the upper limit use the highest color band. The map legend and report legend use the same boundaries.</w:t>
      </w:r>
    </w:p>
    <w:p>
      <w:pPr>
        <w:keepLines w:val="0"/>
      </w:pPr>
      <w:r>
        <w:rPr>
          <w:rFonts w:ascii="Arial" w:hAnsi="Arial" w:eastAsia="Arial"/>
        </w:rPr>
        <w:t>Because normalization is user-controlled, two maps should be compared only when their dose ranges are the same. Raising the maximum spreads the palette over a wider range and may make a low-dose field appear less intense. Lowering the maximum saturates more of the field at the highest color. Raising the minimum removes low-dose regions and generally reduces population above threshold.</w:t>
      </w:r>
    </w:p>
    <w:p>
      <w:pPr>
        <w:pStyle w:val="Heading2"/>
        <w:keepNext/>
      </w:pPr>
      <w:r>
        <w:rPr>
          <w:rFonts w:ascii="Arial" w:hAnsi="Arial" w:eastAsia="Arial"/>
        </w:rPr>
        <w:t>2.14 Map rendering and report compositing</w:t>
      </w:r>
    </w:p>
    <w:p>
      <w:pPr>
        <w:keepNext/>
      </w:pPr>
      <w:r>
        <w:rPr>
          <w:rFonts w:ascii="Arial" w:hAnsi="Arial" w:eastAsia="Arial"/>
        </w:rPr>
        <w:t>The interactive map is rendered with Folium/Leaflet inside Streamlit. Population, radiological, radius, pathway, and site layers are placed in dedicated panes so their stacking order is controlled. The full consequence-grid resolution is retained; the radiological overlay is upsampled only for visual smoothness, not spatially downsampled. The cumulative-interval, dose-range, and map/analysis-radius sliders are browser-side controls located above the map. Interval and dose changes update the existing Leaflet map without rebuilding the iframe. Radius changes within the loaded extent are also local; expansion beyond that extent commits one value to Python for a new population query and consequence calculation.</w:t>
      </w:r>
    </w:p>
    <w:p>
      <w:pPr>
        <w:keepLines w:val="0"/>
      </w:pPr>
      <w:r>
        <w:rPr>
          <w:rFonts w:ascii="Arial" w:hAnsi="Arial" w:eastAsia="Arial"/>
        </w:rPr>
        <w:t>Leaflet mouse-wheel zoom is disabled so ordinary page scrolling is never interpreted as map scaling. The visible + and − controls provide browser-local zooming without a Streamlit rerun. Reset View recenters the release site and restores a zoom level that fits the current analysis radius within the circular viewport.</w:t>
      </w:r>
    </w:p>
    <w:p>
      <w:pPr>
        <w:keepLines w:val="0"/>
      </w:pPr>
      <w:r>
        <w:rPr>
          <w:rFonts w:ascii="Arial" w:hAnsi="Arial" w:eastAsia="Arial"/>
        </w:rPr>
        <w:t>The report-quality PDF uses a deterministic layered-compositing process rather than relying on an uncontrolled browser screenshot. A rectangular native map area is centered on the selected site, geographic and overlay layers share the same pixel frame, a circular white mask creates a viewport slightly larger than the analysis radius, the analysis circle and selected-pathway line are drawn on the common frame, plume and map layers are flattened, and the legend and analysis tiles are placed below the map. The result is formatted for one conventional portrait 8.5 × 11-inch page.</w:t>
      </w:r>
    </w:p>
    <w:p>
      <w:pPr>
        <w:pStyle w:val="Heading1"/>
        <w:keepNext/>
      </w:pPr>
      <w:r>
        <w:rPr>
          <w:rFonts w:ascii="Arial" w:hAnsi="Arial" w:eastAsia="Arial"/>
        </w:rPr>
        <w:t>3. Installation</w:t>
      </w:r>
    </w:p>
    <w:p>
      <w:pPr>
        <w:pStyle w:val="Heading2"/>
        <w:keepNext/>
      </w:pPr>
      <w:r>
        <w:rPr>
          <w:rFonts w:ascii="Arial" w:hAnsi="Arial" w:eastAsia="Arial"/>
        </w:rPr>
        <w:t>3.1 System requirements</w:t>
      </w:r>
    </w:p>
    <w:p>
      <w:pPr>
        <w:pStyle w:val="ListBullet"/>
      </w:pPr>
      <w:r>
        <w:rPr>
          <w:rFonts w:ascii="Arial" w:hAnsi="Arial" w:eastAsia="Arial"/>
        </w:rPr>
        <w:t>Windows computer for the supplied double-click launcher and database-builder batch files.</w:t>
      </w:r>
    </w:p>
    <w:p>
      <w:pPr>
        <w:pStyle w:val="ListBullet"/>
      </w:pPr>
      <w:r>
        <w:rPr>
          <w:rFonts w:ascii="Arial" w:hAnsi="Arial" w:eastAsia="Arial"/>
        </w:rPr>
        <w:t>64-bit Python 3.11 or newer. The launcher first tries the Python launcher command py -3.11 and then python.</w:t>
      </w:r>
    </w:p>
    <w:p>
      <w:pPr>
        <w:pStyle w:val="ListBullet"/>
      </w:pPr>
      <w:r>
        <w:rPr>
          <w:rFonts w:ascii="Arial" w:hAnsi="Arial" w:eastAsia="Arial"/>
        </w:rPr>
        <w:t>Internet access during initial dependency installation and during the national Census database build.</w:t>
      </w:r>
    </w:p>
    <w:p>
      <w:pPr>
        <w:pStyle w:val="ListBullet"/>
      </w:pPr>
      <w:r>
        <w:rPr>
          <w:rFonts w:ascii="Arial" w:hAnsi="Arial" w:eastAsia="Arial"/>
        </w:rPr>
        <w:t>Sufficient disk space for the private .venv environment and, if built, the national Census database and temporary staging files.</w:t>
      </w:r>
    </w:p>
    <w:p>
      <w:pPr>
        <w:pStyle w:val="ListBullet"/>
      </w:pPr>
      <w:r>
        <w:rPr>
          <w:rFonts w:ascii="Arial" w:hAnsi="Arial" w:eastAsia="Arial"/>
        </w:rPr>
        <w:t>A modern web browser. Streamlit normally opens the browser automatically.</w:t>
      </w:r>
    </w:p>
    <w:p>
      <w:pPr>
        <w:keepLines w:val="0"/>
      </w:pPr>
      <w:r>
        <w:rPr>
          <w:rFonts w:ascii="Arial" w:hAnsi="Arial" w:eastAsia="Arial"/>
        </w:rPr>
        <w:t>The required Python packages are declared in requirements.txt. The launcher installs or repairs them inside a private .venv folder located in the application directory. This isolates the tool from most system-level Python package conflicts.</w:t>
      </w:r>
    </w:p>
    <w:p>
      <w:pPr>
        <w:pStyle w:val="Heading2"/>
        <w:keepNext/>
      </w:pPr>
      <w:r>
        <w:rPr>
          <w:rFonts w:ascii="Arial" w:hAnsi="Arial" w:eastAsia="Arial"/>
        </w:rPr>
        <w:t>3.2 Package placement</w:t>
      </w:r>
    </w:p>
    <w:p>
      <w:pPr>
        <w:pStyle w:val="ListNumber"/>
      </w:pPr>
      <w:r>
        <w:rPr>
          <w:rFonts w:ascii="Arial" w:hAnsi="Arial" w:eastAsia="Arial"/>
        </w:rPr>
        <w:t>Extract the complete ZIP archive to a writable local folder. Avoid running directly from inside the ZIP.</w:t>
      </w:r>
    </w:p>
    <w:p>
      <w:pPr>
        <w:pStyle w:val="ListNumber"/>
      </w:pPr>
      <w:r>
        <w:rPr>
          <w:rFonts w:ascii="Arial" w:hAnsi="Arial" w:eastAsia="Arial"/>
        </w:rPr>
        <w:t>Keep flare_map.py, requirements.txt, both BAT files, the flare_map_core folder, tools folder, and data folder together.</w:t>
      </w:r>
    </w:p>
    <w:p>
      <w:pPr>
        <w:pStyle w:val="ListNumber"/>
      </w:pPr>
      <w:r>
        <w:rPr>
          <w:rFonts w:ascii="Arial" w:hAnsi="Arial" w:eastAsia="Arial"/>
        </w:rPr>
        <w:t>Use a path where the user has permission to create .venv, data, and saved-setting files. A normal Downloads or Documents subfolder is typically suitable.</w:t>
      </w:r>
    </w:p>
    <w:p>
      <w:pPr>
        <w:pStyle w:val="Heading2"/>
        <w:keepNext/>
      </w:pPr>
      <w:r>
        <w:rPr>
          <w:rFonts w:ascii="Arial" w:hAnsi="Arial" w:eastAsia="Arial"/>
        </w:rPr>
        <w:t>3.3 First launch</w:t>
      </w:r>
    </w:p>
    <w:p>
      <w:pPr>
        <w:pStyle w:val="ListNumber"/>
      </w:pPr>
      <w:r>
        <w:rPr>
          <w:rFonts w:ascii="Arial" w:hAnsi="Arial" w:eastAsia="Arial"/>
        </w:rPr>
        <w:t>Double-click Launch_FLARE_Population_Map.bat.</w:t>
      </w:r>
    </w:p>
    <w:p>
      <w:pPr>
        <w:pStyle w:val="ListNumber"/>
      </w:pPr>
      <w:r>
        <w:rPr>
          <w:rFonts w:ascii="Arial" w:hAnsi="Arial" w:eastAsia="Arial"/>
        </w:rPr>
        <w:t>The launcher checks for Python 3.11 or newer and creates .venv if necessary.</w:t>
      </w:r>
    </w:p>
    <w:p>
      <w:pPr>
        <w:pStyle w:val="ListNumber"/>
      </w:pPr>
      <w:r>
        <w:rPr>
          <w:rFonts w:ascii="Arial" w:hAnsi="Arial" w:eastAsia="Arial"/>
        </w:rPr>
        <w:t>It initializes pip, installs the required libraries, checks project files and imports, compiles the application, and validates the population databases.</w:t>
      </w:r>
    </w:p>
    <w:p>
      <w:pPr>
        <w:pStyle w:val="ListNumber"/>
      </w:pPr>
      <w:r>
        <w:rPr>
          <w:rFonts w:ascii="Arial" w:hAnsi="Arial" w:eastAsia="Arial"/>
        </w:rPr>
        <w:t>If the national database is missing, choose Build national database, Launch demo, or exit.</w:t>
      </w:r>
    </w:p>
    <w:p>
      <w:pPr>
        <w:pStyle w:val="ListNumber"/>
      </w:pPr>
      <w:r>
        <w:rPr>
          <w:rFonts w:ascii="Arial" w:hAnsi="Arial" w:eastAsia="Arial"/>
        </w:rPr>
        <w:t>After verification, Streamlit starts and the browser opens at the local application address, normally http://localhost:8501.</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r>
              <w:rPr>
                <w:b/>
              </w:rPr>
              <w:t xml:space="preserve">Console warning: </w:t>
            </w:r>
            <w:r>
              <w:t>The message “missing ScriptRunContext” can appear during the launcher’s bare-mode import check. The launcher explicitly treats this as ignorable when installation verification otherwise succeeds.</w:t>
            </w:r>
          </w:p>
        </w:tc>
      </w:tr>
    </w:tbl>
    <w:p/>
    <w:p>
      <w:pPr>
        <w:pStyle w:val="Heading2"/>
        <w:keepNext/>
      </w:pPr>
      <w:r>
        <w:rPr>
          <w:rFonts w:ascii="Arial" w:hAnsi="Arial" w:eastAsia="Arial"/>
        </w:rPr>
        <w:t>3.4 National population database</w:t>
      </w:r>
    </w:p>
    <w:p>
      <w:pPr>
        <w:keepLines w:val="0"/>
      </w:pPr>
      <w:r>
        <w:rPr>
          <w:rFonts w:ascii="Arial" w:hAnsi="Arial" w:eastAsia="Arial"/>
        </w:rPr>
        <w:t>The bundled demo_population.sqlite is synthetic and centered near Lynchburg, Virginia. For national work, build data/population_2020_national.sqlite by double-clicking Build_National_Population_Database.bat. The builder downloads official 2020 Census TIGER/Line tabulation-block files, extracts population and internal-point attributes, aggregates occupied blocks to a nominal 1-km grid, stages the result in DuckDB, and exports the runtime SQLite database.</w:t>
      </w:r>
    </w:p>
    <w:p>
      <w:pPr>
        <w:keepLines w:val="0"/>
      </w:pPr>
      <w:r>
        <w:rPr>
          <w:rFonts w:ascii="Arial" w:hAnsi="Arial" w:eastAsia="Arial"/>
        </w:rPr>
        <w:t>The build is resumable. Completed source areas are recorded and skipped on a later run. If an existing national database is detected, the batch file offers rebuild from scratch, continue/resume staging, or finalize existing staging. The default “all” scope includes the 50 states, District of Columbia, Puerto Rico, and U.S. territories listed by the builder.</w:t>
      </w:r>
    </w:p>
    <w:p>
      <w:pPr>
        <w:pStyle w:val="Heading2"/>
        <w:keepNext/>
      </w:pPr>
      <w:r>
        <w:rPr>
          <w:rFonts w:ascii="Arial" w:hAnsi="Arial" w:eastAsia="Arial"/>
        </w:rPr>
        <w:t>3.5 Manual command-line launch</w:t>
      </w:r>
    </w:p>
    <w:p>
      <w:pPr>
        <w:keepLines w:val="0"/>
      </w:pPr>
      <w:r>
        <w:rPr>
          <w:rFonts w:ascii="Arial" w:hAnsi="Arial" w:eastAsia="Arial"/>
        </w:rPr>
        <w:t>A user who prefers the command line may create an environment, install requirements, and run Streamlit directly:</w:t>
      </w:r>
    </w:p>
    <w:p>
      <w:pPr>
        <w:pStyle w:val="IntenseQuote"/>
      </w:pPr>
      <w:r>
        <w:rPr>
          <w:rFonts w:ascii="Arial" w:hAnsi="Arial" w:eastAsia="Arial"/>
        </w:rPr>
        <w:t>python -m venv .venv</w:t>
        <w:br/>
        <w:t>.venv\Scripts\python -m pip install -r requirements.txt</w:t>
        <w:br/>
        <w:t>.venv\Scripts\python -m streamlit run flare_map.py</w:t>
      </w:r>
    </w:p>
    <w:p>
      <w:pPr>
        <w:keepLines w:val="0"/>
      </w:pPr>
      <w:r>
        <w:rPr>
          <w:rFonts w:ascii="Arial" w:hAnsi="Arial" w:eastAsia="Arial"/>
        </w:rPr>
        <w:t>The supplied launcher is preferred because it also validates package completeness, database integrity, and syntax before launching.</w:t>
      </w:r>
    </w:p>
    <w:p>
      <w:pPr>
        <w:pStyle w:val="Heading1"/>
        <w:keepNext/>
      </w:pPr>
      <w:r>
        <w:rPr>
          <w:rFonts w:ascii="Arial" w:hAnsi="Arial" w:eastAsia="Arial"/>
        </w:rPr>
        <w:t>4. Getting Started</w:t>
      </w:r>
    </w:p>
    <w:p>
      <w:pPr>
        <w:pStyle w:val="Heading2"/>
        <w:keepNext/>
      </w:pPr>
      <w:r>
        <w:rPr>
          <w:rFonts w:ascii="Arial" w:hAnsi="Arial" w:eastAsia="Arial"/>
        </w:rPr>
        <w:t>4.1 A first successful run</w:t>
      </w:r>
    </w:p>
    <w:p>
      <w:pPr>
        <w:pStyle w:val="ListNumber"/>
      </w:pPr>
      <w:r>
        <w:rPr>
          <w:rFonts w:ascii="Arial" w:hAnsi="Arial" w:eastAsia="Arial"/>
        </w:rPr>
        <w:t>Launch the application. If the national database is unavailable, allow the synthetic demo database for an interface check.</w:t>
      </w:r>
    </w:p>
    <w:p>
      <w:pPr>
        <w:pStyle w:val="ListNumber"/>
      </w:pPr>
      <w:r>
        <w:rPr>
          <w:rFonts w:ascii="Arial" w:hAnsi="Arial" w:eastAsia="Arial"/>
        </w:rPr>
        <w:t>In the sidebar, upload a FLARE output workbook under FLARE radiological case.</w:t>
      </w:r>
    </w:p>
    <w:p>
      <w:pPr>
        <w:pStyle w:val="ListNumber"/>
      </w:pPr>
      <w:r>
        <w:rPr>
          <w:rFonts w:ascii="Arial" w:hAnsi="Arial" w:eastAsia="Arial"/>
        </w:rPr>
        <w:t>Confirm that the application reports the workbook as active and that the map-side cumulative-interval, dose-range, and map/analysis-radius sliders are enabled.</w:t>
      </w:r>
    </w:p>
    <w:p>
      <w:pPr>
        <w:pStyle w:val="ListNumber"/>
      </w:pPr>
      <w:r>
        <w:rPr>
          <w:rFonts w:ascii="Arial" w:hAnsi="Arial" w:eastAsia="Arial"/>
        </w:rPr>
        <w:t>Under Site and population, click Select new location on map, pan to the desired location, and click once. The displayed latitude and longitude update after the rerun.</w:t>
      </w:r>
    </w:p>
    <w:p>
      <w:pPr>
        <w:pStyle w:val="ListNumber"/>
      </w:pPr>
      <w:r>
        <w:rPr>
          <w:rFonts w:ascii="Arial" w:hAnsi="Arial" w:eastAsia="Arial"/>
        </w:rPr>
        <w:t>Select Airborne dose, Maximum population × dose, and Unidirectional for a straightforward initial case.</w:t>
      </w:r>
    </w:p>
    <w:p>
      <w:pPr>
        <w:pStyle w:val="ListNumber"/>
      </w:pPr>
      <w:r>
        <w:rPr>
          <w:rFonts w:ascii="Arial" w:hAnsi="Arial" w:eastAsia="Arial"/>
        </w:rPr>
        <w:t>Leave the default dose range at 0.01–25 rem. Set the map/analysis radius with the map-side two-ended slider; a newly uploaded workbook initializes the outer radius from its EAB distance.</w:t>
      </w:r>
    </w:p>
    <w:p>
      <w:pPr>
        <w:pStyle w:val="ListNumber"/>
      </w:pPr>
      <w:r>
        <w:rPr>
          <w:rFonts w:ascii="Arial" w:hAnsi="Arial" w:eastAsia="Arial"/>
        </w:rPr>
        <w:t>Select a cumulative interval with the map-side slider. Step 0 is the EAB anchor and step 24 is the LPZ anchor. Interval changes are browser-local and should not refresh the map.</w:t>
      </w:r>
    </w:p>
    <w:p>
      <w:pPr>
        <w:pStyle w:val="ListNumber"/>
      </w:pPr>
      <w:r>
        <w:rPr>
          <w:rFonts w:ascii="Arial" w:hAnsi="Arial" w:eastAsia="Arial"/>
        </w:rPr>
        <w:t>Use the layer checkboxes to show the radiological layer and analysis-radius boundary. Enable population density when geographic context is needed.</w:t>
      </w:r>
    </w:p>
    <w:p>
      <w:pPr>
        <w:pStyle w:val="ListNumber"/>
      </w:pPr>
      <w:r>
        <w:rPr>
          <w:rFonts w:ascii="Arial" w:hAnsi="Arial" w:eastAsia="Arial"/>
        </w:rPr>
        <w:t>Review the selected pathway, population above threshold, map maximum, dose threshold, and other summary fields below the map.</w:t>
      </w:r>
    </w:p>
    <w:p>
      <w:pPr>
        <w:pStyle w:val="ListNumber"/>
      </w:pPr>
      <w:r>
        <w:rPr>
          <w:rFonts w:ascii="Arial" w:hAnsi="Arial" w:eastAsia="Arial"/>
        </w:rPr>
        <w:t>Use Download report-quality PDF for a one-page report or Prepare updated FLARE output workbook for structured numerical output.</w:t>
      </w:r>
    </w:p>
    <w:p>
      <w:pPr>
        <w:pStyle w:val="Heading2"/>
        <w:keepNext/>
      </w:pPr>
      <w:r>
        <w:rPr>
          <w:rFonts w:ascii="Arial" w:hAnsi="Arial" w:eastAsia="Arial"/>
        </w:rPr>
        <w:t>4.2 Recommended analysis sequence</w:t>
      </w:r>
    </w:p>
    <w:p>
      <w:pPr>
        <w:keepLines w:val="0"/>
      </w:pPr>
      <w:r>
        <w:rPr>
          <w:rFonts w:ascii="Arial" w:hAnsi="Arial" w:eastAsia="Arial"/>
        </w:rPr>
        <w:t>For technically defensible comparisons, establish a reference setup and vary one control at a time. A practical sequence is: fix site and population database; fix radius; compare pathway criteria at the same dose range; compare meteorological scenarios at the same pathway criterion; inspect cumulative intervals; then test dose-threshold sensitivity. Preserve the dose range when comparing color intensity among maps.</w:t>
      </w:r>
    </w:p>
    <w:p>
      <w:pPr>
        <w:pStyle w:val="Heading2"/>
        <w:keepNext/>
      </w:pPr>
      <w:r>
        <w:rPr>
          <w:rFonts w:ascii="Arial" w:hAnsi="Arial" w:eastAsia="Arial"/>
        </w:rPr>
        <w:t>4.3 Restoring a prior setup</w:t>
      </w:r>
    </w:p>
    <w:p>
      <w:pPr>
        <w:keepLines w:val="0"/>
      </w:pPr>
      <w:r>
        <w:rPr>
          <w:rFonts w:ascii="Arial" w:hAnsi="Arial" w:eastAsia="Arial"/>
        </w:rPr>
        <w:t>The application persists the accepted control state after committed changes. Use Apply stored settings to restore saved controls and the copied active workbook. Browser-local interval and dose adjustments are maintained in the interactive map and report state; settings that require Python recalculation are committed when the application receives the final value. The site is also written to a dedicated site-location file. Stored absolute paths from an older extracted package are resolved to a matching database or saved workbook in the current package when possible.</w:t>
      </w:r>
    </w:p>
    <w:p>
      <w:pPr>
        <w:pStyle w:val="Heading1"/>
        <w:keepNext/>
      </w:pPr>
      <w:r>
        <w:rPr>
          <w:rFonts w:ascii="Arial" w:hAnsi="Arial" w:eastAsia="Arial"/>
        </w:rPr>
        <w:t>5. User Options and Interface Controls</w:t>
      </w:r>
    </w:p>
    <w:p>
      <w:pPr>
        <w:pStyle w:val="Heading2"/>
        <w:keepNext/>
      </w:pPr>
      <w:r>
        <w:rPr>
          <w:rFonts w:ascii="Arial" w:hAnsi="Arial" w:eastAsia="Arial"/>
        </w:rPr>
        <w:t>5.1 Saved setup</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D9EAF7"/>
            <w:vAlign w:val="center"/>
          </w:tcPr>
          <w:p>
            <w:r>
              <w:rPr>
                <w:b/>
              </w:rPr>
              <w:t>Control</w:t>
            </w:r>
          </w:p>
        </w:tc>
        <w:tc>
          <w:tcPr>
            <w:tcW w:type="dxa" w:w="3389"/>
            <w:shd w:fill="D9EAF7"/>
            <w:vAlign w:val="center"/>
          </w:tcPr>
          <w:p>
            <w:r>
              <w:rPr>
                <w:b/>
              </w:rPr>
              <w:t>Function</w:t>
            </w:r>
          </w:p>
        </w:tc>
        <w:tc>
          <w:tcPr>
            <w:tcW w:type="dxa" w:w="3389"/>
            <w:shd w:fill="D9EAF7"/>
            <w:vAlign w:val="center"/>
          </w:tcPr>
          <w:p>
            <w:r>
              <w:rPr>
                <w:b/>
              </w:rPr>
              <w:t>Operational note</w:t>
            </w:r>
          </w:p>
        </w:tc>
      </w:tr>
      <w:tr>
        <w:trPr>
          <w:cantSplit/>
        </w:trPr>
        <w:tc>
          <w:tcPr>
            <w:tcW w:type="dxa" w:w="3389"/>
            <w:vAlign w:val="top"/>
            <w:tcMar>
              <w:top w:w="80" w:type="dxa"/>
              <w:start w:w="100" w:type="dxa"/>
              <w:bottom w:w="80" w:type="dxa"/>
              <w:end w:w="100" w:type="dxa"/>
            </w:tcMar>
          </w:tcPr>
          <w:p>
            <w:r>
              <w:t>Apply stored settings</w:t>
            </w:r>
          </w:p>
        </w:tc>
        <w:tc>
          <w:tcPr>
            <w:tcW w:type="dxa" w:w="3389"/>
            <w:vAlign w:val="top"/>
            <w:tcMar>
              <w:top w:w="80" w:type="dxa"/>
              <w:start w:w="100" w:type="dxa"/>
              <w:bottom w:w="80" w:type="dxa"/>
              <w:end w:w="100" w:type="dxa"/>
            </w:tcMar>
          </w:tcPr>
          <w:p>
            <w:r>
              <w:t>Restores the saved widget configuration and active workbook.</w:t>
            </w:r>
          </w:p>
        </w:tc>
        <w:tc>
          <w:tcPr>
            <w:tcW w:type="dxa" w:w="3389"/>
            <w:vAlign w:val="top"/>
            <w:tcMar>
              <w:top w:w="80" w:type="dxa"/>
              <w:start w:w="100" w:type="dxa"/>
              <w:bottom w:w="80" w:type="dxa"/>
              <w:end w:w="100" w:type="dxa"/>
            </w:tcMar>
          </w:tcPr>
          <w:p>
            <w:r>
              <w:t>Stored settings are not repeatedly forced onto controls during ordinary interaction; they are applied by this button.</w:t>
            </w:r>
          </w:p>
        </w:tc>
      </w:tr>
    </w:tbl>
    <w:p/>
    <w:p>
      <w:pPr>
        <w:pStyle w:val="Heading2"/>
        <w:keepNext/>
      </w:pPr>
      <w:r>
        <w:rPr>
          <w:rFonts w:ascii="Arial" w:hAnsi="Arial" w:eastAsia="Arial"/>
        </w:rPr>
        <w:t>5.2 FLARE radiological case</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D9EAF7"/>
            <w:vAlign w:val="center"/>
          </w:tcPr>
          <w:p>
            <w:r>
              <w:rPr>
                <w:b/>
              </w:rPr>
              <w:t>Control</w:t>
            </w:r>
          </w:p>
        </w:tc>
        <w:tc>
          <w:tcPr>
            <w:tcW w:type="dxa" w:w="3389"/>
            <w:shd w:fill="D9EAF7"/>
            <w:vAlign w:val="center"/>
          </w:tcPr>
          <w:p>
            <w:r>
              <w:rPr>
                <w:b/>
              </w:rPr>
              <w:t>Choices or range</w:t>
            </w:r>
          </w:p>
        </w:tc>
        <w:tc>
          <w:tcPr>
            <w:tcW w:type="dxa" w:w="3389"/>
            <w:shd w:fill="D9EAF7"/>
            <w:vAlign w:val="center"/>
          </w:tcPr>
          <w:p>
            <w:r>
              <w:rPr>
                <w:b/>
              </w:rPr>
              <w:t>Effect</w:t>
            </w:r>
          </w:p>
        </w:tc>
      </w:tr>
      <w:tr>
        <w:trPr>
          <w:cantSplit/>
        </w:trPr>
        <w:tc>
          <w:tcPr>
            <w:tcW w:type="dxa" w:w="3389"/>
            <w:vAlign w:val="top"/>
            <w:tcMar>
              <w:top w:w="80" w:type="dxa"/>
              <w:start w:w="100" w:type="dxa"/>
              <w:bottom w:w="80" w:type="dxa"/>
              <w:end w:w="100" w:type="dxa"/>
            </w:tcMar>
          </w:tcPr>
          <w:p>
            <w:r>
              <w:t>FLARE output workbook</w:t>
            </w:r>
          </w:p>
        </w:tc>
        <w:tc>
          <w:tcPr>
            <w:tcW w:type="dxa" w:w="3389"/>
            <w:vAlign w:val="top"/>
            <w:tcMar>
              <w:top w:w="80" w:type="dxa"/>
              <w:start w:w="100" w:type="dxa"/>
              <w:bottom w:w="80" w:type="dxa"/>
              <w:end w:w="100" w:type="dxa"/>
            </w:tcMar>
          </w:tcPr>
          <w:p>
            <w:r>
              <w:t>XLSX upload</w:t>
            </w:r>
          </w:p>
        </w:tc>
        <w:tc>
          <w:tcPr>
            <w:tcW w:type="dxa" w:w="3389"/>
            <w:vAlign w:val="top"/>
            <w:tcMar>
              <w:top w:w="80" w:type="dxa"/>
              <w:start w:w="100" w:type="dxa"/>
              <w:bottom w:w="80" w:type="dxa"/>
              <w:end w:w="100" w:type="dxa"/>
            </w:tcMar>
          </w:tcPr>
          <w:p>
            <w:r>
              <w:t>Loads Input Echo, Dose, and Source Term information. A copy is preserved for restoration.</w:t>
            </w:r>
          </w:p>
        </w:tc>
      </w:tr>
      <w:tr>
        <w:trPr>
          <w:cantSplit/>
        </w:trPr>
        <w:tc>
          <w:tcPr>
            <w:tcW w:type="dxa" w:w="3389"/>
            <w:vAlign w:val="top"/>
            <w:tcMar>
              <w:top w:w="80" w:type="dxa"/>
              <w:start w:w="100" w:type="dxa"/>
              <w:bottom w:w="80" w:type="dxa"/>
              <w:end w:w="100" w:type="dxa"/>
            </w:tcMar>
          </w:tcPr>
          <w:p>
            <w:r>
              <w:t>Radiological layer</w:t>
            </w:r>
          </w:p>
        </w:tc>
        <w:tc>
          <w:tcPr>
            <w:tcW w:type="dxa" w:w="3389"/>
            <w:vAlign w:val="top"/>
            <w:tcMar>
              <w:top w:w="80" w:type="dxa"/>
              <w:start w:w="100" w:type="dxa"/>
              <w:bottom w:w="80" w:type="dxa"/>
              <w:end w:w="100" w:type="dxa"/>
            </w:tcMar>
          </w:tcPr>
          <w:p>
            <w:r>
              <w:t>Airborne dose; Ground deposition</w:t>
            </w:r>
          </w:p>
        </w:tc>
        <w:tc>
          <w:tcPr>
            <w:tcW w:type="dxa" w:w="3389"/>
            <w:vAlign w:val="top"/>
            <w:tcMar>
              <w:top w:w="80" w:type="dxa"/>
              <w:start w:w="100" w:type="dxa"/>
              <w:bottom w:w="80" w:type="dxa"/>
              <w:end w:w="100" w:type="dxa"/>
            </w:tcMar>
          </w:tcPr>
          <w:p>
            <w:r>
              <w:t>Selects absolute cumulative TEDE or normalized synthetic deposition.</w:t>
            </w:r>
          </w:p>
        </w:tc>
      </w:tr>
      <w:tr>
        <w:trPr>
          <w:cantSplit/>
        </w:trPr>
        <w:tc>
          <w:tcPr>
            <w:tcW w:type="dxa" w:w="3389"/>
            <w:vAlign w:val="top"/>
            <w:tcMar>
              <w:top w:w="80" w:type="dxa"/>
              <w:start w:w="100" w:type="dxa"/>
              <w:bottom w:w="80" w:type="dxa"/>
              <w:end w:w="100" w:type="dxa"/>
            </w:tcMar>
          </w:tcPr>
          <w:p>
            <w:r>
              <w:t>Maximum-population pathway criterion</w:t>
            </w:r>
          </w:p>
        </w:tc>
        <w:tc>
          <w:tcPr>
            <w:tcW w:type="dxa" w:w="3389"/>
            <w:vAlign w:val="top"/>
            <w:tcMar>
              <w:top w:w="80" w:type="dxa"/>
              <w:start w:w="100" w:type="dxa"/>
              <w:bottom w:w="80" w:type="dxa"/>
              <w:end w:w="100" w:type="dxa"/>
            </w:tcMar>
          </w:tcPr>
          <w:p>
            <w:r>
              <w:t>Maximum population × dose; Maximum population inside plume; Custom direction</w:t>
            </w:r>
          </w:p>
        </w:tc>
        <w:tc>
          <w:tcPr>
            <w:tcW w:type="dxa" w:w="3389"/>
            <w:vAlign w:val="top"/>
            <w:tcMar>
              <w:top w:w="80" w:type="dxa"/>
              <w:start w:w="100" w:type="dxa"/>
              <w:bottom w:w="80" w:type="dxa"/>
              <w:end w:w="100" w:type="dxa"/>
            </w:tcMar>
          </w:tcPr>
          <w:p>
            <w:r>
              <w:t>Determines the directional search objective or bypasses the search.</w:t>
            </w:r>
          </w:p>
        </w:tc>
      </w:tr>
      <w:tr>
        <w:trPr>
          <w:cantSplit/>
        </w:trPr>
        <w:tc>
          <w:tcPr>
            <w:tcW w:type="dxa" w:w="3389"/>
            <w:vAlign w:val="top"/>
            <w:tcMar>
              <w:top w:w="80" w:type="dxa"/>
              <w:start w:w="100" w:type="dxa"/>
              <w:bottom w:w="80" w:type="dxa"/>
              <w:end w:w="100" w:type="dxa"/>
            </w:tcMar>
          </w:tcPr>
          <w:p>
            <w:r>
              <w:t>Custom direction</w:t>
            </w:r>
          </w:p>
        </w:tc>
        <w:tc>
          <w:tcPr>
            <w:tcW w:type="dxa" w:w="3389"/>
            <w:vAlign w:val="top"/>
            <w:tcMar>
              <w:top w:w="80" w:type="dxa"/>
              <w:start w:w="100" w:type="dxa"/>
              <w:bottom w:w="80" w:type="dxa"/>
              <w:end w:w="100" w:type="dxa"/>
            </w:tcMar>
          </w:tcPr>
          <w:p>
            <w:r>
              <w:t>0–360 degrees</w:t>
            </w:r>
          </w:p>
        </w:tc>
        <w:tc>
          <w:tcPr>
            <w:tcW w:type="dxa" w:w="3389"/>
            <w:vAlign w:val="top"/>
            <w:tcMar>
              <w:top w:w="80" w:type="dxa"/>
              <w:start w:w="100" w:type="dxa"/>
              <w:bottom w:w="80" w:type="dxa"/>
              <w:end w:w="100" w:type="dxa"/>
            </w:tcMar>
          </w:tcPr>
          <w:p>
            <w:r>
              <w:t>Appears only for Custom direction. Measured clockwise from north.</w:t>
            </w:r>
          </w:p>
        </w:tc>
      </w:tr>
      <w:tr>
        <w:trPr>
          <w:cantSplit/>
        </w:trPr>
        <w:tc>
          <w:tcPr>
            <w:tcW w:type="dxa" w:w="3389"/>
            <w:vAlign w:val="top"/>
            <w:tcMar>
              <w:top w:w="80" w:type="dxa"/>
              <w:start w:w="100" w:type="dxa"/>
              <w:bottom w:w="80" w:type="dxa"/>
              <w:end w:w="100" w:type="dxa"/>
            </w:tcMar>
          </w:tcPr>
          <w:p>
            <w:r>
              <w:t>Meteorological scenario</w:t>
            </w:r>
          </w:p>
        </w:tc>
        <w:tc>
          <w:tcPr>
            <w:tcW w:type="dxa" w:w="3389"/>
            <w:vAlign w:val="top"/>
            <w:tcMar>
              <w:top w:w="80" w:type="dxa"/>
              <w:start w:w="100" w:type="dxa"/>
              <w:bottom w:w="80" w:type="dxa"/>
              <w:end w:w="100" w:type="dxa"/>
            </w:tcMar>
          </w:tcPr>
          <w:p>
            <w:r>
              <w:t>Unidirectional; Constrained Variability</w:t>
            </w:r>
          </w:p>
        </w:tc>
        <w:tc>
          <w:tcPr>
            <w:tcW w:type="dxa" w:w="3389"/>
            <w:vAlign w:val="top"/>
            <w:tcMar>
              <w:top w:w="80" w:type="dxa"/>
              <w:start w:w="100" w:type="dxa"/>
              <w:bottom w:w="80" w:type="dxa"/>
              <w:end w:w="100" w:type="dxa"/>
            </w:tcMar>
          </w:tcPr>
          <w:p>
            <w:r>
              <w:t>Controls whether interval bearings remain fixed or follow the deterministic bounded sequence. These labels are also used in the Analysis Summary and PDF.</w:t>
            </w:r>
          </w:p>
        </w:tc>
      </w:tr>
      <w:tr>
        <w:trPr>
          <w:cantSplit/>
        </w:trPr>
        <w:tc>
          <w:tcPr>
            <w:tcW w:type="dxa" w:w="3389"/>
            <w:vAlign w:val="top"/>
            <w:tcMar>
              <w:top w:w="80" w:type="dxa"/>
              <w:start w:w="100" w:type="dxa"/>
              <w:bottom w:w="80" w:type="dxa"/>
              <w:end w:w="100" w:type="dxa"/>
            </w:tcMar>
          </w:tcPr>
          <w:p>
            <w:r>
              <w:t>Dose range (rem)</w:t>
            </w:r>
          </w:p>
        </w:tc>
        <w:tc>
          <w:tcPr>
            <w:tcW w:type="dxa" w:w="3389"/>
            <w:vAlign w:val="top"/>
            <w:tcMar>
              <w:top w:w="80" w:type="dxa"/>
              <w:start w:w="100" w:type="dxa"/>
              <w:bottom w:w="80" w:type="dxa"/>
              <w:end w:w="100" w:type="dxa"/>
            </w:tcMar>
          </w:tcPr>
          <w:p>
            <w:r>
              <w:t>Map-side two-ended logarithmic selector, nominally 0.001–10,000 rem; default 0.01–25 rem. Values snap to three significant digits, with the last significant digit restricted to 0 or 5.</w:t>
            </w:r>
          </w:p>
        </w:tc>
        <w:tc>
          <w:tcPr>
            <w:tcW w:type="dxa" w:w="3389"/>
            <w:vAlign w:val="top"/>
            <w:tcMar>
              <w:top w:w="80" w:type="dxa"/>
              <w:start w:w="100" w:type="dxa"/>
              <w:bottom w:w="80" w:type="dxa"/>
              <w:end w:w="100" w:type="dxa"/>
            </w:tcMar>
          </w:tcPr>
          <w:p>
            <w:r>
              <w:t>Lower endpoint screens airborne dose and defines population above threshold. Both endpoints define the color map and legend. Browser-side changes update without a Streamlit rerun. Disabled for deposition.</w:t>
            </w:r>
          </w:p>
        </w:tc>
      </w:tr>
      <w:tr>
        <w:trPr>
          <w:cantSplit/>
        </w:trPr>
        <w:tc>
          <w:tcPr>
            <w:tcW w:type="dxa" w:w="3389"/>
            <w:vAlign w:val="top"/>
            <w:tcMar>
              <w:top w:w="80" w:type="dxa"/>
              <w:start w:w="100" w:type="dxa"/>
              <w:bottom w:w="80" w:type="dxa"/>
              <w:end w:w="100" w:type="dxa"/>
            </w:tcMar>
          </w:tcPr>
          <w:p>
            <w:r>
              <w:t>Deposition release group</w:t>
            </w:r>
          </w:p>
        </w:tc>
        <w:tc>
          <w:tcPr>
            <w:tcW w:type="dxa" w:w="3389"/>
            <w:vAlign w:val="top"/>
            <w:tcMar>
              <w:top w:w="80" w:type="dxa"/>
              <w:start w:w="100" w:type="dxa"/>
              <w:bottom w:w="80" w:type="dxa"/>
              <w:end w:w="100" w:type="dxa"/>
            </w:tcMar>
          </w:tcPr>
          <w:p>
            <w:r>
              <w:t>Total depositing inventory or an individual depositing group</w:t>
            </w:r>
          </w:p>
        </w:tc>
        <w:tc>
          <w:tcPr>
            <w:tcW w:type="dxa" w:w="3389"/>
            <w:vAlign w:val="top"/>
            <w:tcMar>
              <w:top w:w="80" w:type="dxa"/>
              <w:start w:w="100" w:type="dxa"/>
              <w:bottom w:w="80" w:type="dxa"/>
              <w:end w:w="100" w:type="dxa"/>
            </w:tcMar>
          </w:tcPr>
          <w:p>
            <w:r>
              <w:t>Appears only for Ground deposition. Noble gases are excluded.</w:t>
            </w:r>
          </w:p>
        </w:tc>
      </w:tr>
    </w:tbl>
    <w:p/>
    <w:p>
      <w:pPr>
        <w:pStyle w:val="Heading2"/>
        <w:keepNext/>
      </w:pPr>
      <w:r>
        <w:rPr>
          <w:rFonts w:ascii="Arial" w:hAnsi="Arial" w:eastAsia="Arial"/>
        </w:rPr>
        <w:t>5.3 Map/analysis radius and time evolution</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9EAF7"/>
            <w:vAlign w:val="center"/>
          </w:tcPr>
          <w:p>
            <w:r>
              <w:rPr>
                <w:b/>
              </w:rPr>
              <w:t>Control</w:t>
            </w:r>
          </w:p>
        </w:tc>
        <w:tc>
          <w:tcPr>
            <w:tcW w:type="dxa" w:w="5083"/>
            <w:shd w:fill="D9EAF7"/>
            <w:vAlign w:val="center"/>
          </w:tcPr>
          <w:p>
            <w:r>
              <w:rPr>
                <w:b/>
              </w:rPr>
              <w:t>Function</w:t>
            </w:r>
          </w:p>
        </w:tc>
      </w:tr>
      <w:tr>
        <w:trPr>
          <w:cantSplit/>
        </w:trPr>
        <w:tc>
          <w:tcPr>
            <w:tcW w:type="dxa" w:w="5083"/>
            <w:vAlign w:val="top"/>
            <w:tcMar>
              <w:top w:w="80" w:type="dxa"/>
              <w:start w:w="100" w:type="dxa"/>
              <w:bottom w:w="80" w:type="dxa"/>
              <w:end w:w="100" w:type="dxa"/>
            </w:tcMar>
          </w:tcPr>
          <w:p>
            <w:r>
              <w:t>Map/analysis radius (miles)</w:t>
            </w:r>
          </w:p>
        </w:tc>
        <w:tc>
          <w:tcPr>
            <w:tcW w:type="dxa" w:w="5083"/>
            <w:vAlign w:val="top"/>
            <w:tcMar>
              <w:top w:w="80" w:type="dxa"/>
              <w:start w:w="100" w:type="dxa"/>
              <w:bottom w:w="80" w:type="dxa"/>
              <w:end w:w="100" w:type="dxa"/>
            </w:tcMar>
          </w:tcPr>
          <w:p>
            <w:r>
              <w:t>Map-side two-ended logarithmic selector defining the inner and outer analysis radii. The discrete scale uses practical 1.0/1.5/2.0/2.5... values across approximately 0.1–100 miles. Changes within the loaded outer extent update locally; increasing beyond the loaded extent triggers one controlled population query and consequence recalculation. A new workbook initializes the outer radius from nbt_distance_eab_m.</w:t>
            </w:r>
          </w:p>
        </w:tc>
      </w:tr>
      <w:tr>
        <w:trPr>
          <w:cantSplit/>
        </w:trPr>
        <w:tc>
          <w:tcPr>
            <w:tcW w:type="dxa" w:w="5083"/>
            <w:vAlign w:val="top"/>
            <w:tcMar>
              <w:top w:w="80" w:type="dxa"/>
              <w:start w:w="100" w:type="dxa"/>
              <w:bottom w:w="80" w:type="dxa"/>
              <w:end w:w="100" w:type="dxa"/>
            </w:tcMar>
          </w:tcPr>
          <w:p>
            <w:r>
              <w:t>Cumulative interval</w:t>
            </w:r>
          </w:p>
        </w:tc>
        <w:tc>
          <w:tcPr>
            <w:tcW w:type="dxa" w:w="5083"/>
            <w:vAlign w:val="top"/>
            <w:tcMar>
              <w:top w:w="80" w:type="dxa"/>
              <w:start w:w="100" w:type="dxa"/>
              <w:bottom w:w="80" w:type="dxa"/>
              <w:end w:w="100" w:type="dxa"/>
            </w:tcMar>
          </w:tcPr>
          <w:p>
            <w:r>
              <w:t>Map-side browser slider selecting step 0 through 24. Step 0 is the EAB cumulative anchor; step 24 is the LPZ cumulative anchor. Changes switch the existing plume frame without a Streamlit rerun.</w:t>
            </w:r>
          </w:p>
        </w:tc>
      </w:tr>
    </w:tbl>
    <w:p/>
    <w:p>
      <w:pPr>
        <w:pStyle w:val="Heading2"/>
        <w:keepNext/>
      </w:pPr>
      <w:r>
        <w:rPr>
          <w:rFonts w:ascii="Arial" w:hAnsi="Arial" w:eastAsia="Arial"/>
        </w:rPr>
        <w:t>5.4 Map layers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9EAF7"/>
            <w:vAlign w:val="center"/>
          </w:tcPr>
          <w:p>
            <w:r>
              <w:rPr>
                <w:b/>
              </w:rPr>
              <w:t>Control</w:t>
            </w:r>
          </w:p>
        </w:tc>
        <w:tc>
          <w:tcPr>
            <w:tcW w:type="dxa" w:w="5083"/>
            <w:shd w:fill="D9EAF7"/>
            <w:vAlign w:val="center"/>
          </w:tcPr>
          <w:p>
            <w:r>
              <w:rPr>
                <w:b/>
              </w:rPr>
              <w:t>Function</w:t>
            </w:r>
          </w:p>
        </w:tc>
      </w:tr>
      <w:tr>
        <w:trPr>
          <w:cantSplit/>
        </w:trPr>
        <w:tc>
          <w:tcPr>
            <w:tcW w:type="dxa" w:w="5083"/>
            <w:vAlign w:val="top"/>
            <w:tcMar>
              <w:top w:w="80" w:type="dxa"/>
              <w:start w:w="100" w:type="dxa"/>
              <w:bottom w:w="80" w:type="dxa"/>
              <w:end w:w="100" w:type="dxa"/>
            </w:tcMar>
          </w:tcPr>
          <w:p>
            <w:r>
              <w:t>Show population density</w:t>
            </w:r>
          </w:p>
        </w:tc>
        <w:tc>
          <w:tcPr>
            <w:tcW w:type="dxa" w:w="5083"/>
            <w:vAlign w:val="top"/>
            <w:tcMar>
              <w:top w:w="80" w:type="dxa"/>
              <w:start w:w="100" w:type="dxa"/>
              <w:bottom w:w="80" w:type="dxa"/>
              <w:end w:w="100" w:type="dxa"/>
            </w:tcMar>
          </w:tcPr>
          <w:p>
            <w:r>
              <w:t>Shows or hides the population-density visualization. It does not remove population from the pathway calculation.</w:t>
            </w:r>
          </w:p>
        </w:tc>
      </w:tr>
      <w:tr>
        <w:trPr>
          <w:cantSplit/>
        </w:trPr>
        <w:tc>
          <w:tcPr>
            <w:tcW w:type="dxa" w:w="5083"/>
            <w:vAlign w:val="top"/>
            <w:tcMar>
              <w:top w:w="80" w:type="dxa"/>
              <w:start w:w="100" w:type="dxa"/>
              <w:bottom w:w="80" w:type="dxa"/>
              <w:end w:w="100" w:type="dxa"/>
            </w:tcMar>
          </w:tcPr>
          <w:p>
            <w:r>
              <w:t>Show radiological layer</w:t>
            </w:r>
          </w:p>
        </w:tc>
        <w:tc>
          <w:tcPr>
            <w:tcW w:type="dxa" w:w="5083"/>
            <w:vAlign w:val="top"/>
            <w:tcMar>
              <w:top w:w="80" w:type="dxa"/>
              <w:start w:w="100" w:type="dxa"/>
              <w:bottom w:w="80" w:type="dxa"/>
              <w:end w:w="100" w:type="dxa"/>
            </w:tcMar>
          </w:tcPr>
          <w:p>
            <w:r>
              <w:t>Shows or hides the airborne-dose or deposition overlay.</w:t>
            </w:r>
          </w:p>
        </w:tc>
      </w:tr>
      <w:tr>
        <w:trPr>
          <w:cantSplit/>
        </w:trPr>
        <w:tc>
          <w:tcPr>
            <w:tcW w:type="dxa" w:w="5083"/>
            <w:vAlign w:val="top"/>
            <w:tcMar>
              <w:top w:w="80" w:type="dxa"/>
              <w:start w:w="100" w:type="dxa"/>
              <w:bottom w:w="80" w:type="dxa"/>
              <w:end w:w="100" w:type="dxa"/>
            </w:tcMar>
          </w:tcPr>
          <w:p>
            <w:r>
              <w:t>Show analysis-radius boundary</w:t>
            </w:r>
          </w:p>
        </w:tc>
        <w:tc>
          <w:tcPr>
            <w:tcW w:type="dxa" w:w="5083"/>
            <w:vAlign w:val="top"/>
            <w:tcMar>
              <w:top w:w="80" w:type="dxa"/>
              <w:start w:w="100" w:type="dxa"/>
              <w:bottom w:w="80" w:type="dxa"/>
              <w:end w:w="100" w:type="dxa"/>
            </w:tcMar>
          </w:tcPr>
          <w:p>
            <w:r>
              <w:t>Shows or hides the circle corresponding to the selected analysis radius.</w:t>
            </w:r>
          </w:p>
        </w:tc>
      </w:tr>
    </w:tbl>
    <w:p/>
    <w:p>
      <w:pPr>
        <w:pStyle w:val="Heading2"/>
        <w:keepNext/>
      </w:pPr>
      <w:r>
        <w:rPr>
          <w:rFonts w:ascii="Arial" w:hAnsi="Arial" w:eastAsia="Arial"/>
        </w:rPr>
        <w:t>5.5 Site and population</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9EAF7"/>
            <w:vAlign w:val="center"/>
          </w:tcPr>
          <w:p>
            <w:r>
              <w:rPr>
                <w:b/>
              </w:rPr>
              <w:t>Control or display</w:t>
            </w:r>
          </w:p>
        </w:tc>
        <w:tc>
          <w:tcPr>
            <w:tcW w:type="dxa" w:w="5083"/>
            <w:shd w:fill="D9EAF7"/>
            <w:vAlign w:val="center"/>
          </w:tcPr>
          <w:p>
            <w:r>
              <w:rPr>
                <w:b/>
              </w:rPr>
              <w:t>Function</w:t>
            </w:r>
          </w:p>
        </w:tc>
      </w:tr>
      <w:tr>
        <w:trPr>
          <w:cantSplit/>
        </w:trPr>
        <w:tc>
          <w:tcPr>
            <w:tcW w:type="dxa" w:w="5083"/>
            <w:vAlign w:val="top"/>
            <w:tcMar>
              <w:top w:w="80" w:type="dxa"/>
              <w:start w:w="100" w:type="dxa"/>
              <w:bottom w:w="80" w:type="dxa"/>
              <w:end w:w="100" w:type="dxa"/>
            </w:tcMar>
          </w:tcPr>
          <w:p>
            <w:r>
              <w:t>Population database</w:t>
            </w:r>
          </w:p>
        </w:tc>
        <w:tc>
          <w:tcPr>
            <w:tcW w:type="dxa" w:w="5083"/>
            <w:vAlign w:val="top"/>
            <w:tcMar>
              <w:top w:w="80" w:type="dxa"/>
              <w:start w:w="100" w:type="dxa"/>
              <w:bottom w:w="80" w:type="dxa"/>
              <w:end w:w="100" w:type="dxa"/>
            </w:tcMar>
          </w:tcPr>
          <w:p>
            <w:r>
              <w:t>Displays/accepts the SQLite database path. The application attempts to recover a matching file in the current package when a saved absolute path is obsolete.</w:t>
            </w:r>
          </w:p>
        </w:tc>
      </w:tr>
      <w:tr>
        <w:trPr>
          <w:cantSplit/>
        </w:trPr>
        <w:tc>
          <w:tcPr>
            <w:tcW w:type="dxa" w:w="5083"/>
            <w:vAlign w:val="top"/>
            <w:tcMar>
              <w:top w:w="80" w:type="dxa"/>
              <w:start w:w="100" w:type="dxa"/>
              <w:bottom w:w="80" w:type="dxa"/>
              <w:end w:w="100" w:type="dxa"/>
            </w:tcMar>
          </w:tcPr>
          <w:p>
            <w:r>
              <w:t>Site latitude / Longitude</w:t>
            </w:r>
          </w:p>
        </w:tc>
        <w:tc>
          <w:tcPr>
            <w:tcW w:type="dxa" w:w="5083"/>
            <w:vAlign w:val="top"/>
            <w:tcMar>
              <w:top w:w="80" w:type="dxa"/>
              <w:start w:w="100" w:type="dxa"/>
              <w:bottom w:w="80" w:type="dxa"/>
              <w:end w:w="100" w:type="dxa"/>
            </w:tcMar>
          </w:tcPr>
          <w:p>
            <w:r>
              <w:t>Read-only coordinate display on one line, rounded to three decimal places in the sidebar.</w:t>
            </w:r>
          </w:p>
        </w:tc>
      </w:tr>
      <w:tr>
        <w:trPr>
          <w:cantSplit/>
        </w:trPr>
        <w:tc>
          <w:tcPr>
            <w:tcW w:type="dxa" w:w="5083"/>
            <w:vAlign w:val="top"/>
            <w:tcMar>
              <w:top w:w="80" w:type="dxa"/>
              <w:start w:w="100" w:type="dxa"/>
              <w:bottom w:w="80" w:type="dxa"/>
              <w:end w:w="100" w:type="dxa"/>
            </w:tcMar>
          </w:tcPr>
          <w:p>
            <w:r>
              <w:t>Select new location on map</w:t>
            </w:r>
          </w:p>
        </w:tc>
        <w:tc>
          <w:tcPr>
            <w:tcW w:type="dxa" w:w="5083"/>
            <w:vAlign w:val="top"/>
            <w:tcMar>
              <w:top w:w="80" w:type="dxa"/>
              <w:start w:w="100" w:type="dxa"/>
              <w:bottom w:w="80" w:type="dxa"/>
              <w:end w:w="100" w:type="dxa"/>
            </w:tcMar>
          </w:tcPr>
          <w:p>
            <w:r>
              <w:t>Arms one map click for site selection. Normal clicks are not consumed as site changes until the selector is armed.</w:t>
            </w:r>
          </w:p>
        </w:tc>
      </w:tr>
    </w:tbl>
    <w:p/>
    <w:p>
      <w:pPr>
        <w:pStyle w:val="Heading2"/>
        <w:keepNext/>
      </w:pPr>
      <w:r>
        <w:rPr>
          <w:rFonts w:ascii="Arial" w:hAnsi="Arial" w:eastAsia="Arial"/>
        </w:rPr>
        <w:t>5.6 Main map controls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9EAF7"/>
            <w:vAlign w:val="center"/>
          </w:tcPr>
          <w:p>
            <w:r>
              <w:rPr>
                <w:b/>
              </w:rPr>
              <w:t>Control</w:t>
            </w:r>
          </w:p>
        </w:tc>
        <w:tc>
          <w:tcPr>
            <w:tcW w:type="dxa" w:w="5083"/>
            <w:shd w:fill="D9EAF7"/>
            <w:vAlign w:val="center"/>
          </w:tcPr>
          <w:p>
            <w:r>
              <w:rPr>
                <w:b/>
              </w:rPr>
              <w:t>Function</w:t>
            </w:r>
          </w:p>
        </w:tc>
      </w:tr>
      <w:tr>
        <w:trPr>
          <w:cantSplit/>
        </w:trPr>
        <w:tc>
          <w:tcPr>
            <w:tcW w:type="dxa" w:w="5083"/>
            <w:vAlign w:val="top"/>
            <w:tcMar>
              <w:top w:w="80" w:type="dxa"/>
              <w:start w:w="100" w:type="dxa"/>
              <w:bottom w:w="80" w:type="dxa"/>
              <w:end w:w="100" w:type="dxa"/>
            </w:tcMar>
          </w:tcPr>
          <w:p>
            <w:r>
              <w:t>Reset View</w:t>
            </w:r>
          </w:p>
        </w:tc>
        <w:tc>
          <w:tcPr>
            <w:tcW w:type="dxa" w:w="5083"/>
            <w:vAlign w:val="top"/>
            <w:tcMar>
              <w:top w:w="80" w:type="dxa"/>
              <w:start w:w="100" w:type="dxa"/>
              <w:bottom w:w="80" w:type="dxa"/>
              <w:end w:w="100" w:type="dxa"/>
            </w:tcMar>
          </w:tcPr>
          <w:p>
            <w:r>
              <w:t>Recenters the map on the release site and changes only map zoom so the current analysis radius fits the circular viewport. It does not alter radius, dose, interval, or other analysis settings.</w:t>
            </w:r>
          </w:p>
        </w:tc>
      </w:tr>
      <w:tr>
        <w:trPr>
          <w:cantSplit/>
        </w:trPr>
        <w:tc>
          <w:tcPr>
            <w:tcW w:type="dxa" w:w="5083"/>
            <w:vAlign w:val="top"/>
            <w:tcMar>
              <w:top w:w="80" w:type="dxa"/>
              <w:start w:w="100" w:type="dxa"/>
              <w:bottom w:w="80" w:type="dxa"/>
              <w:end w:w="100" w:type="dxa"/>
            </w:tcMar>
          </w:tcPr>
          <w:p>
            <w:r>
              <w:t>Pan and button zoom</w:t>
            </w:r>
          </w:p>
        </w:tc>
        <w:tc>
          <w:tcPr>
            <w:tcW w:type="dxa" w:w="5083"/>
            <w:vAlign w:val="top"/>
            <w:tcMar>
              <w:top w:w="80" w:type="dxa"/>
              <w:start w:w="100" w:type="dxa"/>
              <w:bottom w:w="80" w:type="dxa"/>
              <w:end w:w="100" w:type="dxa"/>
            </w:tcMar>
          </w:tcPr>
          <w:p>
            <w:r>
              <w:t>Allows ordinary Leaflet panning and +/− button zooming within the circular viewport. Mouse-wheel zoom is disabled so page scrolling does not scale the map. These interactions are browser-local and do not refresh the map.</w:t>
            </w:r>
          </w:p>
        </w:tc>
      </w:tr>
      <w:tr>
        <w:trPr>
          <w:cantSplit/>
        </w:trPr>
        <w:tc>
          <w:tcPr>
            <w:tcW w:type="dxa" w:w="5083"/>
            <w:vAlign w:val="top"/>
            <w:tcMar>
              <w:top w:w="80" w:type="dxa"/>
              <w:start w:w="100" w:type="dxa"/>
              <w:bottom w:w="80" w:type="dxa"/>
              <w:end w:w="100" w:type="dxa"/>
            </w:tcMar>
          </w:tcPr>
          <w:p>
            <w:r>
              <w:t>Map click after arming</w:t>
            </w:r>
          </w:p>
        </w:tc>
        <w:tc>
          <w:tcPr>
            <w:tcW w:type="dxa" w:w="5083"/>
            <w:vAlign w:val="top"/>
            <w:tcMar>
              <w:top w:w="80" w:type="dxa"/>
              <w:start w:w="100" w:type="dxa"/>
              <w:bottom w:w="80" w:type="dxa"/>
              <w:end w:w="100" w:type="dxa"/>
            </w:tcMar>
          </w:tcPr>
          <w:p>
            <w:r>
              <w:t>Selects a new site and persists it before rerunning.</w:t>
            </w:r>
          </w:p>
        </w:tc>
      </w:tr>
      <w:tr>
        <w:trPr>
          <w:cantSplit/>
        </w:trPr>
        <w:tc>
          <w:tcPr>
            <w:tcW w:type="dxa" w:w="5083"/>
            <w:vAlign w:val="top"/>
            <w:tcMar>
              <w:top w:w="80" w:type="dxa"/>
              <w:start w:w="100" w:type="dxa"/>
              <w:bottom w:w="80" w:type="dxa"/>
              <w:end w:w="100" w:type="dxa"/>
            </w:tcMar>
          </w:tcPr>
          <w:p>
            <w:r>
              <w:t>Hover dose</w:t>
            </w:r>
          </w:p>
        </w:tc>
        <w:tc>
          <w:tcPr>
            <w:tcW w:type="dxa" w:w="5083"/>
            <w:vAlign w:val="top"/>
            <w:tcMar>
              <w:top w:w="80" w:type="dxa"/>
              <w:start w:w="100" w:type="dxa"/>
              <w:bottom w:w="80" w:type="dxa"/>
              <w:end w:w="100" w:type="dxa"/>
            </w:tcMar>
          </w:tcPr>
          <w:p>
            <w:r>
              <w:t>Where enabled by the map layer, reports a local dose estimate at the cursor location.</w:t>
            </w:r>
          </w:p>
        </w:tc>
      </w:tr>
    </w:tbl>
    <w:p/>
    <w:p>
      <w:pPr>
        <w:pStyle w:val="Heading2"/>
        <w:keepNext/>
      </w:pPr>
      <w:r>
        <w:rPr>
          <w:rFonts w:ascii="Arial" w:hAnsi="Arial" w:eastAsia="Arial"/>
        </w:rPr>
        <w:t>5.7 Result capture</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9EAF7"/>
            <w:vAlign w:val="center"/>
          </w:tcPr>
          <w:p>
            <w:r>
              <w:rPr>
                <w:b/>
              </w:rPr>
              <w:t>Control</w:t>
            </w:r>
          </w:p>
        </w:tc>
        <w:tc>
          <w:tcPr>
            <w:tcW w:type="dxa" w:w="5083"/>
            <w:shd w:fill="D9EAF7"/>
            <w:vAlign w:val="center"/>
          </w:tcPr>
          <w:p>
            <w:r>
              <w:rPr>
                <w:b/>
              </w:rPr>
              <w:t>Function</w:t>
            </w:r>
          </w:p>
        </w:tc>
      </w:tr>
      <w:tr>
        <w:trPr>
          <w:cantSplit/>
        </w:trPr>
        <w:tc>
          <w:tcPr>
            <w:tcW w:type="dxa" w:w="5083"/>
            <w:vAlign w:val="top"/>
            <w:tcMar>
              <w:top w:w="80" w:type="dxa"/>
              <w:start w:w="100" w:type="dxa"/>
              <w:bottom w:w="80" w:type="dxa"/>
              <w:end w:w="100" w:type="dxa"/>
            </w:tcMar>
          </w:tcPr>
          <w:p>
            <w:r>
              <w:t>Prepare updated FLARE output workbook</w:t>
            </w:r>
          </w:p>
        </w:tc>
        <w:tc>
          <w:tcPr>
            <w:tcW w:type="dxa" w:w="5083"/>
            <w:vAlign w:val="top"/>
            <w:tcMar>
              <w:top w:w="80" w:type="dxa"/>
              <w:start w:w="100" w:type="dxa"/>
              <w:bottom w:w="80" w:type="dxa"/>
              <w:end w:w="100" w:type="dxa"/>
            </w:tcMar>
          </w:tcPr>
          <w:p>
            <w:r>
              <w:t>Creates new Footprint Summary, Footprint Intervals, and Footprint Spatial sheets in a copy of the active workbook.</w:t>
            </w:r>
          </w:p>
        </w:tc>
      </w:tr>
      <w:tr>
        <w:trPr>
          <w:cantSplit/>
        </w:trPr>
        <w:tc>
          <w:tcPr>
            <w:tcW w:type="dxa" w:w="5083"/>
            <w:vAlign w:val="top"/>
            <w:tcMar>
              <w:top w:w="80" w:type="dxa"/>
              <w:start w:w="100" w:type="dxa"/>
              <w:bottom w:w="80" w:type="dxa"/>
              <w:end w:w="100" w:type="dxa"/>
            </w:tcMar>
          </w:tcPr>
          <w:p>
            <w:r>
              <w:t>Download updated output workbook</w:t>
            </w:r>
          </w:p>
        </w:tc>
        <w:tc>
          <w:tcPr>
            <w:tcW w:type="dxa" w:w="5083"/>
            <w:vAlign w:val="top"/>
            <w:tcMar>
              <w:top w:w="80" w:type="dxa"/>
              <w:start w:w="100" w:type="dxa"/>
              <w:bottom w:w="80" w:type="dxa"/>
              <w:end w:w="100" w:type="dxa"/>
            </w:tcMar>
          </w:tcPr>
          <w:p>
            <w:r>
              <w:t>Downloads the prepared workbook after generation.</w:t>
            </w:r>
          </w:p>
        </w:tc>
      </w:tr>
      <w:tr>
        <w:trPr>
          <w:cantSplit/>
        </w:trPr>
        <w:tc>
          <w:tcPr>
            <w:tcW w:type="dxa" w:w="5083"/>
            <w:vAlign w:val="top"/>
            <w:tcMar>
              <w:top w:w="80" w:type="dxa"/>
              <w:start w:w="100" w:type="dxa"/>
              <w:bottom w:w="80" w:type="dxa"/>
              <w:end w:w="100" w:type="dxa"/>
            </w:tcMar>
          </w:tcPr>
          <w:p>
            <w:r>
              <w:t>Download report-quality PDF</w:t>
            </w:r>
          </w:p>
        </w:tc>
        <w:tc>
          <w:tcPr>
            <w:tcW w:type="dxa" w:w="5083"/>
            <w:vAlign w:val="top"/>
            <w:tcMar>
              <w:top w:w="80" w:type="dxa"/>
              <w:start w:w="100" w:type="dxa"/>
              <w:bottom w:w="80" w:type="dxa"/>
              <w:end w:w="100" w:type="dxa"/>
            </w:tcMar>
          </w:tcPr>
          <w:p>
            <w:r>
              <w:t>Builds a one-page portrait letter report containing the centered circular map, legend, summary tiles, source workbook, and footer.</w:t>
            </w:r>
          </w:p>
        </w:tc>
      </w:tr>
    </w:tbl>
    <w:p/>
    <w:p>
      <w:pPr>
        <w:pStyle w:val="Heading1"/>
        <w:keepNext/>
      </w:pPr>
      <w:r>
        <w:rPr>
          <w:rFonts w:ascii="Arial" w:hAnsi="Arial" w:eastAsia="Arial"/>
        </w:rPr>
        <w:t>6. Interpreting Results and Outputs</w:t>
      </w:r>
    </w:p>
    <w:p>
      <w:pPr>
        <w:pStyle w:val="Heading2"/>
        <w:keepNext/>
      </w:pPr>
      <w:r>
        <w:rPr>
          <w:rFonts w:ascii="Arial" w:hAnsi="Arial" w:eastAsia="Arial"/>
        </w:rPr>
        <w:t>6.1 Analysis summary fields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9EAF7"/>
            <w:vAlign w:val="center"/>
          </w:tcPr>
          <w:p>
            <w:r>
              <w:rPr>
                <w:b/>
              </w:rPr>
              <w:t>Field</w:t>
            </w:r>
          </w:p>
        </w:tc>
        <w:tc>
          <w:tcPr>
            <w:tcW w:type="dxa" w:w="5083"/>
            <w:shd w:fill="D9EAF7"/>
            <w:vAlign w:val="center"/>
          </w:tcPr>
          <w:p>
            <w:r>
              <w:rPr>
                <w:b/>
              </w:rPr>
              <w:t>Interpretation</w:t>
            </w:r>
          </w:p>
        </w:tc>
      </w:tr>
      <w:tr>
        <w:trPr>
          <w:cantSplit/>
        </w:trPr>
        <w:tc>
          <w:tcPr>
            <w:tcW w:type="dxa" w:w="5083"/>
            <w:vAlign w:val="top"/>
            <w:tcMar>
              <w:top w:w="80" w:type="dxa"/>
              <w:start w:w="100" w:type="dxa"/>
              <w:bottom w:w="80" w:type="dxa"/>
              <w:end w:w="100" w:type="dxa"/>
            </w:tcMar>
          </w:tcPr>
          <w:p>
            <w:r>
              <w:t>Selected pathway</w:t>
            </w:r>
          </w:p>
        </w:tc>
        <w:tc>
          <w:tcPr>
            <w:tcW w:type="dxa" w:w="5083"/>
            <w:vAlign w:val="top"/>
            <w:tcMar>
              <w:top w:w="80" w:type="dxa"/>
              <w:start w:w="100" w:type="dxa"/>
              <w:bottom w:w="80" w:type="dxa"/>
              <w:end w:w="100" w:type="dxa"/>
            </w:tcMar>
          </w:tcPr>
          <w:p>
            <w:r>
              <w:t>Bearing used for the displayed field, in degrees clockwise from north.</w:t>
            </w:r>
          </w:p>
        </w:tc>
      </w:tr>
      <w:tr>
        <w:trPr>
          <w:cantSplit/>
        </w:trPr>
        <w:tc>
          <w:tcPr>
            <w:tcW w:type="dxa" w:w="5083"/>
            <w:vAlign w:val="top"/>
            <w:tcMar>
              <w:top w:w="80" w:type="dxa"/>
              <w:start w:w="100" w:type="dxa"/>
              <w:bottom w:w="80" w:type="dxa"/>
              <w:end w:w="100" w:type="dxa"/>
            </w:tcMar>
          </w:tcPr>
          <w:p>
            <w:r>
              <w:t>Current elapsed time</w:t>
            </w:r>
          </w:p>
        </w:tc>
        <w:tc>
          <w:tcPr>
            <w:tcW w:type="dxa" w:w="5083"/>
            <w:vAlign w:val="top"/>
            <w:tcMar>
              <w:top w:w="80" w:type="dxa"/>
              <w:start w:w="100" w:type="dxa"/>
              <w:bottom w:w="80" w:type="dxa"/>
              <w:end w:w="100" w:type="dxa"/>
            </w:tcMar>
          </w:tcPr>
          <w:p>
            <w:r>
              <w:t>EAB time for step 0 or the end time of the selected cumulative interval.</w:t>
            </w:r>
          </w:p>
        </w:tc>
      </w:tr>
      <w:tr>
        <w:trPr>
          <w:cantSplit/>
        </w:trPr>
        <w:tc>
          <w:tcPr>
            <w:tcW w:type="dxa" w:w="5083"/>
            <w:vAlign w:val="top"/>
            <w:tcMar>
              <w:top w:w="80" w:type="dxa"/>
              <w:start w:w="100" w:type="dxa"/>
              <w:bottom w:w="80" w:type="dxa"/>
              <w:end w:w="100" w:type="dxa"/>
            </w:tcMar>
          </w:tcPr>
          <w:p>
            <w:r>
              <w:t>Cumulative interval</w:t>
            </w:r>
          </w:p>
        </w:tc>
        <w:tc>
          <w:tcPr>
            <w:tcW w:type="dxa" w:w="5083"/>
            <w:vAlign w:val="top"/>
            <w:tcMar>
              <w:top w:w="80" w:type="dxa"/>
              <w:start w:w="100" w:type="dxa"/>
              <w:bottom w:w="80" w:type="dxa"/>
              <w:end w:w="100" w:type="dxa"/>
            </w:tcMar>
          </w:tcPr>
          <w:p>
            <w:r>
              <w:t>Selected interval number out of 24.</w:t>
            </w:r>
          </w:p>
        </w:tc>
      </w:tr>
      <w:tr>
        <w:trPr>
          <w:cantSplit/>
        </w:trPr>
        <w:tc>
          <w:tcPr>
            <w:tcW w:type="dxa" w:w="5083"/>
            <w:vAlign w:val="top"/>
            <w:tcMar>
              <w:top w:w="80" w:type="dxa"/>
              <w:start w:w="100" w:type="dxa"/>
              <w:bottom w:w="80" w:type="dxa"/>
              <w:end w:w="100" w:type="dxa"/>
            </w:tcMar>
          </w:tcPr>
          <w:p>
            <w:r>
              <w:t>Population above threshold</w:t>
            </w:r>
          </w:p>
        </w:tc>
        <w:tc>
          <w:tcPr>
            <w:tcW w:type="dxa" w:w="5083"/>
            <w:vAlign w:val="top"/>
            <w:tcMar>
              <w:top w:w="80" w:type="dxa"/>
              <w:start w:w="100" w:type="dxa"/>
              <w:bottom w:w="80" w:type="dxa"/>
              <w:end w:w="100" w:type="dxa"/>
            </w:tcMar>
          </w:tcPr>
          <w:p>
            <w:r>
              <w:t>Population in cells at or above the selected minimum airborne dose for the evaluated pathway/field and radius.</w:t>
            </w:r>
          </w:p>
        </w:tc>
      </w:tr>
      <w:tr>
        <w:trPr>
          <w:cantSplit/>
        </w:trPr>
        <w:tc>
          <w:tcPr>
            <w:tcW w:type="dxa" w:w="5083"/>
            <w:vAlign w:val="top"/>
            <w:tcMar>
              <w:top w:w="80" w:type="dxa"/>
              <w:start w:w="100" w:type="dxa"/>
              <w:bottom w:w="80" w:type="dxa"/>
              <w:end w:w="100" w:type="dxa"/>
            </w:tcMar>
          </w:tcPr>
          <w:p>
            <w:r>
              <w:t>Map maximum</w:t>
            </w:r>
          </w:p>
        </w:tc>
        <w:tc>
          <w:tcPr>
            <w:tcW w:type="dxa" w:w="5083"/>
            <w:vAlign w:val="top"/>
            <w:tcMar>
              <w:top w:w="80" w:type="dxa"/>
              <w:start w:w="100" w:type="dxa"/>
              <w:bottom w:w="80" w:type="dxa"/>
              <w:end w:w="100" w:type="dxa"/>
            </w:tcMar>
          </w:tcPr>
          <w:p>
            <w:r>
              <w:t>Maximum value in the displayed frame. Airborne dose is in rem; deposition is relative to the final LPZ maximum.</w:t>
            </w:r>
          </w:p>
        </w:tc>
      </w:tr>
      <w:tr>
        <w:trPr>
          <w:cantSplit/>
        </w:trPr>
        <w:tc>
          <w:tcPr>
            <w:tcW w:type="dxa" w:w="5083"/>
            <w:vAlign w:val="top"/>
            <w:tcMar>
              <w:top w:w="80" w:type="dxa"/>
              <w:start w:w="100" w:type="dxa"/>
              <w:bottom w:w="80" w:type="dxa"/>
              <w:end w:w="100" w:type="dxa"/>
            </w:tcMar>
          </w:tcPr>
          <w:p>
            <w:r>
              <w:t>Dose threshold</w:t>
            </w:r>
          </w:p>
        </w:tc>
        <w:tc>
          <w:tcPr>
            <w:tcW w:type="dxa" w:w="5083"/>
            <w:vAlign w:val="top"/>
            <w:tcMar>
              <w:top w:w="80" w:type="dxa"/>
              <w:start w:w="100" w:type="dxa"/>
              <w:bottom w:w="80" w:type="dxa"/>
              <w:end w:w="100" w:type="dxa"/>
            </w:tcMar>
          </w:tcPr>
          <w:p>
            <w:r>
              <w:t>Lower endpoint of the airborne-dose range.</w:t>
            </w:r>
          </w:p>
        </w:tc>
      </w:tr>
      <w:tr>
        <w:trPr>
          <w:cantSplit/>
        </w:trPr>
        <w:tc>
          <w:tcPr>
            <w:tcW w:type="dxa" w:w="5083"/>
            <w:vAlign w:val="top"/>
            <w:tcMar>
              <w:top w:w="80" w:type="dxa"/>
              <w:start w:w="100" w:type="dxa"/>
              <w:bottom w:w="80" w:type="dxa"/>
              <w:end w:w="100" w:type="dxa"/>
            </w:tcMar>
          </w:tcPr>
          <w:p>
            <w:r>
              <w:t>Radiological layer</w:t>
            </w:r>
          </w:p>
        </w:tc>
        <w:tc>
          <w:tcPr>
            <w:tcW w:type="dxa" w:w="5083"/>
            <w:vAlign w:val="top"/>
            <w:tcMar>
              <w:top w:w="80" w:type="dxa"/>
              <w:start w:w="100" w:type="dxa"/>
              <w:bottom w:w="80" w:type="dxa"/>
              <w:end w:w="100" w:type="dxa"/>
            </w:tcMar>
          </w:tcPr>
          <w:p>
            <w:r>
              <w:t>Airborne dose or ground deposition.</w:t>
            </w:r>
          </w:p>
        </w:tc>
      </w:tr>
      <w:tr>
        <w:trPr>
          <w:cantSplit/>
        </w:trPr>
        <w:tc>
          <w:tcPr>
            <w:tcW w:type="dxa" w:w="5083"/>
            <w:vAlign w:val="top"/>
            <w:tcMar>
              <w:top w:w="80" w:type="dxa"/>
              <w:start w:w="100" w:type="dxa"/>
              <w:bottom w:w="80" w:type="dxa"/>
              <w:end w:w="100" w:type="dxa"/>
            </w:tcMar>
          </w:tcPr>
          <w:p>
            <w:r>
              <w:t>Pathway criterion</w:t>
            </w:r>
          </w:p>
        </w:tc>
        <w:tc>
          <w:tcPr>
            <w:tcW w:type="dxa" w:w="5083"/>
            <w:vAlign w:val="top"/>
            <w:tcMar>
              <w:top w:w="80" w:type="dxa"/>
              <w:start w:w="100" w:type="dxa"/>
              <w:bottom w:w="80" w:type="dxa"/>
              <w:end w:w="100" w:type="dxa"/>
            </w:tcMar>
          </w:tcPr>
          <w:p>
            <w:r>
              <w:t>Optimization objective or custom direction.</w:t>
            </w:r>
          </w:p>
        </w:tc>
      </w:tr>
      <w:tr>
        <w:trPr>
          <w:cantSplit/>
        </w:trPr>
        <w:tc>
          <w:tcPr>
            <w:tcW w:type="dxa" w:w="5083"/>
            <w:vAlign w:val="top"/>
            <w:tcMar>
              <w:top w:w="80" w:type="dxa"/>
              <w:start w:w="100" w:type="dxa"/>
              <w:bottom w:w="80" w:type="dxa"/>
              <w:end w:w="100" w:type="dxa"/>
            </w:tcMar>
          </w:tcPr>
          <w:p>
            <w:r>
              <w:t>Meteorological scenario</w:t>
            </w:r>
          </w:p>
        </w:tc>
        <w:tc>
          <w:tcPr>
            <w:tcW w:type="dxa" w:w="5083"/>
            <w:vAlign w:val="top"/>
            <w:tcMar>
              <w:top w:w="80" w:type="dxa"/>
              <w:start w:w="100" w:type="dxa"/>
              <w:bottom w:w="80" w:type="dxa"/>
              <w:end w:w="100" w:type="dxa"/>
            </w:tcMar>
          </w:tcPr>
          <w:p>
            <w:r>
              <w:t>Unidirectional or Constrained Variability, matching the sidebar radio-button labels.</w:t>
            </w:r>
          </w:p>
        </w:tc>
      </w:tr>
      <w:tr>
        <w:trPr>
          <w:cantSplit/>
        </w:trPr>
        <w:tc>
          <w:tcPr>
            <w:tcW w:type="dxa" w:w="5083"/>
            <w:vAlign w:val="top"/>
            <w:tcMar>
              <w:top w:w="80" w:type="dxa"/>
              <w:start w:w="100" w:type="dxa"/>
              <w:bottom w:w="80" w:type="dxa"/>
              <w:end w:w="100" w:type="dxa"/>
            </w:tcMar>
          </w:tcPr>
          <w:p>
            <w:r>
              <w:t>Site coordinates</w:t>
            </w:r>
          </w:p>
        </w:tc>
        <w:tc>
          <w:tcPr>
            <w:tcW w:type="dxa" w:w="5083"/>
            <w:vAlign w:val="top"/>
            <w:tcMar>
              <w:top w:w="80" w:type="dxa"/>
              <w:start w:w="100" w:type="dxa"/>
              <w:bottom w:w="80" w:type="dxa"/>
              <w:end w:w="100" w:type="dxa"/>
            </w:tcMar>
          </w:tcPr>
          <w:p>
            <w:r>
              <w:t>Selected site latitude and longitude.</w:t>
            </w:r>
          </w:p>
        </w:tc>
      </w:tr>
      <w:tr>
        <w:trPr>
          <w:cantSplit/>
        </w:trPr>
        <w:tc>
          <w:tcPr>
            <w:tcW w:type="dxa" w:w="5083"/>
            <w:vAlign w:val="top"/>
            <w:tcMar>
              <w:top w:w="80" w:type="dxa"/>
              <w:start w:w="100" w:type="dxa"/>
              <w:bottom w:w="80" w:type="dxa"/>
              <w:end w:w="100" w:type="dxa"/>
            </w:tcMar>
          </w:tcPr>
          <w:p>
            <w:r>
              <w:t>Analysis radius</w:t>
            </w:r>
          </w:p>
        </w:tc>
        <w:tc>
          <w:tcPr>
            <w:tcW w:type="dxa" w:w="5083"/>
            <w:vAlign w:val="top"/>
            <w:tcMar>
              <w:top w:w="80" w:type="dxa"/>
              <w:start w:w="100" w:type="dxa"/>
              <w:bottom w:w="80" w:type="dxa"/>
              <w:end w:w="100" w:type="dxa"/>
            </w:tcMar>
          </w:tcPr>
          <w:p>
            <w:r>
              <w:t>Circular domain radius in miles.</w:t>
            </w:r>
          </w:p>
        </w:tc>
      </w:tr>
      <w:tr>
        <w:trPr>
          <w:cantSplit/>
        </w:trPr>
        <w:tc>
          <w:tcPr>
            <w:tcW w:type="dxa" w:w="5083"/>
            <w:vAlign w:val="top"/>
            <w:tcMar>
              <w:top w:w="80" w:type="dxa"/>
              <w:start w:w="100" w:type="dxa"/>
              <w:bottom w:w="80" w:type="dxa"/>
              <w:end w:w="100" w:type="dxa"/>
            </w:tcMar>
          </w:tcPr>
          <w:p>
            <w:r>
              <w:t>Source workbook</w:t>
            </w:r>
          </w:p>
        </w:tc>
        <w:tc>
          <w:tcPr>
            <w:tcW w:type="dxa" w:w="5083"/>
            <w:vAlign w:val="top"/>
            <w:tcMar>
              <w:top w:w="80" w:type="dxa"/>
              <w:start w:w="100" w:type="dxa"/>
              <w:bottom w:w="80" w:type="dxa"/>
              <w:end w:w="100" w:type="dxa"/>
            </w:tcMar>
          </w:tcPr>
          <w:p>
            <w:r>
              <w:t>Workbook used to construct the case.</w:t>
            </w:r>
          </w:p>
        </w:tc>
      </w:tr>
    </w:tbl>
    <w:p/>
    <w:p>
      <w:pPr>
        <w:pStyle w:val="Heading2"/>
        <w:keepNext/>
      </w:pPr>
      <w:r>
        <w:rPr>
          <w:rFonts w:ascii="Arial" w:hAnsi="Arial" w:eastAsia="Arial"/>
        </w:rPr>
        <w:t>6.2 Reading the airborne-dose legend</w:t>
      </w:r>
    </w:p>
    <w:p>
      <w:pPr>
        <w:keepLines w:val="0"/>
      </w:pPr>
      <w:r>
        <w:rPr>
          <w:rFonts w:ascii="Arial" w:hAnsi="Arial" w:eastAsia="Arial"/>
        </w:rPr>
        <w:t>Dose bands are logarithmically spaced between the selected lower and upper endpoints. The lowest band begins at the minimum dose; regions below it are transparent. The highest band includes values at or above the upper endpoint. The legend therefore represents a user-selected normalization, not an automatically case-normalized scale.</w:t>
      </w:r>
    </w:p>
    <w:p>
      <w:pPr>
        <w:pStyle w:val="Heading2"/>
        <w:keepNext/>
      </w:pPr>
      <w:r>
        <w:rPr>
          <w:rFonts w:ascii="Arial" w:hAnsi="Arial" w:eastAsia="Arial"/>
        </w:rPr>
        <w:t>6.3 Reading the deposition legend</w:t>
      </w:r>
    </w:p>
    <w:p>
      <w:pPr>
        <w:keepLines w:val="0"/>
      </w:pPr>
      <w:r>
        <w:rPr>
          <w:rFonts w:ascii="Arial" w:hAnsi="Arial" w:eastAsia="Arial"/>
        </w:rPr>
        <w:t>Deposition is dimensionless and normalized to the final LPZ maximum for the selected scenario and release group. A value of 100% marks the maximum location in the final cumulative field. An intermediate map maximum below 100% indicates that the selected interval has not reached the final normalized peak.</w:t>
      </w:r>
    </w:p>
    <w:p>
      <w:pPr>
        <w:pStyle w:val="Heading2"/>
        <w:keepNext/>
      </w:pPr>
      <w:r>
        <w:rPr>
          <w:rFonts w:ascii="Arial" w:hAnsi="Arial" w:eastAsia="Arial"/>
        </w:rPr>
        <w:t>6.4 Updated FLARE workbook</w:t>
      </w:r>
    </w:p>
    <w:p>
      <w:pPr>
        <w:keepLines w:val="0"/>
      </w:pPr>
      <w:r>
        <w:rPr>
          <w:rFonts w:ascii="Arial" w:hAnsi="Arial" w:eastAsia="Arial"/>
        </w:rPr>
        <w:t>The exported workbook removes any earlier footprint output sheets of the same names and creates three new sheets:</w:t>
      </w:r>
    </w:p>
    <w:p>
      <w:pPr>
        <w:pStyle w:val="ListBullet"/>
      </w:pPr>
      <w:r>
        <w:rPr>
          <w:rFonts w:ascii="Arial" w:hAnsi="Arial" w:eastAsia="Arial"/>
        </w:rPr>
        <w:t>Footprint Summary: case, scenario, site, radius, selected bearing, pathway criterion, deposition group, interval count, grid dimensions, and a model-use note.</w:t>
      </w:r>
    </w:p>
    <w:p>
      <w:pPr>
        <w:pStyle w:val="ListBullet"/>
      </w:pPr>
      <w:r>
        <w:rPr>
          <w:rFonts w:ascii="Arial" w:hAnsi="Arial" w:eastAsia="Arial"/>
        </w:rPr>
        <w:t>Footprint Intervals: step times, interval bearing, wind speed, stability class, incremental fraction, and cumulative interpolation fraction.</w:t>
      </w:r>
    </w:p>
    <w:p>
      <w:pPr>
        <w:pStyle w:val="ListBullet"/>
      </w:pPr>
      <w:r>
        <w:rPr>
          <w:rFonts w:ascii="Arial" w:hAnsi="Arial" w:eastAsia="Arial"/>
        </w:rPr>
        <w:t>Footprint Spatial: step, elapsed time, radius, azimuth, cumulative TEDE, and cumulative relative deposition on a 48 radial × 72 azimuth sampling grid for every step.</w:t>
      </w:r>
    </w:p>
    <w:p>
      <w:pPr>
        <w:keepLines w:val="0"/>
      </w:pPr>
      <w:r>
        <w:rPr>
          <w:rFonts w:ascii="Arial" w:hAnsi="Arial" w:eastAsia="Arial"/>
        </w:rPr>
        <w:t>The spatial export samples the internally calculated Cartesian fields at the nearest grid location for each radius/azimuth point. It is suitable for plotting and follow-on processing, but it should not be interpreted as increasing the native model resolution.</w:t>
      </w:r>
    </w:p>
    <w:p>
      <w:pPr>
        <w:pStyle w:val="Heading2"/>
        <w:keepNext/>
      </w:pPr>
      <w:r>
        <w:rPr>
          <w:rFonts w:ascii="Arial" w:hAnsi="Arial" w:eastAsia="Arial"/>
        </w:rPr>
        <w:t>6.5 Report PDF</w:t>
      </w:r>
    </w:p>
    <w:p>
      <w:pPr>
        <w:keepLines w:val="0"/>
      </w:pPr>
      <w:r>
        <w:rPr>
          <w:rFonts w:ascii="Arial" w:hAnsi="Arial" w:eastAsia="Arial"/>
        </w:rPr>
        <w:t>The PDF is designed as a self-contained one-page record. It uses a circular map viewport with the site at its center, the selected analysis circle and pathway line, the active radiological overlay, a matching legend, and analysis metadata. The map viewport extends slightly beyond the analysis radius so the boundary remains visible. The page is portrait letter size and is intended to be inserted into conventional reports without scaling across multiple pages.</w:t>
      </w:r>
    </w:p>
    <w:p>
      <w:pPr>
        <w:pStyle w:val="Heading1"/>
        <w:keepNext/>
      </w:pPr>
      <w:r>
        <w:rPr>
          <w:rFonts w:ascii="Arial" w:hAnsi="Arial" w:eastAsia="Arial"/>
        </w:rPr>
        <w:t>7. Troubleshooting and Operational Guidance</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D9EAF7"/>
            <w:vAlign w:val="center"/>
          </w:tcPr>
          <w:p>
            <w:r>
              <w:rPr>
                <w:b/>
              </w:rPr>
              <w:t>Symptom</w:t>
            </w:r>
          </w:p>
        </w:tc>
        <w:tc>
          <w:tcPr>
            <w:tcW w:type="dxa" w:w="3389"/>
            <w:shd w:fill="D9EAF7"/>
            <w:vAlign w:val="center"/>
          </w:tcPr>
          <w:p>
            <w:r>
              <w:rPr>
                <w:b/>
              </w:rPr>
              <w:t>Likely cause</w:t>
            </w:r>
          </w:p>
        </w:tc>
        <w:tc>
          <w:tcPr>
            <w:tcW w:type="dxa" w:w="3389"/>
            <w:shd w:fill="D9EAF7"/>
            <w:vAlign w:val="center"/>
          </w:tcPr>
          <w:p>
            <w:r>
              <w:rPr>
                <w:b/>
              </w:rPr>
              <w:t>Action</w:t>
            </w:r>
          </w:p>
        </w:tc>
      </w:tr>
      <w:tr>
        <w:trPr>
          <w:cantSplit/>
        </w:trPr>
        <w:tc>
          <w:tcPr>
            <w:tcW w:type="dxa" w:w="3389"/>
            <w:vAlign w:val="top"/>
            <w:tcMar>
              <w:top w:w="80" w:type="dxa"/>
              <w:start w:w="100" w:type="dxa"/>
              <w:bottom w:w="80" w:type="dxa"/>
              <w:end w:w="100" w:type="dxa"/>
            </w:tcMar>
          </w:tcPr>
          <w:p>
            <w:r>
              <w:t>National database not installed</w:t>
            </w:r>
          </w:p>
        </w:tc>
        <w:tc>
          <w:tcPr>
            <w:tcW w:type="dxa" w:w="3389"/>
            <w:vAlign w:val="top"/>
            <w:tcMar>
              <w:top w:w="80" w:type="dxa"/>
              <w:start w:w="100" w:type="dxa"/>
              <w:bottom w:w="80" w:type="dxa"/>
              <w:end w:w="100" w:type="dxa"/>
            </w:tcMar>
          </w:tcPr>
          <w:p>
            <w:r>
              <w:t>population_2020_national.sqlite is absent.</w:t>
            </w:r>
          </w:p>
        </w:tc>
        <w:tc>
          <w:tcPr>
            <w:tcW w:type="dxa" w:w="3389"/>
            <w:vAlign w:val="top"/>
            <w:tcMar>
              <w:top w:w="80" w:type="dxa"/>
              <w:start w:w="100" w:type="dxa"/>
              <w:bottom w:w="80" w:type="dxa"/>
              <w:end w:w="100" w:type="dxa"/>
            </w:tcMar>
          </w:tcPr>
          <w:p>
            <w:r>
              <w:t>Run Build_National_Population_Database.bat or use the labeled synthetic demo database.</w:t>
            </w:r>
          </w:p>
        </w:tc>
      </w:tr>
      <w:tr>
        <w:trPr>
          <w:cantSplit/>
        </w:trPr>
        <w:tc>
          <w:tcPr>
            <w:tcW w:type="dxa" w:w="3389"/>
            <w:vAlign w:val="top"/>
            <w:tcMar>
              <w:top w:w="80" w:type="dxa"/>
              <w:start w:w="100" w:type="dxa"/>
              <w:bottom w:w="80" w:type="dxa"/>
              <w:end w:w="100" w:type="dxa"/>
            </w:tcMar>
          </w:tcPr>
          <w:p>
            <w:r>
              <w:t>Unable to open database file</w:t>
            </w:r>
          </w:p>
        </w:tc>
        <w:tc>
          <w:tcPr>
            <w:tcW w:type="dxa" w:w="3389"/>
            <w:vAlign w:val="top"/>
            <w:tcMar>
              <w:top w:w="80" w:type="dxa"/>
              <w:start w:w="100" w:type="dxa"/>
              <w:bottom w:w="80" w:type="dxa"/>
              <w:end w:w="100" w:type="dxa"/>
            </w:tcMar>
          </w:tcPr>
          <w:p>
            <w:r>
              <w:t>Saved path refers to an old package location, file is missing, or permissions prevent access.</w:t>
            </w:r>
          </w:p>
        </w:tc>
        <w:tc>
          <w:tcPr>
            <w:tcW w:type="dxa" w:w="3389"/>
            <w:vAlign w:val="top"/>
            <w:tcMar>
              <w:top w:w="80" w:type="dxa"/>
              <w:start w:w="100" w:type="dxa"/>
              <w:bottom w:w="80" w:type="dxa"/>
              <w:end w:w="100" w:type="dxa"/>
            </w:tcMar>
          </w:tcPr>
          <w:p>
            <w:r>
              <w:t>Use the current package data folder; verify the file exists and that the package is extracted to a writable folder.</w:t>
            </w:r>
          </w:p>
        </w:tc>
      </w:tr>
      <w:tr>
        <w:trPr>
          <w:cantSplit/>
        </w:trPr>
        <w:tc>
          <w:tcPr>
            <w:tcW w:type="dxa" w:w="3389"/>
            <w:vAlign w:val="top"/>
            <w:tcMar>
              <w:top w:w="80" w:type="dxa"/>
              <w:start w:w="100" w:type="dxa"/>
              <w:bottom w:w="80" w:type="dxa"/>
              <w:end w:w="100" w:type="dxa"/>
            </w:tcMar>
          </w:tcPr>
          <w:p>
            <w:r>
              <w:t>Workbook cannot be read</w:t>
            </w:r>
          </w:p>
        </w:tc>
        <w:tc>
          <w:tcPr>
            <w:tcW w:type="dxa" w:w="3389"/>
            <w:vAlign w:val="top"/>
            <w:tcMar>
              <w:top w:w="80" w:type="dxa"/>
              <w:start w:w="100" w:type="dxa"/>
              <w:bottom w:w="80" w:type="dxa"/>
              <w:end w:w="100" w:type="dxa"/>
            </w:tcMar>
          </w:tcPr>
          <w:p>
            <w:r>
              <w:t>Required sheets or dose table are absent or malformed.</w:t>
            </w:r>
          </w:p>
        </w:tc>
        <w:tc>
          <w:tcPr>
            <w:tcW w:type="dxa" w:w="3389"/>
            <w:vAlign w:val="top"/>
            <w:tcMar>
              <w:top w:w="80" w:type="dxa"/>
              <w:start w:w="100" w:type="dxa"/>
              <w:bottom w:w="80" w:type="dxa"/>
              <w:end w:w="100" w:type="dxa"/>
            </w:tcMar>
          </w:tcPr>
          <w:p>
            <w:r>
              <w:t>Confirm Input Echo and Dose sheets and the Distance (m) table; confirm XLSX is not corrupt.</w:t>
            </w:r>
          </w:p>
        </w:tc>
      </w:tr>
      <w:tr>
        <w:trPr>
          <w:cantSplit/>
        </w:trPr>
        <w:tc>
          <w:tcPr>
            <w:tcW w:type="dxa" w:w="3389"/>
            <w:vAlign w:val="top"/>
            <w:tcMar>
              <w:top w:w="80" w:type="dxa"/>
              <w:start w:w="100" w:type="dxa"/>
              <w:bottom w:w="80" w:type="dxa"/>
              <w:end w:w="100" w:type="dxa"/>
            </w:tcMar>
          </w:tcPr>
          <w:p>
            <w:r>
              <w:t>Dose-range handles do not land on an exact typed value</w:t>
            </w:r>
          </w:p>
        </w:tc>
        <w:tc>
          <w:tcPr>
            <w:tcW w:type="dxa" w:w="3389"/>
            <w:vAlign w:val="top"/>
            <w:tcMar>
              <w:top w:w="80" w:type="dxa"/>
              <w:start w:w="100" w:type="dxa"/>
              <w:bottom w:w="80" w:type="dxa"/>
              <w:end w:w="100" w:type="dxa"/>
            </w:tcMar>
          </w:tcPr>
          <w:p>
            <w:r>
              <w:t>The browser-side dose slider uses a discrete three-significant-digit grid.</w:t>
            </w:r>
          </w:p>
        </w:tc>
        <w:tc>
          <w:tcPr>
            <w:tcW w:type="dxa" w:w="3389"/>
            <w:vAlign w:val="top"/>
            <w:tcMar>
              <w:top w:w="80" w:type="dxa"/>
              <w:start w:w="100" w:type="dxa"/>
              <w:bottom w:w="80" w:type="dxa"/>
              <w:end w:w="100" w:type="dxa"/>
            </w:tcMar>
          </w:tcPr>
          <w:p>
            <w:r>
              <w:t>Use the nearest available value. The last significant digit is always 0 or 5.</w:t>
            </w:r>
          </w:p>
        </w:tc>
      </w:tr>
      <w:tr>
        <w:trPr>
          <w:cantSplit/>
        </w:trPr>
        <w:tc>
          <w:tcPr>
            <w:tcW w:type="dxa" w:w="3389"/>
            <w:vAlign w:val="top"/>
            <w:tcMar>
              <w:top w:w="80" w:type="dxa"/>
              <w:start w:w="100" w:type="dxa"/>
              <w:bottom w:w="80" w:type="dxa"/>
              <w:end w:w="100" w:type="dxa"/>
            </w:tcMar>
          </w:tcPr>
          <w:p>
            <w:r>
              <w:t>Population above threshold unexpectedly changes</w:t>
            </w:r>
          </w:p>
        </w:tc>
        <w:tc>
          <w:tcPr>
            <w:tcW w:type="dxa" w:w="3389"/>
            <w:vAlign w:val="top"/>
            <w:tcMar>
              <w:top w:w="80" w:type="dxa"/>
              <w:start w:w="100" w:type="dxa"/>
              <w:bottom w:w="80" w:type="dxa"/>
              <w:end w:w="100" w:type="dxa"/>
            </w:tcMar>
          </w:tcPr>
          <w:p>
            <w:r>
              <w:t>Minimum dose, interval, pathway, scenario, radius, or site changed.</w:t>
            </w:r>
          </w:p>
        </w:tc>
        <w:tc>
          <w:tcPr>
            <w:tcW w:type="dxa" w:w="3389"/>
            <w:vAlign w:val="top"/>
            <w:tcMar>
              <w:top w:w="80" w:type="dxa"/>
              <w:start w:w="100" w:type="dxa"/>
              <w:bottom w:w="80" w:type="dxa"/>
              <w:end w:w="100" w:type="dxa"/>
            </w:tcMar>
          </w:tcPr>
          <w:p>
            <w:r>
              <w:t>Hold all but one control fixed when performing sensitivity comparisons.</w:t>
            </w:r>
          </w:p>
        </w:tc>
      </w:tr>
      <w:tr>
        <w:trPr>
          <w:cantSplit/>
        </w:trPr>
        <w:tc>
          <w:tcPr>
            <w:tcW w:type="dxa" w:w="3389"/>
            <w:vAlign w:val="top"/>
            <w:tcMar>
              <w:top w:w="80" w:type="dxa"/>
              <w:start w:w="100" w:type="dxa"/>
              <w:bottom w:w="80" w:type="dxa"/>
              <w:end w:w="100" w:type="dxa"/>
            </w:tcMar>
          </w:tcPr>
          <w:p>
            <w:r>
              <w:t>Map looks weak or saturated</w:t>
            </w:r>
          </w:p>
        </w:tc>
        <w:tc>
          <w:tcPr>
            <w:tcW w:type="dxa" w:w="3389"/>
            <w:vAlign w:val="top"/>
            <w:tcMar>
              <w:top w:w="80" w:type="dxa"/>
              <w:start w:w="100" w:type="dxa"/>
              <w:bottom w:w="80" w:type="dxa"/>
              <w:end w:w="100" w:type="dxa"/>
            </w:tcMar>
          </w:tcPr>
          <w:p>
            <w:r>
              <w:t>Dose-range maximum is too high or low for the case.</w:t>
            </w:r>
          </w:p>
        </w:tc>
        <w:tc>
          <w:tcPr>
            <w:tcW w:type="dxa" w:w="3389"/>
            <w:vAlign w:val="top"/>
            <w:tcMar>
              <w:top w:w="80" w:type="dxa"/>
              <w:start w:w="100" w:type="dxa"/>
              <w:bottom w:w="80" w:type="dxa"/>
              <w:end w:w="100" w:type="dxa"/>
            </w:tcMar>
          </w:tcPr>
          <w:p>
            <w:r>
              <w:t>Adjust the two-ended dose range while preserving the minimum if the population threshold must remain unchanged.</w:t>
            </w:r>
          </w:p>
        </w:tc>
      </w:tr>
      <w:tr>
        <w:trPr>
          <w:cantSplit/>
        </w:trPr>
        <w:tc>
          <w:tcPr>
            <w:tcW w:type="dxa" w:w="3389"/>
            <w:vAlign w:val="top"/>
            <w:tcMar>
              <w:top w:w="80" w:type="dxa"/>
              <w:start w:w="100" w:type="dxa"/>
              <w:bottom w:w="80" w:type="dxa"/>
              <w:end w:w="100" w:type="dxa"/>
            </w:tcMar>
          </w:tcPr>
          <w:p>
            <w:r>
              <w:t>Location click pans but does not select</w:t>
            </w:r>
          </w:p>
        </w:tc>
        <w:tc>
          <w:tcPr>
            <w:tcW w:type="dxa" w:w="3389"/>
            <w:vAlign w:val="top"/>
            <w:tcMar>
              <w:top w:w="80" w:type="dxa"/>
              <w:start w:w="100" w:type="dxa"/>
              <w:bottom w:w="80" w:type="dxa"/>
              <w:end w:w="100" w:type="dxa"/>
            </w:tcMar>
          </w:tcPr>
          <w:p>
            <w:r>
              <w:t>Site selection was not armed.</w:t>
            </w:r>
          </w:p>
        </w:tc>
        <w:tc>
          <w:tcPr>
            <w:tcW w:type="dxa" w:w="3389"/>
            <w:vAlign w:val="top"/>
            <w:tcMar>
              <w:top w:w="80" w:type="dxa"/>
              <w:start w:w="100" w:type="dxa"/>
              <w:bottom w:w="80" w:type="dxa"/>
              <w:end w:w="100" w:type="dxa"/>
            </w:tcMar>
          </w:tcPr>
          <w:p>
            <w:r>
              <w:t>Click Select new location on map, then click the site once.</w:t>
            </w:r>
          </w:p>
        </w:tc>
      </w:tr>
      <w:tr>
        <w:trPr>
          <w:cantSplit/>
        </w:trPr>
        <w:tc>
          <w:tcPr>
            <w:tcW w:type="dxa" w:w="3389"/>
            <w:vAlign w:val="top"/>
            <w:tcMar>
              <w:top w:w="80" w:type="dxa"/>
              <w:start w:w="100" w:type="dxa"/>
              <w:bottom w:w="80" w:type="dxa"/>
              <w:end w:w="100" w:type="dxa"/>
            </w:tcMar>
          </w:tcPr>
          <w:p>
            <w:r>
              <w:t>Map not centered on analysis circle</w:t>
            </w:r>
          </w:p>
        </w:tc>
        <w:tc>
          <w:tcPr>
            <w:tcW w:type="dxa" w:w="3389"/>
            <w:vAlign w:val="top"/>
            <w:tcMar>
              <w:top w:w="80" w:type="dxa"/>
              <w:start w:w="100" w:type="dxa"/>
              <w:bottom w:w="80" w:type="dxa"/>
              <w:end w:w="100" w:type="dxa"/>
            </w:tcMar>
          </w:tcPr>
          <w:p>
            <w:r>
              <w:t>User has panned or used the +/− zoom controls, or the circular mask has not yet been reset.</w:t>
            </w:r>
          </w:p>
        </w:tc>
        <w:tc>
          <w:tcPr>
            <w:tcW w:type="dxa" w:w="3389"/>
            <w:vAlign w:val="top"/>
            <w:tcMar>
              <w:top w:w="80" w:type="dxa"/>
              <w:start w:w="100" w:type="dxa"/>
              <w:bottom w:w="80" w:type="dxa"/>
              <w:end w:w="100" w:type="dxa"/>
            </w:tcMar>
          </w:tcPr>
          <w:p>
            <w:r>
              <w:t>Click Reset View. The radius value and other analytical settings are preserved.</w:t>
            </w:r>
          </w:p>
        </w:tc>
      </w:tr>
      <w:tr>
        <w:trPr>
          <w:cantSplit/>
        </w:trPr>
        <w:tc>
          <w:tcPr>
            <w:tcW w:type="dxa" w:w="3389"/>
            <w:vAlign w:val="top"/>
            <w:tcMar>
              <w:top w:w="80" w:type="dxa"/>
              <w:start w:w="100" w:type="dxa"/>
              <w:bottom w:w="80" w:type="dxa"/>
              <w:end w:w="100" w:type="dxa"/>
            </w:tcMar>
          </w:tcPr>
          <w:p>
            <w:r>
              <w:t>PDF differs from interactive view</w:t>
            </w:r>
          </w:p>
        </w:tc>
        <w:tc>
          <w:tcPr>
            <w:tcW w:type="dxa" w:w="3389"/>
            <w:vAlign w:val="top"/>
            <w:tcMar>
              <w:top w:w="80" w:type="dxa"/>
              <w:start w:w="100" w:type="dxa"/>
              <w:bottom w:w="80" w:type="dxa"/>
              <w:end w:w="100" w:type="dxa"/>
            </w:tcMar>
          </w:tcPr>
          <w:p>
            <w:r>
              <w:t>Interactive map state and report geometry are intentionally normalized to a centered report frame.</w:t>
            </w:r>
          </w:p>
        </w:tc>
        <w:tc>
          <w:tcPr>
            <w:tcW w:type="dxa" w:w="3389"/>
            <w:vAlign w:val="top"/>
            <w:tcMar>
              <w:top w:w="80" w:type="dxa"/>
              <w:start w:w="100" w:type="dxa"/>
              <w:bottom w:w="80" w:type="dxa"/>
              <w:end w:w="100" w:type="dxa"/>
            </w:tcMar>
          </w:tcPr>
          <w:p>
            <w:r>
              <w:t>Use the report as the controlled output; confirm selected settings in the summary.</w:t>
            </w:r>
          </w:p>
        </w:tc>
      </w:tr>
      <w:tr>
        <w:trPr>
          <w:cantSplit/>
        </w:trPr>
        <w:tc>
          <w:tcPr>
            <w:tcW w:type="dxa" w:w="3389"/>
            <w:vAlign w:val="top"/>
            <w:tcMar>
              <w:top w:w="80" w:type="dxa"/>
              <w:start w:w="100" w:type="dxa"/>
              <w:bottom w:w="80" w:type="dxa"/>
              <w:end w:w="100" w:type="dxa"/>
            </w:tcMar>
          </w:tcPr>
          <w:p>
            <w:r>
              <w:t>Streamlit components deprecation warning</w:t>
            </w:r>
          </w:p>
        </w:tc>
        <w:tc>
          <w:tcPr>
            <w:tcW w:type="dxa" w:w="3389"/>
            <w:vAlign w:val="top"/>
            <w:tcMar>
              <w:top w:w="80" w:type="dxa"/>
              <w:start w:w="100" w:type="dxa"/>
              <w:bottom w:w="80" w:type="dxa"/>
              <w:end w:w="100" w:type="dxa"/>
            </w:tcMar>
          </w:tcPr>
          <w:p>
            <w:r>
              <w:t>The installed Streamlit version warns about st.components.v1.html.</w:t>
            </w:r>
          </w:p>
        </w:tc>
        <w:tc>
          <w:tcPr>
            <w:tcW w:type="dxa" w:w="3389"/>
            <w:vAlign w:val="top"/>
            <w:tcMar>
              <w:top w:w="80" w:type="dxa"/>
              <w:start w:w="100" w:type="dxa"/>
              <w:bottom w:w="80" w:type="dxa"/>
              <w:end w:w="100" w:type="dxa"/>
            </w:tcMar>
          </w:tcPr>
          <w:p>
            <w:r>
              <w:t>This is a compatibility warning in the current package; it does not by itself indicate a failed calculation.</w:t>
            </w:r>
          </w:p>
        </w:tc>
      </w:tr>
      <w:tr>
        <w:trPr>
          <w:cantSplit/>
        </w:trPr>
        <w:tc>
          <w:tcPr>
            <w:tcW w:type="dxa" w:w="3389"/>
            <w:vAlign w:val="top"/>
            <w:tcMar>
              <w:top w:w="80" w:type="dxa"/>
              <w:start w:w="100" w:type="dxa"/>
              <w:bottom w:w="80" w:type="dxa"/>
              <w:end w:w="100" w:type="dxa"/>
            </w:tcMar>
          </w:tcPr>
          <w:p>
            <w:r>
              <w:t>Page scroll unexpectedly zooms the map</w:t>
            </w:r>
          </w:p>
        </w:tc>
        <w:tc>
          <w:tcPr>
            <w:tcW w:type="dxa" w:w="3389"/>
            <w:vAlign w:val="top"/>
            <w:tcMar>
              <w:top w:w="80" w:type="dxa"/>
              <w:start w:w="100" w:type="dxa"/>
              <w:bottom w:w="80" w:type="dxa"/>
              <w:end w:w="100" w:type="dxa"/>
            </w:tcMar>
          </w:tcPr>
          <w:p>
            <w:r>
              <w:t>An older package with Leaflet mouse-wheel zoom enabled is running.</w:t>
            </w:r>
          </w:p>
        </w:tc>
        <w:tc>
          <w:tcPr>
            <w:tcW w:type="dxa" w:w="3389"/>
            <w:vAlign w:val="top"/>
            <w:tcMar>
              <w:top w:w="80" w:type="dxa"/>
              <w:start w:w="100" w:type="dxa"/>
              <w:bottom w:w="80" w:type="dxa"/>
              <w:end w:w="100" w:type="dxa"/>
            </w:tcMar>
          </w:tcPr>
          <w:p>
            <w:r>
              <w:t>Use the current release. Mouse-wheel zoom is disabled; use the visible +/− buttons.</w:t>
            </w:r>
          </w:p>
        </w:tc>
      </w:tr>
      <w:tr>
        <w:trPr>
          <w:cantSplit/>
        </w:trPr>
        <w:tc>
          <w:tcPr>
            <w:tcW w:type="dxa" w:w="3389"/>
            <w:vAlign w:val="top"/>
            <w:tcMar>
              <w:top w:w="80" w:type="dxa"/>
              <w:start w:w="100" w:type="dxa"/>
              <w:bottom w:w="80" w:type="dxa"/>
              <w:end w:w="100" w:type="dxa"/>
            </w:tcMar>
          </w:tcPr>
          <w:p>
            <w:r>
              <w:t>Radius expansion remains on “Loading expanded extent…”</w:t>
            </w:r>
          </w:p>
        </w:tc>
        <w:tc>
          <w:tcPr>
            <w:tcW w:type="dxa" w:w="3389"/>
            <w:vAlign w:val="top"/>
            <w:tcMar>
              <w:top w:w="80" w:type="dxa"/>
              <w:start w:w="100" w:type="dxa"/>
              <w:bottom w:w="80" w:type="dxa"/>
              <w:end w:w="100" w:type="dxa"/>
            </w:tcMar>
          </w:tcPr>
          <w:p>
            <w:r>
              <w:t>The browser-to-Streamlit commit did not complete, or an older package is running.</w:t>
            </w:r>
          </w:p>
        </w:tc>
        <w:tc>
          <w:tcPr>
            <w:tcW w:type="dxa" w:w="3389"/>
            <w:vAlign w:val="top"/>
            <w:tcMar>
              <w:top w:w="80" w:type="dxa"/>
              <w:start w:w="100" w:type="dxa"/>
              <w:bottom w:w="80" w:type="dxa"/>
              <w:end w:w="100" w:type="dxa"/>
            </w:tcMar>
          </w:tcPr>
          <w:p>
            <w:r>
              <w:t>Use the current release, make one discrete outer-radius selection, and allow the single recalculation to finish. Relaunch if the status does not clear.</w:t>
            </w:r>
          </w:p>
        </w:tc>
      </w:tr>
    </w:tbl>
    <w:p/>
    <w:p>
      <w:pPr>
        <w:pStyle w:val="Heading2"/>
        <w:keepNext/>
      </w:pPr>
      <w:r>
        <w:rPr>
          <w:rFonts w:ascii="Arial" w:hAnsi="Arial" w:eastAsia="Arial"/>
        </w:rPr>
        <w:t>7.1 Verification practice</w:t>
      </w:r>
    </w:p>
    <w:p>
      <w:pPr>
        <w:keepLines w:val="0"/>
      </w:pPr>
      <w:r>
        <w:rPr>
          <w:rFonts w:ascii="Arial" w:hAnsi="Arial" w:eastAsia="Arial"/>
        </w:rPr>
        <w:t>The package contains substantive unit tests for geometry, dispersion, consequence calculations, and national database aggregation. Cosmetic UI tests were intentionally minimized. For code changes affecting calculations, workbook parsing, settings persistence, database selection, map geometry, or report export, run the full retained test suite. For minor wording or layout changes, syntax/import checks and a focused launch test are generally proportionate.</w:t>
      </w:r>
    </w:p>
    <w:p>
      <w:pPr>
        <w:pStyle w:val="Heading1"/>
        <w:keepNext/>
      </w:pPr>
      <w:r>
        <w:rPr>
          <w:rFonts w:ascii="Arial" w:hAnsi="Arial" w:eastAsia="Arial"/>
        </w:rPr>
        <w:t>Appendix A. Code Design and Workflow</w:t>
      </w:r>
    </w:p>
    <w:p>
      <w:pPr>
        <w:pStyle w:val="Heading2"/>
        <w:keepNext/>
      </w:pPr>
      <w:r>
        <w:rPr>
          <w:rFonts w:ascii="Arial" w:hAnsi="Arial" w:eastAsia="Arial"/>
        </w:rPr>
        <w:t>A.1 Package structure</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9EAF7"/>
            <w:vAlign w:val="center"/>
          </w:tcPr>
          <w:p>
            <w:r>
              <w:rPr>
                <w:b/>
              </w:rPr>
              <w:t>File or folder</w:t>
            </w:r>
          </w:p>
        </w:tc>
        <w:tc>
          <w:tcPr>
            <w:tcW w:type="dxa" w:w="5083"/>
            <w:shd w:fill="D9EAF7"/>
            <w:vAlign w:val="center"/>
          </w:tcPr>
          <w:p>
            <w:r>
              <w:rPr>
                <w:b/>
              </w:rPr>
              <w:t>Responsibility</w:t>
            </w:r>
          </w:p>
        </w:tc>
      </w:tr>
      <w:tr>
        <w:trPr>
          <w:cantSplit/>
        </w:trPr>
        <w:tc>
          <w:tcPr>
            <w:tcW w:type="dxa" w:w="5083"/>
            <w:vAlign w:val="top"/>
            <w:tcMar>
              <w:top w:w="80" w:type="dxa"/>
              <w:start w:w="100" w:type="dxa"/>
              <w:bottom w:w="80" w:type="dxa"/>
              <w:end w:w="100" w:type="dxa"/>
            </w:tcMar>
          </w:tcPr>
          <w:p>
            <w:r>
              <w:t>flare_map.py</w:t>
            </w:r>
          </w:p>
        </w:tc>
        <w:tc>
          <w:tcPr>
            <w:tcW w:type="dxa" w:w="5083"/>
            <w:vAlign w:val="top"/>
            <w:tcMar>
              <w:top w:w="80" w:type="dxa"/>
              <w:start w:w="100" w:type="dxa"/>
              <w:bottom w:w="80" w:type="dxa"/>
              <w:end w:w="100" w:type="dxa"/>
            </w:tcMar>
          </w:tcPr>
          <w:p>
            <w:r>
              <w:t>Streamlit state management, sidebar controls, browser-side control payload, workbook upload/restore, pathway selection, orchestration, summary, and downloads.</w:t>
            </w:r>
          </w:p>
        </w:tc>
      </w:tr>
      <w:tr>
        <w:trPr>
          <w:cantSplit/>
        </w:trPr>
        <w:tc>
          <w:tcPr>
            <w:tcW w:type="dxa" w:w="5083"/>
            <w:vAlign w:val="top"/>
            <w:tcMar>
              <w:top w:w="80" w:type="dxa"/>
              <w:start w:w="100" w:type="dxa"/>
              <w:bottom w:w="80" w:type="dxa"/>
              <w:end w:w="100" w:type="dxa"/>
            </w:tcMar>
          </w:tcPr>
          <w:p>
            <w:r>
              <w:t>flare_map_core/core.py</w:t>
            </w:r>
          </w:p>
        </w:tc>
        <w:tc>
          <w:tcPr>
            <w:tcW w:type="dxa" w:w="5083"/>
            <w:vAlign w:val="top"/>
            <w:tcMar>
              <w:top w:w="80" w:type="dxa"/>
              <w:start w:w="100" w:type="dxa"/>
              <w:bottom w:w="80" w:type="dxa"/>
              <w:end w:w="100" w:type="dxa"/>
            </w:tcMar>
          </w:tcPr>
          <w:p>
            <w:r>
              <w:t>Local geometry, distance/bearing calculations, geometric and dose-informed population searches.</w:t>
            </w:r>
          </w:p>
        </w:tc>
      </w:tr>
      <w:tr>
        <w:trPr>
          <w:cantSplit/>
        </w:trPr>
        <w:tc>
          <w:tcPr>
            <w:tcW w:type="dxa" w:w="5083"/>
            <w:vAlign w:val="top"/>
            <w:tcMar>
              <w:top w:w="80" w:type="dxa"/>
              <w:start w:w="100" w:type="dxa"/>
              <w:bottom w:w="80" w:type="dxa"/>
              <w:end w:w="100" w:type="dxa"/>
            </w:tcMar>
          </w:tcPr>
          <w:p>
            <w:r>
              <w:t>flare_map_core/dispersion.py</w:t>
            </w:r>
          </w:p>
        </w:tc>
        <w:tc>
          <w:tcPr>
            <w:tcW w:type="dxa" w:w="5083"/>
            <w:vAlign w:val="top"/>
            <w:tcMar>
              <w:top w:w="80" w:type="dxa"/>
              <w:start w:w="100" w:type="dxa"/>
              <w:bottom w:w="80" w:type="dxa"/>
              <w:end w:w="100" w:type="dxa"/>
            </w:tcMar>
          </w:tcPr>
          <w:p>
            <w:r>
              <w:t>Dispersion inputs, sigma-y, meander multiplier, dose curves, and local two-dimensional dose.</w:t>
            </w:r>
          </w:p>
        </w:tc>
      </w:tr>
      <w:tr>
        <w:trPr>
          <w:cantSplit/>
        </w:trPr>
        <w:tc>
          <w:tcPr>
            <w:tcW w:type="dxa" w:w="5083"/>
            <w:vAlign w:val="top"/>
            <w:tcMar>
              <w:top w:w="80" w:type="dxa"/>
              <w:start w:w="100" w:type="dxa"/>
              <w:bottom w:w="80" w:type="dxa"/>
              <w:end w:w="100" w:type="dxa"/>
            </w:tcMar>
          </w:tcPr>
          <w:p>
            <w:r>
              <w:t>flare_map_core/consequence.py</w:t>
            </w:r>
          </w:p>
        </w:tc>
        <w:tc>
          <w:tcPr>
            <w:tcW w:type="dxa" w:w="5083"/>
            <w:vAlign w:val="top"/>
            <w:tcMar>
              <w:top w:w="80" w:type="dxa"/>
              <w:start w:w="100" w:type="dxa"/>
              <w:bottom w:w="80" w:type="dxa"/>
              <w:end w:w="100" w:type="dxa"/>
            </w:tcMar>
          </w:tcPr>
          <w:p>
            <w:r>
              <w:t>Twenty-four-interval cumulative airborne-dose and deposition field construction.</w:t>
            </w:r>
          </w:p>
        </w:tc>
      </w:tr>
      <w:tr>
        <w:trPr>
          <w:cantSplit/>
        </w:trPr>
        <w:tc>
          <w:tcPr>
            <w:tcW w:type="dxa" w:w="5083"/>
            <w:vAlign w:val="top"/>
            <w:tcMar>
              <w:top w:w="80" w:type="dxa"/>
              <w:start w:w="100" w:type="dxa"/>
              <w:bottom w:w="80" w:type="dxa"/>
              <w:end w:w="100" w:type="dxa"/>
            </w:tcMar>
          </w:tcPr>
          <w:p>
            <w:r>
              <w:t>flare_map_core/deposition.py</w:t>
            </w:r>
          </w:p>
        </w:tc>
        <w:tc>
          <w:tcPr>
            <w:tcW w:type="dxa" w:w="5083"/>
            <w:vAlign w:val="top"/>
            <w:tcMar>
              <w:top w:w="80" w:type="dxa"/>
              <w:start w:w="100" w:type="dxa"/>
              <w:bottom w:w="80" w:type="dxa"/>
              <w:end w:w="100" w:type="dxa"/>
            </w:tcMar>
          </w:tcPr>
          <w:p>
            <w:r>
              <w:t>Release groups, release intervals, deposition weighting, and standalone synthetic deposition utilities.</w:t>
            </w:r>
          </w:p>
        </w:tc>
      </w:tr>
      <w:tr>
        <w:trPr>
          <w:cantSplit/>
        </w:trPr>
        <w:tc>
          <w:tcPr>
            <w:tcW w:type="dxa" w:w="5083"/>
            <w:vAlign w:val="top"/>
            <w:tcMar>
              <w:top w:w="80" w:type="dxa"/>
              <w:start w:w="100" w:type="dxa"/>
              <w:bottom w:w="80" w:type="dxa"/>
              <w:end w:w="100" w:type="dxa"/>
            </w:tcMar>
          </w:tcPr>
          <w:p>
            <w:r>
              <w:t>flare_map_core/flare_workbook.py</w:t>
            </w:r>
          </w:p>
        </w:tc>
        <w:tc>
          <w:tcPr>
            <w:tcW w:type="dxa" w:w="5083"/>
            <w:vAlign w:val="top"/>
            <w:tcMar>
              <w:top w:w="80" w:type="dxa"/>
              <w:start w:w="100" w:type="dxa"/>
              <w:bottom w:w="80" w:type="dxa"/>
              <w:end w:w="100" w:type="dxa"/>
            </w:tcMar>
          </w:tcPr>
          <w:p>
            <w:r>
              <w:t>Parsing of FLARE Input Echo, Dose, and Source Term sheets.</w:t>
            </w:r>
          </w:p>
        </w:tc>
      </w:tr>
      <w:tr>
        <w:trPr>
          <w:cantSplit/>
        </w:trPr>
        <w:tc>
          <w:tcPr>
            <w:tcW w:type="dxa" w:w="5083"/>
            <w:vAlign w:val="top"/>
            <w:tcMar>
              <w:top w:w="80" w:type="dxa"/>
              <w:start w:w="100" w:type="dxa"/>
              <w:bottom w:w="80" w:type="dxa"/>
              <w:end w:w="100" w:type="dxa"/>
            </w:tcMar>
          </w:tcPr>
          <w:p>
            <w:r>
              <w:t>flare_map_core/database.py</w:t>
            </w:r>
          </w:p>
        </w:tc>
        <w:tc>
          <w:tcPr>
            <w:tcW w:type="dxa" w:w="5083"/>
            <w:vAlign w:val="top"/>
            <w:tcMar>
              <w:top w:w="80" w:type="dxa"/>
              <w:start w:w="100" w:type="dxa"/>
              <w:bottom w:w="80" w:type="dxa"/>
              <w:end w:w="100" w:type="dxa"/>
            </w:tcMar>
          </w:tcPr>
          <w:p>
            <w:r>
              <w:t>SQLite schema, replacement, and radius-bounding-box query.</w:t>
            </w:r>
          </w:p>
        </w:tc>
      </w:tr>
      <w:tr>
        <w:trPr>
          <w:cantSplit/>
        </w:trPr>
        <w:tc>
          <w:tcPr>
            <w:tcW w:type="dxa" w:w="5083"/>
            <w:vAlign w:val="top"/>
            <w:tcMar>
              <w:top w:w="80" w:type="dxa"/>
              <w:start w:w="100" w:type="dxa"/>
              <w:bottom w:w="80" w:type="dxa"/>
              <w:end w:w="100" w:type="dxa"/>
            </w:tcMar>
          </w:tcPr>
          <w:p>
            <w:r>
              <w:t>flare_map_core/map_view.py</w:t>
            </w:r>
          </w:p>
        </w:tc>
        <w:tc>
          <w:tcPr>
            <w:tcW w:type="dxa" w:w="5083"/>
            <w:vAlign w:val="top"/>
            <w:tcMar>
              <w:top w:w="80" w:type="dxa"/>
              <w:start w:w="100" w:type="dxa"/>
              <w:bottom w:w="80" w:type="dxa"/>
              <w:end w:w="100" w:type="dxa"/>
            </w:tcMar>
          </w:tcPr>
          <w:p>
            <w:r>
              <w:t>Folium/Leaflet layers, full-resolution raster data, browser-side interval/dose/radius controls, legends, circular viewport and mask geometry, button zoom behavior, and report PDF exporter.</w:t>
            </w:r>
          </w:p>
        </w:tc>
      </w:tr>
      <w:tr>
        <w:trPr>
          <w:cantSplit/>
        </w:trPr>
        <w:tc>
          <w:tcPr>
            <w:tcW w:type="dxa" w:w="5083"/>
            <w:vAlign w:val="top"/>
            <w:tcMar>
              <w:top w:w="80" w:type="dxa"/>
              <w:start w:w="100" w:type="dxa"/>
              <w:bottom w:w="80" w:type="dxa"/>
              <w:end w:w="100" w:type="dxa"/>
            </w:tcMar>
          </w:tcPr>
          <w:p>
            <w:r>
              <w:t>flare_map_core/export_results.py</w:t>
            </w:r>
          </w:p>
        </w:tc>
        <w:tc>
          <w:tcPr>
            <w:tcW w:type="dxa" w:w="5083"/>
            <w:vAlign w:val="top"/>
            <w:tcMar>
              <w:top w:w="80" w:type="dxa"/>
              <w:start w:w="100" w:type="dxa"/>
              <w:bottom w:w="80" w:type="dxa"/>
              <w:end w:w="100" w:type="dxa"/>
            </w:tcMar>
          </w:tcPr>
          <w:p>
            <w:r>
              <w:t>Generation of the augmented FLARE workbook.</w:t>
            </w:r>
          </w:p>
        </w:tc>
      </w:tr>
      <w:tr>
        <w:trPr>
          <w:cantSplit/>
        </w:trPr>
        <w:tc>
          <w:tcPr>
            <w:tcW w:type="dxa" w:w="5083"/>
            <w:vAlign w:val="top"/>
            <w:tcMar>
              <w:top w:w="80" w:type="dxa"/>
              <w:start w:w="100" w:type="dxa"/>
              <w:bottom w:w="80" w:type="dxa"/>
              <w:end w:w="100" w:type="dxa"/>
            </w:tcMar>
          </w:tcPr>
          <w:p>
            <w:r>
              <w:t>tools/build_national_census.py</w:t>
            </w:r>
          </w:p>
        </w:tc>
        <w:tc>
          <w:tcPr>
            <w:tcW w:type="dxa" w:w="5083"/>
            <w:vAlign w:val="top"/>
            <w:tcMar>
              <w:top w:w="80" w:type="dxa"/>
              <w:start w:w="100" w:type="dxa"/>
              <w:bottom w:w="80" w:type="dxa"/>
              <w:end w:w="100" w:type="dxa"/>
            </w:tcMar>
          </w:tcPr>
          <w:p>
            <w:r>
              <w:t>Resumable national Census-to-DuckDB-to-SQLite build pipeline.</w:t>
            </w:r>
          </w:p>
        </w:tc>
      </w:tr>
      <w:tr>
        <w:trPr>
          <w:cantSplit/>
        </w:trPr>
        <w:tc>
          <w:tcPr>
            <w:tcW w:type="dxa" w:w="5083"/>
            <w:vAlign w:val="top"/>
            <w:tcMar>
              <w:top w:w="80" w:type="dxa"/>
              <w:start w:w="100" w:type="dxa"/>
              <w:bottom w:w="80" w:type="dxa"/>
              <w:end w:w="100" w:type="dxa"/>
            </w:tcMar>
          </w:tcPr>
          <w:p>
            <w:r>
              <w:t>tools/verify_installation.py</w:t>
            </w:r>
          </w:p>
        </w:tc>
        <w:tc>
          <w:tcPr>
            <w:tcW w:type="dxa" w:w="5083"/>
            <w:vAlign w:val="top"/>
            <w:tcMar>
              <w:top w:w="80" w:type="dxa"/>
              <w:start w:w="100" w:type="dxa"/>
              <w:bottom w:w="80" w:type="dxa"/>
              <w:end w:w="100" w:type="dxa"/>
            </w:tcMar>
          </w:tcPr>
          <w:p>
            <w:r>
              <w:t>Project, import, syntax, and database verification used by the launcher.</w:t>
            </w:r>
          </w:p>
        </w:tc>
      </w:tr>
      <w:tr>
        <w:trPr>
          <w:cantSplit/>
        </w:trPr>
        <w:tc>
          <w:tcPr>
            <w:tcW w:type="dxa" w:w="5083"/>
            <w:vAlign w:val="top"/>
            <w:tcMar>
              <w:top w:w="80" w:type="dxa"/>
              <w:start w:w="100" w:type="dxa"/>
              <w:bottom w:w="80" w:type="dxa"/>
              <w:end w:w="100" w:type="dxa"/>
            </w:tcMar>
          </w:tcPr>
          <w:p>
            <w:r>
              <w:t>tests/</w:t>
            </w:r>
          </w:p>
        </w:tc>
        <w:tc>
          <w:tcPr>
            <w:tcW w:type="dxa" w:w="5083"/>
            <w:vAlign w:val="top"/>
            <w:tcMar>
              <w:top w:w="80" w:type="dxa"/>
              <w:start w:w="100" w:type="dxa"/>
              <w:bottom w:w="80" w:type="dxa"/>
              <w:end w:w="100" w:type="dxa"/>
            </w:tcMar>
          </w:tcPr>
          <w:p>
            <w:r>
              <w:t>Retained substantive unit tests.</w:t>
            </w:r>
          </w:p>
        </w:tc>
      </w:tr>
    </w:tbl>
    <w:p/>
    <w:p>
      <w:pPr>
        <w:pStyle w:val="Heading2"/>
        <w:keepNext/>
      </w:pPr>
      <w:r>
        <w:rPr>
          <w:rFonts w:ascii="Arial" w:hAnsi="Arial" w:eastAsia="Arial"/>
        </w:rPr>
        <w:t>A.2 Runtime data flow</w:t>
      </w:r>
    </w:p>
    <w:p>
      <w:pPr>
        <w:pStyle w:val="ListNumber"/>
      </w:pPr>
      <w:r>
        <w:rPr>
          <w:rFonts w:ascii="Arial" w:hAnsi="Arial" w:eastAsia="Arial"/>
        </w:rPr>
        <w:t>Application startup establishes project paths, loads saved site/settings, initializes Session State, and identifies the default population database.</w:t>
      </w:r>
    </w:p>
    <w:p>
      <w:pPr>
        <w:pStyle w:val="ListNumber"/>
      </w:pPr>
      <w:r>
        <w:rPr>
          <w:rFonts w:ascii="Arial" w:hAnsi="Arial" w:eastAsia="Arial"/>
        </w:rPr>
        <w:t>The sidebar is rendered for workbook, pathway, scenario, layer, site, database, and visibility options. The cumulative-interval, dose-range, and map/analysis-radius sliders are rendered in the browser-side map-control panel. A workbook upload or restored workbook path is passed to load_flare_output.</w:t>
      </w:r>
    </w:p>
    <w:p>
      <w:pPr>
        <w:pStyle w:val="ListNumber"/>
      </w:pPr>
      <w:r>
        <w:rPr>
          <w:rFonts w:ascii="Arial" w:hAnsi="Arial" w:eastAsia="Arial"/>
        </w:rPr>
        <w:t>The workbook reader returns a FlarePlumeCase containing dispersion inputs, EAB/LPZ DoseCurve objects, times/distances, release groups, and the source path.</w:t>
      </w:r>
    </w:p>
    <w:p>
      <w:pPr>
        <w:pStyle w:val="ListNumber"/>
      </w:pPr>
      <w:r>
        <w:rPr>
          <w:rFonts w:ascii="Arial" w:hAnsi="Arial" w:eastAsia="Arial"/>
        </w:rPr>
        <w:t>The selected database path is resolved and query_radius retrieves candidate occupied cells around the site.</w:t>
      </w:r>
    </w:p>
    <w:p>
      <w:pPr>
        <w:pStyle w:val="ListNumber"/>
      </w:pPr>
      <w:r>
        <w:rPr>
          <w:rFonts w:ascii="Arial" w:hAnsi="Arial" w:eastAsia="Arial"/>
        </w:rPr>
        <w:t>For an active FLARE case, the pathway evaluator rotates the dose-defined field through candidate bearings or evaluates the custom bearing. The selected minimum dose is used as the inclusion threshold.</w:t>
      </w:r>
    </w:p>
    <w:p>
      <w:pPr>
        <w:pStyle w:val="ListNumber"/>
      </w:pPr>
      <w:r>
        <w:rPr>
          <w:rFonts w:ascii="Arial" w:hAnsi="Arial" w:eastAsia="Arial"/>
        </w:rPr>
        <w:t>build_time_evolving_field precomputes cumulative fields for all 25 states (EAB anchor plus 24 intervals) for the selected scenario and radiological layer.</w:t>
      </w:r>
    </w:p>
    <w:p>
      <w:pPr>
        <w:pStyle w:val="ListNumber"/>
      </w:pPr>
      <w:r>
        <w:rPr>
          <w:rFonts w:ascii="Arial" w:hAnsi="Arial" w:eastAsia="Arial"/>
        </w:rPr>
        <w:t>make_map receives all cumulative fields, layer settings, discrete dose and radius options, site, loaded extent, bearing, and report payload. It constructs the Folium/Leaflet map plus a browser-side control panel that can switch intervals, recolor the plume, update the legend and summary, and preview radius changes without rebuilding the map.</w:t>
      </w:r>
    </w:p>
    <w:p>
      <w:pPr>
        <w:pStyle w:val="ListNumber"/>
      </w:pPr>
      <w:r>
        <w:rPr>
          <w:rFonts w:ascii="Arial" w:hAnsi="Arial" w:eastAsia="Arial"/>
        </w:rPr>
        <w:t>Streamlit displays the map, legend, Analysis Summary, and export controls. Sidebar-widget changes and radius expansion beyond the loaded extent cause a rerun. Cumulative-interval, dose-range, zoom-button, and in-extent radius changes are handled in JavaScript and do not rerun Streamlit. Accepted settings are autosaved after the initial baseline render.</w:t>
      </w:r>
    </w:p>
    <w:p>
      <w:pPr>
        <w:pStyle w:val="ListNumber"/>
      </w:pPr>
      <w:r>
        <w:rPr>
          <w:rFonts w:ascii="Arial" w:hAnsi="Arial" w:eastAsia="Arial"/>
        </w:rPr>
        <w:t>Workbook export calls build_output_workbook; PDF export is handled by the map component’s report exporter.</w:t>
      </w:r>
    </w:p>
    <w:p>
      <w:pPr>
        <w:pStyle w:val="Heading2"/>
        <w:keepNext/>
      </w:pPr>
      <w:r>
        <w:rPr>
          <w:rFonts w:ascii="Arial" w:hAnsi="Arial" w:eastAsia="Arial"/>
        </w:rPr>
        <w:t>A.3 State and persistence design</w:t>
      </w:r>
    </w:p>
    <w:p>
      <w:pPr>
        <w:keepLines w:val="0"/>
      </w:pPr>
      <w:r>
        <w:rPr>
          <w:rFonts w:ascii="Arial" w:hAnsi="Arial" w:eastAsia="Arial"/>
        </w:rPr>
        <w:t>Streamlit reruns the script after sidebar-widget interactions and after a committed radius expansion that requires additional population data. High-frequency map interactions are intentionally separated from Streamlit Session State: cumulative interval, dose range, browser-local radius preview, and zoom controls are owned by the persistent Leaflet frontend. This avoids rebuilding the map for each slider movement. Versioned widget keys remain important for controls whose Streamlit representation changed across releases.</w:t>
      </w:r>
    </w:p>
    <w:p>
      <w:pPr>
        <w:keepLines w:val="0"/>
      </w:pPr>
      <w:r>
        <w:rPr>
          <w:rFonts w:ascii="Arial" w:hAnsi="Arial" w:eastAsia="Arial"/>
        </w:rPr>
        <w:t>User settings are written atomically through a temporary file and replacement operation. The active uploaded workbook is copied into the package’s saved-data area. Site location is saved separately so a browser refresh or clean start can restore the accepted map click. Autosave is enabled only after the first complete render establishes an in-memory baseline, preventing startup alone from overwriting a previously stored setup.</w:t>
      </w:r>
    </w:p>
    <w:p>
      <w:pPr>
        <w:pStyle w:val="Heading2"/>
        <w:keepNext/>
      </w:pPr>
      <w:r>
        <w:rPr>
          <w:rFonts w:ascii="Arial" w:hAnsi="Arial" w:eastAsia="Arial"/>
        </w:rPr>
        <w:t>A.4 Population database build workflow</w:t>
      </w:r>
    </w:p>
    <w:p>
      <w:pPr>
        <w:pStyle w:val="ListNumber"/>
      </w:pPr>
      <w:r>
        <w:rPr>
          <w:rFonts w:ascii="Arial" w:hAnsi="Arial" w:eastAsia="Arial"/>
        </w:rPr>
        <w:t>Resolve the requested Census scope into source-area FIPS identifiers.</w:t>
      </w:r>
    </w:p>
    <w:p>
      <w:pPr>
        <w:pStyle w:val="ListNumber"/>
      </w:pPr>
      <w:r>
        <w:rPr>
          <w:rFonts w:ascii="Arial" w:hAnsi="Arial" w:eastAsia="Arial"/>
        </w:rPr>
        <w:t>Download each TABBLOCK20 ZIP with retries.</w:t>
      </w:r>
    </w:p>
    <w:p>
      <w:pPr>
        <w:pStyle w:val="ListNumber"/>
      </w:pPr>
      <w:r>
        <w:rPr>
          <w:rFonts w:ascii="Arial" w:hAnsi="Arial" w:eastAsia="Arial"/>
        </w:rPr>
        <w:t>Extract only the DBF member; polygon geometry is not loaded.</w:t>
      </w:r>
    </w:p>
    <w:p>
      <w:pPr>
        <w:pStyle w:val="ListNumber"/>
      </w:pPr>
      <w:r>
        <w:rPr>
          <w:rFonts w:ascii="Arial" w:hAnsi="Arial" w:eastAsia="Arial"/>
        </w:rPr>
        <w:t>Stream POP20, INTPTLAT20, and INTPTLON20 for occupied blocks.</w:t>
      </w:r>
    </w:p>
    <w:p>
      <w:pPr>
        <w:pStyle w:val="ListNumber"/>
      </w:pPr>
      <w:r>
        <w:rPr>
          <w:rFonts w:ascii="Arial" w:hAnsi="Arial" w:eastAsia="Arial"/>
        </w:rPr>
        <w:t>Compute grid indices at the selected nominal grid size and aggregate population with coordinate-weighted centroids.</w:t>
      </w:r>
    </w:p>
    <w:p>
      <w:pPr>
        <w:pStyle w:val="ListNumber"/>
      </w:pPr>
      <w:r>
        <w:rPr>
          <w:rFonts w:ascii="Arial" w:hAnsi="Arial" w:eastAsia="Arial"/>
        </w:rPr>
        <w:t>Write source-area aggregates into a resumable DuckDB staging database and mark completion.</w:t>
      </w:r>
    </w:p>
    <w:p>
      <w:pPr>
        <w:pStyle w:val="ListNumber"/>
      </w:pPr>
      <w:r>
        <w:rPr>
          <w:rFonts w:ascii="Arial" w:hAnsi="Arial" w:eastAsia="Arial"/>
        </w:rPr>
        <w:t>After all areas are staged, merge common grid cells nationally and export the SQLite runtime schema.</w:t>
      </w:r>
    </w:p>
    <w:p>
      <w:pPr>
        <w:pStyle w:val="ListNumber"/>
      </w:pPr>
      <w:r>
        <w:rPr>
          <w:rFonts w:ascii="Arial" w:hAnsi="Arial" w:eastAsia="Arial"/>
        </w:rPr>
        <w:t>Validate row count, population totals, coordinate bounds, metadata, and integrity.</w:t>
      </w:r>
    </w:p>
    <w:p>
      <w:pPr>
        <w:pStyle w:val="Heading2"/>
        <w:keepNext/>
      </w:pPr>
      <w:r>
        <w:rPr>
          <w:rFonts w:ascii="Arial" w:hAnsi="Arial" w:eastAsia="Arial"/>
        </w:rPr>
        <w:t>A.5 Report-generation workflow</w:t>
      </w:r>
    </w:p>
    <w:p>
      <w:pPr>
        <w:pStyle w:val="ListNumber"/>
      </w:pPr>
      <w:r>
        <w:rPr>
          <w:rFonts w:ascii="Arial" w:hAnsi="Arial" w:eastAsia="Arial"/>
        </w:rPr>
        <w:t>Define a fixed rectangular export canvas centered on the site with known pixel and geographic dimensions.</w:t>
      </w:r>
    </w:p>
    <w:p>
      <w:pPr>
        <w:pStyle w:val="ListNumber"/>
      </w:pPr>
      <w:r>
        <w:rPr>
          <w:rFonts w:ascii="Arial" w:hAnsi="Arial" w:eastAsia="Arial"/>
        </w:rPr>
        <w:t>Capture/render the native map layer into that frame.</w:t>
      </w:r>
    </w:p>
    <w:p>
      <w:pPr>
        <w:pStyle w:val="ListNumber"/>
      </w:pPr>
      <w:r>
        <w:rPr>
          <w:rFonts w:ascii="Arial" w:hAnsi="Arial" w:eastAsia="Arial"/>
        </w:rPr>
        <w:t>Render the radiological field and technical vectors into overlays with the same dimensions and transform.</w:t>
      </w:r>
    </w:p>
    <w:p>
      <w:pPr>
        <w:pStyle w:val="ListNumber"/>
      </w:pPr>
      <w:r>
        <w:rPr>
          <w:rFonts w:ascii="Arial" w:hAnsi="Arial" w:eastAsia="Arial"/>
        </w:rPr>
        <w:t>Apply an opaque white mask with a transparent circular viewport approximately 5% larger than the analysis radius.</w:t>
      </w:r>
    </w:p>
    <w:p>
      <w:pPr>
        <w:pStyle w:val="ListNumber"/>
      </w:pPr>
      <w:r>
        <w:rPr>
          <w:rFonts w:ascii="Arial" w:hAnsi="Arial" w:eastAsia="Arial"/>
        </w:rPr>
        <w:t>Draw the analysis-radius circle, selected-pathway line, and site marker in the common coordinate frame.</w:t>
      </w:r>
    </w:p>
    <w:p>
      <w:pPr>
        <w:pStyle w:val="ListNumber"/>
      </w:pPr>
      <w:r>
        <w:rPr>
          <w:rFonts w:ascii="Arial" w:hAnsi="Arial" w:eastAsia="Arial"/>
        </w:rPr>
        <w:t>Flatten the registered layers into one map image.</w:t>
      </w:r>
    </w:p>
    <w:p>
      <w:pPr>
        <w:pStyle w:val="ListNumber"/>
      </w:pPr>
      <w:r>
        <w:rPr>
          <w:rFonts w:ascii="Arial" w:hAnsi="Arial" w:eastAsia="Arial"/>
        </w:rPr>
        <w:t>Place the map image, legend, analysis tiles, source workbook, and footer on one portrait letter page.</w:t>
      </w:r>
    </w:p>
    <w:p>
      <w:pPr>
        <w:pStyle w:val="Heading2"/>
        <w:keepNext/>
      </w:pPr>
      <w:r>
        <w:rPr>
          <w:rFonts w:ascii="Arial" w:hAnsi="Arial" w:eastAsia="Arial"/>
        </w:rPr>
        <w:t>A.6 Extension points</w:t>
      </w:r>
    </w:p>
    <w:p>
      <w:pPr>
        <w:keepLines w:val="0"/>
      </w:pPr>
      <w:r>
        <w:rPr>
          <w:rFonts w:ascii="Arial" w:hAnsi="Arial" w:eastAsia="Arial"/>
        </w:rPr>
        <w:t>The modular architecture permits replacement of individual analytical components. A production atmospheric model could replace sigma-y and synthetic meteorology while retaining workbook parsing, population querying, pathway scoring, and output workflows. A higher-fidelity population representation could replace the grid database without changing the workbook reader. A server-side static mapping backend could replace browser-based map rendering while retaining the report payload and compositing design.</w:t>
      </w:r>
    </w:p>
    <w:p>
      <w:pPr>
        <w:pStyle w:val="Heading1"/>
        <w:keepNext/>
      </w:pPr>
      <w:r>
        <w:rPr>
          <w:rFonts w:ascii="Arial" w:hAnsi="Arial" w:eastAsia="Arial"/>
        </w:rPr>
        <w:t>Appendix B. Input and Output Data Structures</w:t>
      </w:r>
    </w:p>
    <w:p>
      <w:pPr>
        <w:pStyle w:val="Heading2"/>
        <w:keepNext/>
      </w:pPr>
      <w:r>
        <w:rPr>
          <w:rFonts w:ascii="Arial" w:hAnsi="Arial" w:eastAsia="Arial"/>
        </w:rPr>
        <w:t>B.1 Population database schema</w:t>
      </w:r>
    </w:p>
    <w:p>
      <w:pPr>
        <w:pStyle w:val="IntenseQuote"/>
      </w:pPr>
      <w:r>
        <w:rPr>
          <w:rFonts w:ascii="Arial" w:hAnsi="Arial" w:eastAsia="Arial"/>
        </w:rPr>
        <w:t>population_cells(</w:t>
        <w:br/>
        <w:t xml:space="preserve">    cell_id INTEGER PRIMARY KEY,</w:t>
        <w:br/>
        <w:t xml:space="preserve">    latitude REAL,</w:t>
        <w:br/>
        <w:t xml:space="preserve">    longitude REAL,</w:t>
        <w:br/>
        <w:t xml:space="preserve">    population INTEGER</w:t>
        <w:br/>
        <w:t>)</w:t>
      </w:r>
    </w:p>
    <w:p>
      <w:pPr>
        <w:keepLines w:val="0"/>
      </w:pPr>
      <w:r>
        <w:rPr>
          <w:rFonts w:ascii="Arial" w:hAnsi="Arial" w:eastAsia="Arial"/>
        </w:rPr>
        <w:t>Metadata and build-progress tables may also be present in production databases and staging files, but the runtime query depends on population_cells.</w:t>
      </w:r>
    </w:p>
    <w:p>
      <w:pPr>
        <w:pStyle w:val="Heading2"/>
        <w:keepNext/>
      </w:pPr>
      <w:r>
        <w:rPr>
          <w:rFonts w:ascii="Arial" w:hAnsi="Arial" w:eastAsia="Arial"/>
        </w:rPr>
        <w:t>B.2 FlarePlumeCase fields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9EAF7"/>
            <w:vAlign w:val="center"/>
          </w:tcPr>
          <w:p>
            <w:r>
              <w:rPr>
                <w:b/>
              </w:rPr>
              <w:t>Field</w:t>
            </w:r>
          </w:p>
        </w:tc>
        <w:tc>
          <w:tcPr>
            <w:tcW w:type="dxa" w:w="5083"/>
            <w:shd w:fill="D9EAF7"/>
            <w:vAlign w:val="center"/>
          </w:tcPr>
          <w:p>
            <w:r>
              <w:rPr>
                <w:b/>
              </w:rPr>
              <w:t>Description</w:t>
            </w:r>
          </w:p>
        </w:tc>
      </w:tr>
      <w:tr>
        <w:trPr>
          <w:cantSplit/>
        </w:trPr>
        <w:tc>
          <w:tcPr>
            <w:tcW w:type="dxa" w:w="5083"/>
            <w:vAlign w:val="top"/>
            <w:tcMar>
              <w:top w:w="80" w:type="dxa"/>
              <w:start w:w="100" w:type="dxa"/>
              <w:bottom w:w="80" w:type="dxa"/>
              <w:end w:w="100" w:type="dxa"/>
            </w:tcMar>
          </w:tcPr>
          <w:p>
            <w:r>
              <w:t>dispersion</w:t>
            </w:r>
          </w:p>
        </w:tc>
        <w:tc>
          <w:tcPr>
            <w:tcW w:type="dxa" w:w="5083"/>
            <w:vAlign w:val="top"/>
            <w:tcMar>
              <w:top w:w="80" w:type="dxa"/>
              <w:start w:w="100" w:type="dxa"/>
              <w:bottom w:w="80" w:type="dxa"/>
              <w:end w:w="100" w:type="dxa"/>
            </w:tcMar>
          </w:tcPr>
          <w:p>
            <w:r>
              <w:t>DispersionInputs: stability class, wind speed, release height, and release duration.</w:t>
            </w:r>
          </w:p>
        </w:tc>
      </w:tr>
      <w:tr>
        <w:trPr>
          <w:cantSplit/>
        </w:trPr>
        <w:tc>
          <w:tcPr>
            <w:tcW w:type="dxa" w:w="5083"/>
            <w:vAlign w:val="top"/>
            <w:tcMar>
              <w:top w:w="80" w:type="dxa"/>
              <w:start w:w="100" w:type="dxa"/>
              <w:bottom w:w="80" w:type="dxa"/>
              <w:end w:w="100" w:type="dxa"/>
            </w:tcMar>
          </w:tcPr>
          <w:p>
            <w:r>
              <w:t>eab_curve / lpz_curve</w:t>
            </w:r>
          </w:p>
        </w:tc>
        <w:tc>
          <w:tcPr>
            <w:tcW w:type="dxa" w:w="5083"/>
            <w:vAlign w:val="top"/>
            <w:tcMar>
              <w:top w:w="80" w:type="dxa"/>
              <w:start w:w="100" w:type="dxa"/>
              <w:bottom w:w="80" w:type="dxa"/>
              <w:end w:w="100" w:type="dxa"/>
            </w:tcMar>
          </w:tcPr>
          <w:p>
            <w:r>
              <w:t>DoseCurve objects for EAB- and LPZ-interval centerline TEDE.</w:t>
            </w:r>
          </w:p>
        </w:tc>
      </w:tr>
      <w:tr>
        <w:trPr>
          <w:cantSplit/>
        </w:trPr>
        <w:tc>
          <w:tcPr>
            <w:tcW w:type="dxa" w:w="5083"/>
            <w:vAlign w:val="top"/>
            <w:tcMar>
              <w:top w:w="80" w:type="dxa"/>
              <w:start w:w="100" w:type="dxa"/>
              <w:bottom w:w="80" w:type="dxa"/>
              <w:end w:w="100" w:type="dxa"/>
            </w:tcMar>
          </w:tcPr>
          <w:p>
            <w:r>
              <w:t>eab_distance_m / lpz_distance_m</w:t>
            </w:r>
          </w:p>
        </w:tc>
        <w:tc>
          <w:tcPr>
            <w:tcW w:type="dxa" w:w="5083"/>
            <w:vAlign w:val="top"/>
            <w:tcMar>
              <w:top w:w="80" w:type="dxa"/>
              <w:start w:w="100" w:type="dxa"/>
              <w:bottom w:w="80" w:type="dxa"/>
              <w:end w:w="100" w:type="dxa"/>
            </w:tcMar>
          </w:tcPr>
          <w:p>
            <w:r>
              <w:t>Workbook distances.</w:t>
            </w:r>
          </w:p>
        </w:tc>
      </w:tr>
      <w:tr>
        <w:trPr>
          <w:cantSplit/>
        </w:trPr>
        <w:tc>
          <w:tcPr>
            <w:tcW w:type="dxa" w:w="5083"/>
            <w:vAlign w:val="top"/>
            <w:tcMar>
              <w:top w:w="80" w:type="dxa"/>
              <w:start w:w="100" w:type="dxa"/>
              <w:bottom w:w="80" w:type="dxa"/>
              <w:end w:w="100" w:type="dxa"/>
            </w:tcMar>
          </w:tcPr>
          <w:p>
            <w:r>
              <w:t>gap_duration_hr / early_duration_hr</w:t>
            </w:r>
          </w:p>
        </w:tc>
        <w:tc>
          <w:tcPr>
            <w:tcW w:type="dxa" w:w="5083"/>
            <w:vAlign w:val="top"/>
            <w:tcMar>
              <w:top w:w="80" w:type="dxa"/>
              <w:start w:w="100" w:type="dxa"/>
              <w:bottom w:w="80" w:type="dxa"/>
              <w:end w:w="100" w:type="dxa"/>
            </w:tcMar>
          </w:tcPr>
          <w:p>
            <w:r>
              <w:t>Release durations.</w:t>
            </w:r>
          </w:p>
        </w:tc>
      </w:tr>
      <w:tr>
        <w:trPr>
          <w:cantSplit/>
        </w:trPr>
        <w:tc>
          <w:tcPr>
            <w:tcW w:type="dxa" w:w="5083"/>
            <w:vAlign w:val="top"/>
            <w:tcMar>
              <w:top w:w="80" w:type="dxa"/>
              <w:start w:w="100" w:type="dxa"/>
              <w:bottom w:w="80" w:type="dxa"/>
              <w:end w:w="100" w:type="dxa"/>
            </w:tcMar>
          </w:tcPr>
          <w:p>
            <w:r>
              <w:t>eab_integration_hr / lpz_integration_hr</w:t>
            </w:r>
          </w:p>
        </w:tc>
        <w:tc>
          <w:tcPr>
            <w:tcW w:type="dxa" w:w="5083"/>
            <w:vAlign w:val="top"/>
            <w:tcMar>
              <w:top w:w="80" w:type="dxa"/>
              <w:start w:w="100" w:type="dxa"/>
              <w:bottom w:w="80" w:type="dxa"/>
              <w:end w:w="100" w:type="dxa"/>
            </w:tcMar>
          </w:tcPr>
          <w:p>
            <w:r>
              <w:t>Cumulative time anchors.</w:t>
            </w:r>
          </w:p>
        </w:tc>
      </w:tr>
      <w:tr>
        <w:trPr>
          <w:cantSplit/>
        </w:trPr>
        <w:tc>
          <w:tcPr>
            <w:tcW w:type="dxa" w:w="5083"/>
            <w:vAlign w:val="top"/>
            <w:tcMar>
              <w:top w:w="80" w:type="dxa"/>
              <w:start w:w="100" w:type="dxa"/>
              <w:bottom w:w="80" w:type="dxa"/>
              <w:end w:w="100" w:type="dxa"/>
            </w:tcMar>
          </w:tcPr>
          <w:p>
            <w:r>
              <w:t>release_groups</w:t>
            </w:r>
          </w:p>
        </w:tc>
        <w:tc>
          <w:tcPr>
            <w:tcW w:type="dxa" w:w="5083"/>
            <w:vAlign w:val="top"/>
            <w:tcMar>
              <w:top w:w="80" w:type="dxa"/>
              <w:start w:w="100" w:type="dxa"/>
              <w:bottom w:w="80" w:type="dxa"/>
              <w:end w:w="100" w:type="dxa"/>
            </w:tcMar>
          </w:tcPr>
          <w:p>
            <w:r>
              <w:t>Source-term release groups.</w:t>
            </w:r>
          </w:p>
        </w:tc>
      </w:tr>
      <w:tr>
        <w:trPr>
          <w:cantSplit/>
        </w:trPr>
        <w:tc>
          <w:tcPr>
            <w:tcW w:type="dxa" w:w="5083"/>
            <w:vAlign w:val="top"/>
            <w:tcMar>
              <w:top w:w="80" w:type="dxa"/>
              <w:start w:w="100" w:type="dxa"/>
              <w:bottom w:w="80" w:type="dxa"/>
              <w:end w:w="100" w:type="dxa"/>
            </w:tcMar>
          </w:tcPr>
          <w:p>
            <w:r>
              <w:t>source_path</w:t>
            </w:r>
          </w:p>
        </w:tc>
        <w:tc>
          <w:tcPr>
            <w:tcW w:type="dxa" w:w="5083"/>
            <w:vAlign w:val="top"/>
            <w:tcMar>
              <w:top w:w="80" w:type="dxa"/>
              <w:start w:w="100" w:type="dxa"/>
              <w:bottom w:w="80" w:type="dxa"/>
              <w:end w:w="100" w:type="dxa"/>
            </w:tcMar>
          </w:tcPr>
          <w:p>
            <w:r>
              <w:t>Path to the active workbook copy.</w:t>
            </w:r>
          </w:p>
        </w:tc>
      </w:tr>
    </w:tbl>
    <w:p/>
    <w:p>
      <w:pPr>
        <w:pStyle w:val="Heading2"/>
        <w:keepNext/>
      </w:pPr>
      <w:r>
        <w:rPr>
          <w:rFonts w:ascii="Arial" w:hAnsi="Arial" w:eastAsia="Arial"/>
        </w:rPr>
        <w:t>B.3 ConsequenceResult fields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9EAF7"/>
            <w:vAlign w:val="center"/>
          </w:tcPr>
          <w:p>
            <w:r>
              <w:rPr>
                <w:b/>
              </w:rPr>
              <w:t>Field</w:t>
            </w:r>
          </w:p>
        </w:tc>
        <w:tc>
          <w:tcPr>
            <w:tcW w:type="dxa" w:w="5083"/>
            <w:shd w:fill="D9EAF7"/>
            <w:vAlign w:val="center"/>
          </w:tcPr>
          <w:p>
            <w:r>
              <w:rPr>
                <w:b/>
              </w:rPr>
              <w:t>Description</w:t>
            </w:r>
          </w:p>
        </w:tc>
      </w:tr>
      <w:tr>
        <w:trPr>
          <w:cantSplit/>
        </w:trPr>
        <w:tc>
          <w:tcPr>
            <w:tcW w:type="dxa" w:w="5083"/>
            <w:vAlign w:val="top"/>
            <w:tcMar>
              <w:top w:w="80" w:type="dxa"/>
              <w:start w:w="100" w:type="dxa"/>
              <w:bottom w:w="80" w:type="dxa"/>
              <w:end w:w="100" w:type="dxa"/>
            </w:tcMar>
          </w:tcPr>
          <w:p>
            <w:r>
              <w:t>east_m / north_m</w:t>
            </w:r>
          </w:p>
        </w:tc>
        <w:tc>
          <w:tcPr>
            <w:tcW w:type="dxa" w:w="5083"/>
            <w:vAlign w:val="top"/>
            <w:tcMar>
              <w:top w:w="80" w:type="dxa"/>
              <w:start w:w="100" w:type="dxa"/>
              <w:bottom w:w="80" w:type="dxa"/>
              <w:end w:w="100" w:type="dxa"/>
            </w:tcMar>
          </w:tcPr>
          <w:p>
            <w:r>
              <w:t>Cartesian field grids centered on the site.</w:t>
            </w:r>
          </w:p>
        </w:tc>
      </w:tr>
      <w:tr>
        <w:trPr>
          <w:cantSplit/>
        </w:trPr>
        <w:tc>
          <w:tcPr>
            <w:tcW w:type="dxa" w:w="5083"/>
            <w:vAlign w:val="top"/>
            <w:tcMar>
              <w:top w:w="80" w:type="dxa"/>
              <w:start w:w="100" w:type="dxa"/>
              <w:bottom w:w="80" w:type="dxa"/>
              <w:end w:w="100" w:type="dxa"/>
            </w:tcMar>
          </w:tcPr>
          <w:p>
            <w:r>
              <w:t>cumulative_field</w:t>
            </w:r>
          </w:p>
        </w:tc>
        <w:tc>
          <w:tcPr>
            <w:tcW w:type="dxa" w:w="5083"/>
            <w:vAlign w:val="top"/>
            <w:tcMar>
              <w:top w:w="80" w:type="dxa"/>
              <w:start w:w="100" w:type="dxa"/>
              <w:bottom w:w="80" w:type="dxa"/>
              <w:end w:w="100" w:type="dxa"/>
            </w:tcMar>
          </w:tcPr>
          <w:p>
            <w:r>
              <w:t>Selected cumulative frame.</w:t>
            </w:r>
          </w:p>
        </w:tc>
      </w:tr>
      <w:tr>
        <w:trPr>
          <w:cantSplit/>
        </w:trPr>
        <w:tc>
          <w:tcPr>
            <w:tcW w:type="dxa" w:w="5083"/>
            <w:vAlign w:val="top"/>
            <w:tcMar>
              <w:top w:w="80" w:type="dxa"/>
              <w:start w:w="100" w:type="dxa"/>
              <w:bottom w:w="80" w:type="dxa"/>
              <w:end w:w="100" w:type="dxa"/>
            </w:tcMar>
          </w:tcPr>
          <w:p>
            <w:r>
              <w:t>incremental_field</w:t>
            </w:r>
          </w:p>
        </w:tc>
        <w:tc>
          <w:tcPr>
            <w:tcW w:type="dxa" w:w="5083"/>
            <w:vAlign w:val="top"/>
            <w:tcMar>
              <w:top w:w="80" w:type="dxa"/>
              <w:start w:w="100" w:type="dxa"/>
              <w:bottom w:w="80" w:type="dxa"/>
              <w:end w:w="100" w:type="dxa"/>
            </w:tcMar>
          </w:tcPr>
          <w:p>
            <w:r>
              <w:t>Increment associated with the displayed step.</w:t>
            </w:r>
          </w:p>
        </w:tc>
      </w:tr>
      <w:tr>
        <w:trPr>
          <w:cantSplit/>
        </w:trPr>
        <w:tc>
          <w:tcPr>
            <w:tcW w:type="dxa" w:w="5083"/>
            <w:vAlign w:val="top"/>
            <w:tcMar>
              <w:top w:w="80" w:type="dxa"/>
              <w:start w:w="100" w:type="dxa"/>
              <w:bottom w:w="80" w:type="dxa"/>
              <w:end w:w="100" w:type="dxa"/>
            </w:tcMar>
          </w:tcPr>
          <w:p>
            <w:r>
              <w:t>cumulative_fields</w:t>
            </w:r>
          </w:p>
        </w:tc>
        <w:tc>
          <w:tcPr>
            <w:tcW w:type="dxa" w:w="5083"/>
            <w:vAlign w:val="top"/>
            <w:tcMar>
              <w:top w:w="80" w:type="dxa"/>
              <w:start w:w="100" w:type="dxa"/>
              <w:bottom w:w="80" w:type="dxa"/>
              <w:end w:w="100" w:type="dxa"/>
            </w:tcMar>
          </w:tcPr>
          <w:p>
            <w:r>
              <w:t>All precomputed cumulative frames.</w:t>
            </w:r>
          </w:p>
        </w:tc>
      </w:tr>
      <w:tr>
        <w:trPr>
          <w:cantSplit/>
        </w:trPr>
        <w:tc>
          <w:tcPr>
            <w:tcW w:type="dxa" w:w="5083"/>
            <w:vAlign w:val="top"/>
            <w:tcMar>
              <w:top w:w="80" w:type="dxa"/>
              <w:start w:w="100" w:type="dxa"/>
              <w:bottom w:w="80" w:type="dxa"/>
              <w:end w:w="100" w:type="dxa"/>
            </w:tcMar>
          </w:tcPr>
          <w:p>
            <w:r>
              <w:t>steps</w:t>
            </w:r>
          </w:p>
        </w:tc>
        <w:tc>
          <w:tcPr>
            <w:tcW w:type="dxa" w:w="5083"/>
            <w:vAlign w:val="top"/>
            <w:tcMar>
              <w:top w:w="80" w:type="dxa"/>
              <w:start w:w="100" w:type="dxa"/>
              <w:bottom w:w="80" w:type="dxa"/>
              <w:end w:w="100" w:type="dxa"/>
            </w:tcMar>
          </w:tcPr>
          <w:p>
            <w:r>
              <w:t>Interval meteorology and interpolation metadata.</w:t>
            </w:r>
          </w:p>
        </w:tc>
      </w:tr>
      <w:tr>
        <w:trPr>
          <w:cantSplit/>
        </w:trPr>
        <w:tc>
          <w:tcPr>
            <w:tcW w:type="dxa" w:w="5083"/>
            <w:vAlign w:val="top"/>
            <w:tcMar>
              <w:top w:w="80" w:type="dxa"/>
              <w:start w:w="100" w:type="dxa"/>
              <w:bottom w:w="80" w:type="dxa"/>
              <w:end w:w="100" w:type="dxa"/>
            </w:tcMar>
          </w:tcPr>
          <w:p>
            <w:r>
              <w:t>displayed_step</w:t>
            </w:r>
          </w:p>
        </w:tc>
        <w:tc>
          <w:tcPr>
            <w:tcW w:type="dxa" w:w="5083"/>
            <w:vAlign w:val="top"/>
            <w:tcMar>
              <w:top w:w="80" w:type="dxa"/>
              <w:start w:w="100" w:type="dxa"/>
              <w:bottom w:w="80" w:type="dxa"/>
              <w:end w:w="100" w:type="dxa"/>
            </w:tcMar>
          </w:tcPr>
          <w:p>
            <w:r>
              <w:t>Selected interval index.</w:t>
            </w:r>
          </w:p>
        </w:tc>
      </w:tr>
      <w:tr>
        <w:trPr>
          <w:cantSplit/>
        </w:trPr>
        <w:tc>
          <w:tcPr>
            <w:tcW w:type="dxa" w:w="5083"/>
            <w:vAlign w:val="top"/>
            <w:tcMar>
              <w:top w:w="80" w:type="dxa"/>
              <w:start w:w="100" w:type="dxa"/>
              <w:bottom w:w="80" w:type="dxa"/>
              <w:end w:w="100" w:type="dxa"/>
            </w:tcMar>
          </w:tcPr>
          <w:p>
            <w:r>
              <w:t>maximum_value</w:t>
            </w:r>
          </w:p>
        </w:tc>
        <w:tc>
          <w:tcPr>
            <w:tcW w:type="dxa" w:w="5083"/>
            <w:vAlign w:val="top"/>
            <w:tcMar>
              <w:top w:w="80" w:type="dxa"/>
              <w:start w:w="100" w:type="dxa"/>
              <w:bottom w:w="80" w:type="dxa"/>
              <w:end w:w="100" w:type="dxa"/>
            </w:tcMar>
          </w:tcPr>
          <w:p>
            <w:r>
              <w:t>Maximum in the selected frame.</w:t>
            </w:r>
          </w:p>
        </w:tc>
      </w:tr>
      <w:tr>
        <w:trPr>
          <w:cantSplit/>
        </w:trPr>
        <w:tc>
          <w:tcPr>
            <w:tcW w:type="dxa" w:w="5083"/>
            <w:vAlign w:val="top"/>
            <w:tcMar>
              <w:top w:w="80" w:type="dxa"/>
              <w:start w:w="100" w:type="dxa"/>
              <w:bottom w:w="80" w:type="dxa"/>
              <w:end w:w="100" w:type="dxa"/>
            </w:tcMar>
          </w:tcPr>
          <w:p>
            <w:r>
              <w:t>scale_maximum</w:t>
            </w:r>
          </w:p>
        </w:tc>
        <w:tc>
          <w:tcPr>
            <w:tcW w:type="dxa" w:w="5083"/>
            <w:vAlign w:val="top"/>
            <w:tcMar>
              <w:top w:w="80" w:type="dxa"/>
              <w:start w:w="100" w:type="dxa"/>
              <w:bottom w:w="80" w:type="dxa"/>
              <w:end w:w="100" w:type="dxa"/>
            </w:tcMar>
          </w:tcPr>
          <w:p>
            <w:r>
              <w:t>Reference scale maximum; final maximum for normalized deposition and model maximum for airborne consequence object.</w:t>
            </w:r>
          </w:p>
        </w:tc>
      </w:tr>
      <w:tr>
        <w:trPr>
          <w:cantSplit/>
        </w:trPr>
        <w:tc>
          <w:tcPr>
            <w:tcW w:type="dxa" w:w="5083"/>
            <w:vAlign w:val="top"/>
            <w:tcMar>
              <w:top w:w="80" w:type="dxa"/>
              <w:start w:w="100" w:type="dxa"/>
              <w:bottom w:w="80" w:type="dxa"/>
              <w:end w:w="100" w:type="dxa"/>
            </w:tcMar>
          </w:tcPr>
          <w:p>
            <w:r>
              <w:t>units / title</w:t>
            </w:r>
          </w:p>
        </w:tc>
        <w:tc>
          <w:tcPr>
            <w:tcW w:type="dxa" w:w="5083"/>
            <w:vAlign w:val="top"/>
            <w:tcMar>
              <w:top w:w="80" w:type="dxa"/>
              <w:start w:w="100" w:type="dxa"/>
              <w:bottom w:w="80" w:type="dxa"/>
              <w:end w:w="100" w:type="dxa"/>
            </w:tcMar>
          </w:tcPr>
          <w:p>
            <w:r>
              <w:t>Legend and display metadata.</w:t>
            </w:r>
          </w:p>
        </w:tc>
      </w:tr>
    </w:tbl>
    <w:p/>
    <w:p>
      <w:pPr>
        <w:pStyle w:val="Heading1"/>
        <w:keepNext/>
      </w:pPr>
      <w:r>
        <w:rPr>
          <w:rFonts w:ascii="Arial" w:hAnsi="Arial" w:eastAsia="Arial"/>
        </w:rPr>
        <w:t>Appendix C. Model Assumptions and Limitations</w:t>
      </w:r>
    </w:p>
    <w:p>
      <w:pPr>
        <w:pStyle w:val="ListBullet"/>
      </w:pPr>
      <w:r>
        <w:rPr>
          <w:rFonts w:ascii="Arial" w:hAnsi="Arial" w:eastAsia="Arial"/>
        </w:rPr>
        <w:t>The map preserves FLARE/NOTBADTRAD centerline dose but adds a reduced-order lateral model; it does not reproduce a full regulatory atmospheric-dispersion code.</w:t>
      </w:r>
    </w:p>
    <w:p>
      <w:pPr>
        <w:pStyle w:val="ListBullet"/>
      </w:pPr>
      <w:r>
        <w:rPr>
          <w:rFonts w:ascii="Arial" w:hAnsi="Arial" w:eastAsia="Arial"/>
        </w:rPr>
        <w:t>The rural Pasquill-Gifford/Turner correlation is applied without terrain, building-wake, precipitation, dry/wet deposition physics, vertical concentration profile, plume rise, or site-specific roughness treatment.</w:t>
      </w:r>
    </w:p>
    <w:p>
      <w:pPr>
        <w:pStyle w:val="ListBullet"/>
      </w:pPr>
      <w:r>
        <w:rPr>
          <w:rFonts w:ascii="Arial" w:hAnsi="Arial" w:eastAsia="Arial"/>
        </w:rPr>
        <w:t>Release height is read but is not used in a vertical transport calculation in the current lateral model.</w:t>
      </w:r>
    </w:p>
    <w:p>
      <w:pPr>
        <w:pStyle w:val="ListBullet"/>
      </w:pPr>
      <w:r>
        <w:rPr>
          <w:rFonts w:ascii="Arial" w:hAnsi="Arial" w:eastAsia="Arial"/>
        </w:rPr>
        <w:t>The better-estimate meteorology is deterministic and synthetic, not a sampled or observed weather sequence.</w:t>
      </w:r>
    </w:p>
    <w:p>
      <w:pPr>
        <w:pStyle w:val="ListBullet"/>
      </w:pPr>
      <w:r>
        <w:rPr>
          <w:rFonts w:ascii="Arial" w:hAnsi="Arial" w:eastAsia="Arial"/>
        </w:rPr>
        <w:t>The conservative scenario is conservative with respect to maintaining the predominant pathway, not a universal bounding meteorological analysis.</w:t>
      </w:r>
    </w:p>
    <w:p>
      <w:pPr>
        <w:pStyle w:val="ListBullet"/>
      </w:pPr>
      <w:r>
        <w:rPr>
          <w:rFonts w:ascii="Arial" w:hAnsi="Arial" w:eastAsia="Arial"/>
        </w:rPr>
        <w:t>The EAB-to-LPZ interpolation is a front-loaded surrogate; intermediate fields are not independent FLARE dose calculations.</w:t>
      </w:r>
    </w:p>
    <w:p>
      <w:pPr>
        <w:pStyle w:val="ListBullet"/>
      </w:pPr>
      <w:r>
        <w:rPr>
          <w:rFonts w:ascii="Arial" w:hAnsi="Arial" w:eastAsia="Arial"/>
        </w:rPr>
        <w:t>Ground deposition is relative and normalized. It is not an absolute contamination prediction.</w:t>
      </w:r>
    </w:p>
    <w:p>
      <w:pPr>
        <w:pStyle w:val="ListBullet"/>
      </w:pPr>
      <w:r>
        <w:rPr>
          <w:rFonts w:ascii="Arial" w:hAnsi="Arial" w:eastAsia="Arial"/>
        </w:rPr>
        <w:t>Population is represented by occupied grid cells derived from Census internal points. It does not model transient population, evacuation, sheltering, occupancy factors, or demographic vulnerability.</w:t>
      </w:r>
    </w:p>
    <w:p>
      <w:pPr>
        <w:pStyle w:val="ListBullet"/>
      </w:pPr>
      <w:r>
        <w:rPr>
          <w:rFonts w:ascii="Arial" w:hAnsi="Arial" w:eastAsia="Arial"/>
        </w:rPr>
        <w:t>The local east/north approximation is not a global geodesic projection and should be reviewed for very large radii or high-latitude use.</w:t>
      </w:r>
    </w:p>
    <w:p>
      <w:pPr>
        <w:pStyle w:val="ListBullet"/>
      </w:pPr>
      <w:r>
        <w:rPr>
          <w:rFonts w:ascii="Arial" w:hAnsi="Arial" w:eastAsia="Arial"/>
        </w:rPr>
        <w:t>Changing the dose-range minimum changes both visualization and population counting. Changing the maximum changes visualization but not the inclusion threshold.</w:t>
      </w:r>
    </w:p>
    <w:p>
      <w:pPr>
        <w:pStyle w:val="ListBullet"/>
      </w:pPr>
      <w:r>
        <w:rPr>
          <w:rFonts w:ascii="Arial" w:hAnsi="Arial" w:eastAsia="Arial"/>
        </w:rPr>
        <w:t>Pathway searches are discrete at one-degree resolution in the interface.</w:t>
      </w:r>
    </w:p>
    <w:p>
      <w:pPr>
        <w:pStyle w:val="ListBullet"/>
      </w:pPr>
      <w:r>
        <w:rPr>
          <w:rFonts w:ascii="Arial" w:hAnsi="Arial" w:eastAsia="Arial"/>
        </w:rPr>
        <w:t>The demonstration database is synthetic and must not be used as a national population basis.</w:t>
      </w:r>
    </w:p>
    <w:p>
      <w:pPr>
        <w:pStyle w:val="ListBullet"/>
      </w:pPr>
      <w:r>
        <w:rPr>
          <w:rFonts w:ascii="Arial" w:hAnsi="Arial" w:eastAsia="Arial"/>
        </w:rPr>
        <w:t>Outputs should be identified as FLARE Population Map screening results and should retain the source workbook, selected settings, and model-use note.</w:t>
      </w:r>
    </w:p>
    <w:p>
      <w:pPr>
        <w:pStyle w:val="ListBullet"/>
      </w:pPr>
      <w:r>
        <w:rPr>
          <w:rFonts w:ascii="Arial" w:hAnsi="Arial" w:eastAsia="Arial"/>
        </w:rPr>
        <w:t>The interactive cumulative-interval and dose-range controls operate in the browser and therefore do not invoke a new FLARE/NOTBADTRAD calculation. Radius expansion beyond the loaded extent does require a new population query and consequence-field construction.</w:t>
      </w:r>
    </w:p>
    <w:p>
      <w:pPr>
        <w:pStyle w:val="Heading2"/>
        <w:keepNext/>
      </w:pPr>
      <w:r>
        <w:rPr>
          <w:rFonts w:ascii="Arial" w:hAnsi="Arial" w:eastAsia="Arial"/>
        </w:rPr>
        <w:t>C.1 Minimum documentation for a retained result</w:t>
      </w:r>
    </w:p>
    <w:p>
      <w:pPr>
        <w:keepLines w:val="0"/>
      </w:pPr>
      <w:r>
        <w:rPr>
          <w:rFonts w:ascii="Arial" w:hAnsi="Arial" w:eastAsia="Arial"/>
        </w:rPr>
        <w:t>A retained figure or dataset should record, at minimum: source workbook; software/package version; population database; site coordinates; analysis radius; radiological layer; pathway criterion and selected bearing; meteorological scenario; cumulative interval and elapsed time; dose range; deposition group where applicable; population above threshold; and whether the result is from the PDF or workbook export. The one-page PDF captures most of these items automatically.</w:t>
      </w: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7"/>
      </w:rPr>
      <w:t>FLARE Population Map — User and Technical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E875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E875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b w:val="0"/>
      <w:i/>
      <w:iCs/>
      <w:color w:val="555555"/>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FLARE Population Map User and Technical Manual</dc:title>
  <dc:subject>User guidance, analytical theory, installation, interface controls, and code design</dc:subject>
  <dc:creator>FLARE Project</dc:creator>
  <cp:keywords>FLARE, population map, NOTBADTRAD, dose, deposition, Streamlit</cp:keywords>
  <dc:description>generated by python-docx</dc:description>
  <cp:lastModifiedBy/>
  <cp:revision>1</cp:revision>
  <dcterms:created xsi:type="dcterms:W3CDTF">2013-12-23T23:15:00Z</dcterms:created>
  <dcterms:modified xsi:type="dcterms:W3CDTF">2013-12-23T23:15:00Z</dcterms:modified>
  <cp:category/>
</cp:coreProperties>
</file>