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D26F" w14:textId="77777777" w:rsidR="000F504F" w:rsidRDefault="00000000">
      <w:pPr>
        <w:pStyle w:val="Title"/>
      </w:pPr>
      <w:r>
        <w:t>FLARE Code Theory Manual</w:t>
      </w:r>
    </w:p>
    <w:p w14:paraId="1700D8AC" w14:textId="77777777" w:rsidR="000F504F" w:rsidRDefault="00000000">
      <w:pPr>
        <w:pStyle w:val="Subtitle"/>
      </w:pPr>
      <w:r>
        <w:t>Fast Licensing Accident Response Engine</w:t>
      </w:r>
    </w:p>
    <w:p w14:paraId="16850AFD" w14:textId="77777777" w:rsidR="000F504F" w:rsidRDefault="00000000">
      <w:pPr>
        <w:pStyle w:val="Author"/>
      </w:pPr>
      <w:r>
        <w:t>Robert P. Martin</w:t>
      </w:r>
    </w:p>
    <w:p w14:paraId="090350D9" w14:textId="0B71ECFA" w:rsidR="000F504F" w:rsidRDefault="00000000">
      <w:pPr>
        <w:pStyle w:val="Date"/>
      </w:pPr>
      <w:r>
        <w:t xml:space="preserve">Revision </w:t>
      </w:r>
      <w:r w:rsidR="00413995">
        <w:t>1</w:t>
      </w:r>
      <w:r>
        <w:t xml:space="preserve"> — June 2026</w:t>
      </w:r>
      <w:r>
        <w:br w:type="page"/>
      </w:r>
    </w:p>
    <w:p w14:paraId="5F414C81" w14:textId="77777777" w:rsidR="000F504F" w:rsidRDefault="00000000">
      <w:pPr>
        <w:pStyle w:val="TOCHeading"/>
        <w:spacing w:after="240"/>
      </w:pPr>
      <w:r>
        <w:rPr>
          <w:b/>
        </w:rPr>
        <w:lastRenderedPageBreak/>
        <w:t>Table of Contents</w:t>
      </w:r>
    </w:p>
    <w:sdt>
      <w:sdtPr>
        <w:id w:val="-1531103257"/>
        <w:docPartObj>
          <w:docPartGallery w:val="Table of Contents"/>
          <w:docPartUnique/>
        </w:docPartObj>
      </w:sdtPr>
      <w:sdtEndPr>
        <w:rPr>
          <w:b/>
          <w:bCs/>
          <w:noProof/>
        </w:rPr>
      </w:sdtEndPr>
      <w:sdtContent>
        <w:p w14:paraId="39D20CD6" w14:textId="6C381C4E" w:rsidR="00413995" w:rsidRDefault="00413995">
          <w:pPr>
            <w:pStyle w:val="TOC1"/>
            <w:tabs>
              <w:tab w:val="right" w:leader="dot" w:pos="9782"/>
            </w:tabs>
            <w:rPr>
              <w:noProof/>
            </w:rPr>
          </w:pPr>
          <w:r>
            <w:fldChar w:fldCharType="begin"/>
          </w:r>
          <w:r>
            <w:instrText xml:space="preserve"> TOC \o "1-3" \h \z \u </w:instrText>
          </w:r>
          <w:r>
            <w:fldChar w:fldCharType="separate"/>
          </w:r>
          <w:hyperlink w:anchor="_Toc231205056" w:history="1">
            <w:r w:rsidRPr="00F560E0">
              <w:rPr>
                <w:rStyle w:val="Hyperlink"/>
                <w:noProof/>
              </w:rPr>
              <w:t>Revision History</w:t>
            </w:r>
            <w:r>
              <w:rPr>
                <w:noProof/>
                <w:webHidden/>
              </w:rPr>
              <w:tab/>
            </w:r>
            <w:r>
              <w:rPr>
                <w:noProof/>
                <w:webHidden/>
              </w:rPr>
              <w:fldChar w:fldCharType="begin"/>
            </w:r>
            <w:r>
              <w:rPr>
                <w:noProof/>
                <w:webHidden/>
              </w:rPr>
              <w:instrText xml:space="preserve"> PAGEREF _Toc231205056 \h </w:instrText>
            </w:r>
            <w:r>
              <w:rPr>
                <w:noProof/>
                <w:webHidden/>
              </w:rPr>
            </w:r>
            <w:r>
              <w:rPr>
                <w:noProof/>
                <w:webHidden/>
              </w:rPr>
              <w:fldChar w:fldCharType="separate"/>
            </w:r>
            <w:r>
              <w:rPr>
                <w:noProof/>
                <w:webHidden/>
              </w:rPr>
              <w:t>4</w:t>
            </w:r>
            <w:r>
              <w:rPr>
                <w:noProof/>
                <w:webHidden/>
              </w:rPr>
              <w:fldChar w:fldCharType="end"/>
            </w:r>
          </w:hyperlink>
        </w:p>
        <w:p w14:paraId="4A434EB3" w14:textId="65F92B9E" w:rsidR="00413995" w:rsidRDefault="00413995">
          <w:pPr>
            <w:pStyle w:val="TOC1"/>
            <w:tabs>
              <w:tab w:val="right" w:leader="dot" w:pos="9782"/>
            </w:tabs>
            <w:rPr>
              <w:noProof/>
            </w:rPr>
          </w:pPr>
          <w:hyperlink w:anchor="_Toc231205057" w:history="1">
            <w:r w:rsidRPr="00F560E0">
              <w:rPr>
                <w:rStyle w:val="Hyperlink"/>
                <w:noProof/>
              </w:rPr>
              <w:t>Preface</w:t>
            </w:r>
            <w:r>
              <w:rPr>
                <w:noProof/>
                <w:webHidden/>
              </w:rPr>
              <w:tab/>
            </w:r>
            <w:r>
              <w:rPr>
                <w:noProof/>
                <w:webHidden/>
              </w:rPr>
              <w:fldChar w:fldCharType="begin"/>
            </w:r>
            <w:r>
              <w:rPr>
                <w:noProof/>
                <w:webHidden/>
              </w:rPr>
              <w:instrText xml:space="preserve"> PAGEREF _Toc231205057 \h </w:instrText>
            </w:r>
            <w:r>
              <w:rPr>
                <w:noProof/>
                <w:webHidden/>
              </w:rPr>
            </w:r>
            <w:r>
              <w:rPr>
                <w:noProof/>
                <w:webHidden/>
              </w:rPr>
              <w:fldChar w:fldCharType="separate"/>
            </w:r>
            <w:r>
              <w:rPr>
                <w:noProof/>
                <w:webHidden/>
              </w:rPr>
              <w:t>4</w:t>
            </w:r>
            <w:r>
              <w:rPr>
                <w:noProof/>
                <w:webHidden/>
              </w:rPr>
              <w:fldChar w:fldCharType="end"/>
            </w:r>
          </w:hyperlink>
        </w:p>
        <w:p w14:paraId="132F0485" w14:textId="03446498" w:rsidR="00413995" w:rsidRDefault="00413995">
          <w:pPr>
            <w:pStyle w:val="TOC1"/>
            <w:tabs>
              <w:tab w:val="right" w:leader="dot" w:pos="9782"/>
            </w:tabs>
            <w:rPr>
              <w:noProof/>
            </w:rPr>
          </w:pPr>
          <w:hyperlink w:anchor="_Toc231205058" w:history="1">
            <w:r w:rsidRPr="00F560E0">
              <w:rPr>
                <w:rStyle w:val="Hyperlink"/>
                <w:noProof/>
              </w:rPr>
              <w:t>Chapter 1 — Introduction and Regulatory Context</w:t>
            </w:r>
            <w:r>
              <w:rPr>
                <w:noProof/>
                <w:webHidden/>
              </w:rPr>
              <w:tab/>
            </w:r>
            <w:r>
              <w:rPr>
                <w:noProof/>
                <w:webHidden/>
              </w:rPr>
              <w:fldChar w:fldCharType="begin"/>
            </w:r>
            <w:r>
              <w:rPr>
                <w:noProof/>
                <w:webHidden/>
              </w:rPr>
              <w:instrText xml:space="preserve"> PAGEREF _Toc231205058 \h </w:instrText>
            </w:r>
            <w:r>
              <w:rPr>
                <w:noProof/>
                <w:webHidden/>
              </w:rPr>
            </w:r>
            <w:r>
              <w:rPr>
                <w:noProof/>
                <w:webHidden/>
              </w:rPr>
              <w:fldChar w:fldCharType="separate"/>
            </w:r>
            <w:r>
              <w:rPr>
                <w:noProof/>
                <w:webHidden/>
              </w:rPr>
              <w:t>5</w:t>
            </w:r>
            <w:r>
              <w:rPr>
                <w:noProof/>
                <w:webHidden/>
              </w:rPr>
              <w:fldChar w:fldCharType="end"/>
            </w:r>
          </w:hyperlink>
        </w:p>
        <w:p w14:paraId="0DCD0D7A" w14:textId="6850D5F2" w:rsidR="00413995" w:rsidRDefault="00413995">
          <w:pPr>
            <w:pStyle w:val="TOC2"/>
            <w:tabs>
              <w:tab w:val="right" w:leader="dot" w:pos="9782"/>
            </w:tabs>
            <w:rPr>
              <w:noProof/>
            </w:rPr>
          </w:pPr>
          <w:hyperlink w:anchor="_Toc231205059" w:history="1">
            <w:r w:rsidRPr="00F560E0">
              <w:rPr>
                <w:rStyle w:val="Hyperlink"/>
                <w:noProof/>
              </w:rPr>
              <w:t>1.1 Purpose and Scope</w:t>
            </w:r>
            <w:r>
              <w:rPr>
                <w:noProof/>
                <w:webHidden/>
              </w:rPr>
              <w:tab/>
            </w:r>
            <w:r>
              <w:rPr>
                <w:noProof/>
                <w:webHidden/>
              </w:rPr>
              <w:fldChar w:fldCharType="begin"/>
            </w:r>
            <w:r>
              <w:rPr>
                <w:noProof/>
                <w:webHidden/>
              </w:rPr>
              <w:instrText xml:space="preserve"> PAGEREF _Toc231205059 \h </w:instrText>
            </w:r>
            <w:r>
              <w:rPr>
                <w:noProof/>
                <w:webHidden/>
              </w:rPr>
            </w:r>
            <w:r>
              <w:rPr>
                <w:noProof/>
                <w:webHidden/>
              </w:rPr>
              <w:fldChar w:fldCharType="separate"/>
            </w:r>
            <w:r>
              <w:rPr>
                <w:noProof/>
                <w:webHidden/>
              </w:rPr>
              <w:t>5</w:t>
            </w:r>
            <w:r>
              <w:rPr>
                <w:noProof/>
                <w:webHidden/>
              </w:rPr>
              <w:fldChar w:fldCharType="end"/>
            </w:r>
          </w:hyperlink>
        </w:p>
        <w:p w14:paraId="0E8ACCC7" w14:textId="48016D06" w:rsidR="00413995" w:rsidRDefault="00413995">
          <w:pPr>
            <w:pStyle w:val="TOC2"/>
            <w:tabs>
              <w:tab w:val="right" w:leader="dot" w:pos="9782"/>
            </w:tabs>
            <w:rPr>
              <w:noProof/>
            </w:rPr>
          </w:pPr>
          <w:hyperlink w:anchor="_Toc231205060" w:history="1">
            <w:r w:rsidRPr="00F560E0">
              <w:rPr>
                <w:rStyle w:val="Hyperlink"/>
                <w:noProof/>
              </w:rPr>
              <w:t>1.2 Analytical Requirements and Model Fidelity</w:t>
            </w:r>
            <w:r>
              <w:rPr>
                <w:noProof/>
                <w:webHidden/>
              </w:rPr>
              <w:tab/>
            </w:r>
            <w:r>
              <w:rPr>
                <w:noProof/>
                <w:webHidden/>
              </w:rPr>
              <w:fldChar w:fldCharType="begin"/>
            </w:r>
            <w:r>
              <w:rPr>
                <w:noProof/>
                <w:webHidden/>
              </w:rPr>
              <w:instrText xml:space="preserve"> PAGEREF _Toc231205060 \h </w:instrText>
            </w:r>
            <w:r>
              <w:rPr>
                <w:noProof/>
                <w:webHidden/>
              </w:rPr>
            </w:r>
            <w:r>
              <w:rPr>
                <w:noProof/>
                <w:webHidden/>
              </w:rPr>
              <w:fldChar w:fldCharType="separate"/>
            </w:r>
            <w:r>
              <w:rPr>
                <w:noProof/>
                <w:webHidden/>
              </w:rPr>
              <w:t>5</w:t>
            </w:r>
            <w:r>
              <w:rPr>
                <w:noProof/>
                <w:webHidden/>
              </w:rPr>
              <w:fldChar w:fldCharType="end"/>
            </w:r>
          </w:hyperlink>
        </w:p>
        <w:p w14:paraId="7DDE9E65" w14:textId="639CAF71" w:rsidR="00413995" w:rsidRDefault="00413995">
          <w:pPr>
            <w:pStyle w:val="TOC2"/>
            <w:tabs>
              <w:tab w:val="right" w:leader="dot" w:pos="9782"/>
            </w:tabs>
            <w:rPr>
              <w:noProof/>
            </w:rPr>
          </w:pPr>
          <w:hyperlink w:anchor="_Toc231205061" w:history="1">
            <w:r w:rsidRPr="00F560E0">
              <w:rPr>
                <w:rStyle w:val="Hyperlink"/>
                <w:noProof/>
              </w:rPr>
              <w:t>1.3 Code Architecture</w:t>
            </w:r>
            <w:r>
              <w:rPr>
                <w:noProof/>
                <w:webHidden/>
              </w:rPr>
              <w:tab/>
            </w:r>
            <w:r>
              <w:rPr>
                <w:noProof/>
                <w:webHidden/>
              </w:rPr>
              <w:fldChar w:fldCharType="begin"/>
            </w:r>
            <w:r>
              <w:rPr>
                <w:noProof/>
                <w:webHidden/>
              </w:rPr>
              <w:instrText xml:space="preserve"> PAGEREF _Toc231205061 \h </w:instrText>
            </w:r>
            <w:r>
              <w:rPr>
                <w:noProof/>
                <w:webHidden/>
              </w:rPr>
            </w:r>
            <w:r>
              <w:rPr>
                <w:noProof/>
                <w:webHidden/>
              </w:rPr>
              <w:fldChar w:fldCharType="separate"/>
            </w:r>
            <w:r>
              <w:rPr>
                <w:noProof/>
                <w:webHidden/>
              </w:rPr>
              <w:t>6</w:t>
            </w:r>
            <w:r>
              <w:rPr>
                <w:noProof/>
                <w:webHidden/>
              </w:rPr>
              <w:fldChar w:fldCharType="end"/>
            </w:r>
          </w:hyperlink>
        </w:p>
        <w:p w14:paraId="606F7A0E" w14:textId="56EE7438" w:rsidR="00413995" w:rsidRDefault="00413995">
          <w:pPr>
            <w:pStyle w:val="TOC2"/>
            <w:tabs>
              <w:tab w:val="right" w:leader="dot" w:pos="9782"/>
            </w:tabs>
            <w:rPr>
              <w:noProof/>
            </w:rPr>
          </w:pPr>
          <w:hyperlink w:anchor="_Toc231205062" w:history="1">
            <w:r w:rsidRPr="00F560E0">
              <w:rPr>
                <w:rStyle w:val="Hyperlink"/>
                <w:noProof/>
              </w:rPr>
              <w:t>1.4 Single-Node Approximation</w:t>
            </w:r>
            <w:r>
              <w:rPr>
                <w:noProof/>
                <w:webHidden/>
              </w:rPr>
              <w:tab/>
            </w:r>
            <w:r>
              <w:rPr>
                <w:noProof/>
                <w:webHidden/>
              </w:rPr>
              <w:fldChar w:fldCharType="begin"/>
            </w:r>
            <w:r>
              <w:rPr>
                <w:noProof/>
                <w:webHidden/>
              </w:rPr>
              <w:instrText xml:space="preserve"> PAGEREF _Toc231205062 \h </w:instrText>
            </w:r>
            <w:r>
              <w:rPr>
                <w:noProof/>
                <w:webHidden/>
              </w:rPr>
            </w:r>
            <w:r>
              <w:rPr>
                <w:noProof/>
                <w:webHidden/>
              </w:rPr>
              <w:fldChar w:fldCharType="separate"/>
            </w:r>
            <w:r>
              <w:rPr>
                <w:noProof/>
                <w:webHidden/>
              </w:rPr>
              <w:t>6</w:t>
            </w:r>
            <w:r>
              <w:rPr>
                <w:noProof/>
                <w:webHidden/>
              </w:rPr>
              <w:fldChar w:fldCharType="end"/>
            </w:r>
          </w:hyperlink>
        </w:p>
        <w:p w14:paraId="2FAA648C" w14:textId="759C8B8C" w:rsidR="00413995" w:rsidRDefault="00413995">
          <w:pPr>
            <w:pStyle w:val="TOC1"/>
            <w:tabs>
              <w:tab w:val="right" w:leader="dot" w:pos="9782"/>
            </w:tabs>
            <w:rPr>
              <w:noProof/>
            </w:rPr>
          </w:pPr>
          <w:hyperlink w:anchor="_Toc231205063" w:history="1">
            <w:r w:rsidRPr="00F560E0">
              <w:rPr>
                <w:rStyle w:val="Hyperlink"/>
                <w:noProof/>
              </w:rPr>
              <w:t>Chapter 2 — Thermal-Hydraulic System Model</w:t>
            </w:r>
            <w:r>
              <w:rPr>
                <w:noProof/>
                <w:webHidden/>
              </w:rPr>
              <w:tab/>
            </w:r>
            <w:r>
              <w:rPr>
                <w:noProof/>
                <w:webHidden/>
              </w:rPr>
              <w:fldChar w:fldCharType="begin"/>
            </w:r>
            <w:r>
              <w:rPr>
                <w:noProof/>
                <w:webHidden/>
              </w:rPr>
              <w:instrText xml:space="preserve"> PAGEREF _Toc231205063 \h </w:instrText>
            </w:r>
            <w:r>
              <w:rPr>
                <w:noProof/>
                <w:webHidden/>
              </w:rPr>
            </w:r>
            <w:r>
              <w:rPr>
                <w:noProof/>
                <w:webHidden/>
              </w:rPr>
              <w:fldChar w:fldCharType="separate"/>
            </w:r>
            <w:r>
              <w:rPr>
                <w:noProof/>
                <w:webHidden/>
              </w:rPr>
              <w:t>6</w:t>
            </w:r>
            <w:r>
              <w:rPr>
                <w:noProof/>
                <w:webHidden/>
              </w:rPr>
              <w:fldChar w:fldCharType="end"/>
            </w:r>
          </w:hyperlink>
        </w:p>
        <w:p w14:paraId="36E01332" w14:textId="21D28252" w:rsidR="00413995" w:rsidRDefault="00413995">
          <w:pPr>
            <w:pStyle w:val="TOC2"/>
            <w:tabs>
              <w:tab w:val="right" w:leader="dot" w:pos="9782"/>
            </w:tabs>
            <w:rPr>
              <w:noProof/>
            </w:rPr>
          </w:pPr>
          <w:hyperlink w:anchor="_Toc231205064" w:history="1">
            <w:r w:rsidRPr="00F560E0">
              <w:rPr>
                <w:rStyle w:val="Hyperlink"/>
                <w:noProof/>
              </w:rPr>
              <w:t>2.1 Modeling Basis</w:t>
            </w:r>
            <w:r>
              <w:rPr>
                <w:noProof/>
                <w:webHidden/>
              </w:rPr>
              <w:tab/>
            </w:r>
            <w:r>
              <w:rPr>
                <w:noProof/>
                <w:webHidden/>
              </w:rPr>
              <w:fldChar w:fldCharType="begin"/>
            </w:r>
            <w:r>
              <w:rPr>
                <w:noProof/>
                <w:webHidden/>
              </w:rPr>
              <w:instrText xml:space="preserve"> PAGEREF _Toc231205064 \h </w:instrText>
            </w:r>
            <w:r>
              <w:rPr>
                <w:noProof/>
                <w:webHidden/>
              </w:rPr>
            </w:r>
            <w:r>
              <w:rPr>
                <w:noProof/>
                <w:webHidden/>
              </w:rPr>
              <w:fldChar w:fldCharType="separate"/>
            </w:r>
            <w:r>
              <w:rPr>
                <w:noProof/>
                <w:webHidden/>
              </w:rPr>
              <w:t>6</w:t>
            </w:r>
            <w:r>
              <w:rPr>
                <w:noProof/>
                <w:webHidden/>
              </w:rPr>
              <w:fldChar w:fldCharType="end"/>
            </w:r>
          </w:hyperlink>
        </w:p>
        <w:p w14:paraId="4D4D31D1" w14:textId="1FDE1329" w:rsidR="00413995" w:rsidRDefault="00413995">
          <w:pPr>
            <w:pStyle w:val="TOC2"/>
            <w:tabs>
              <w:tab w:val="right" w:leader="dot" w:pos="9782"/>
            </w:tabs>
            <w:rPr>
              <w:noProof/>
            </w:rPr>
          </w:pPr>
          <w:hyperlink w:anchor="_Toc231205065" w:history="1">
            <w:r w:rsidRPr="00F560E0">
              <w:rPr>
                <w:rStyle w:val="Hyperlink"/>
                <w:noProof/>
              </w:rPr>
              <w:t>2.2 Control-Volume Mass Balance</w:t>
            </w:r>
            <w:r>
              <w:rPr>
                <w:noProof/>
                <w:webHidden/>
              </w:rPr>
              <w:tab/>
            </w:r>
            <w:r>
              <w:rPr>
                <w:noProof/>
                <w:webHidden/>
              </w:rPr>
              <w:fldChar w:fldCharType="begin"/>
            </w:r>
            <w:r>
              <w:rPr>
                <w:noProof/>
                <w:webHidden/>
              </w:rPr>
              <w:instrText xml:space="preserve"> PAGEREF _Toc231205065 \h </w:instrText>
            </w:r>
            <w:r>
              <w:rPr>
                <w:noProof/>
                <w:webHidden/>
              </w:rPr>
            </w:r>
            <w:r>
              <w:rPr>
                <w:noProof/>
                <w:webHidden/>
              </w:rPr>
              <w:fldChar w:fldCharType="separate"/>
            </w:r>
            <w:r>
              <w:rPr>
                <w:noProof/>
                <w:webHidden/>
              </w:rPr>
              <w:t>7</w:t>
            </w:r>
            <w:r>
              <w:rPr>
                <w:noProof/>
                <w:webHidden/>
              </w:rPr>
              <w:fldChar w:fldCharType="end"/>
            </w:r>
          </w:hyperlink>
        </w:p>
        <w:p w14:paraId="257CF1CC" w14:textId="664A2FF2" w:rsidR="00413995" w:rsidRDefault="00413995">
          <w:pPr>
            <w:pStyle w:val="TOC2"/>
            <w:tabs>
              <w:tab w:val="right" w:leader="dot" w:pos="9782"/>
            </w:tabs>
            <w:rPr>
              <w:noProof/>
            </w:rPr>
          </w:pPr>
          <w:hyperlink w:anchor="_Toc231205066" w:history="1">
            <w:r w:rsidRPr="00F560E0">
              <w:rPr>
                <w:rStyle w:val="Hyperlink"/>
                <w:noProof/>
              </w:rPr>
              <w:t>2.3 Volume Constraint and State Variable Selection</w:t>
            </w:r>
            <w:r>
              <w:rPr>
                <w:noProof/>
                <w:webHidden/>
              </w:rPr>
              <w:tab/>
            </w:r>
            <w:r>
              <w:rPr>
                <w:noProof/>
                <w:webHidden/>
              </w:rPr>
              <w:fldChar w:fldCharType="begin"/>
            </w:r>
            <w:r>
              <w:rPr>
                <w:noProof/>
                <w:webHidden/>
              </w:rPr>
              <w:instrText xml:space="preserve"> PAGEREF _Toc231205066 \h </w:instrText>
            </w:r>
            <w:r>
              <w:rPr>
                <w:noProof/>
                <w:webHidden/>
              </w:rPr>
            </w:r>
            <w:r>
              <w:rPr>
                <w:noProof/>
                <w:webHidden/>
              </w:rPr>
              <w:fldChar w:fldCharType="separate"/>
            </w:r>
            <w:r>
              <w:rPr>
                <w:noProof/>
                <w:webHidden/>
              </w:rPr>
              <w:t>7</w:t>
            </w:r>
            <w:r>
              <w:rPr>
                <w:noProof/>
                <w:webHidden/>
              </w:rPr>
              <w:fldChar w:fldCharType="end"/>
            </w:r>
          </w:hyperlink>
        </w:p>
        <w:p w14:paraId="4554F4E7" w14:textId="6E71B490" w:rsidR="00413995" w:rsidRDefault="00413995">
          <w:pPr>
            <w:pStyle w:val="TOC2"/>
            <w:tabs>
              <w:tab w:val="right" w:leader="dot" w:pos="9782"/>
            </w:tabs>
            <w:rPr>
              <w:noProof/>
            </w:rPr>
          </w:pPr>
          <w:hyperlink w:anchor="_Toc231205067" w:history="1">
            <w:r w:rsidRPr="00F560E0">
              <w:rPr>
                <w:rStyle w:val="Hyperlink"/>
                <w:noProof/>
              </w:rPr>
              <w:t>2.4 Energy Balance</w:t>
            </w:r>
            <w:r>
              <w:rPr>
                <w:noProof/>
                <w:webHidden/>
              </w:rPr>
              <w:tab/>
            </w:r>
            <w:r>
              <w:rPr>
                <w:noProof/>
                <w:webHidden/>
              </w:rPr>
              <w:fldChar w:fldCharType="begin"/>
            </w:r>
            <w:r>
              <w:rPr>
                <w:noProof/>
                <w:webHidden/>
              </w:rPr>
              <w:instrText xml:space="preserve"> PAGEREF _Toc231205067 \h </w:instrText>
            </w:r>
            <w:r>
              <w:rPr>
                <w:noProof/>
                <w:webHidden/>
              </w:rPr>
            </w:r>
            <w:r>
              <w:rPr>
                <w:noProof/>
                <w:webHidden/>
              </w:rPr>
              <w:fldChar w:fldCharType="separate"/>
            </w:r>
            <w:r>
              <w:rPr>
                <w:noProof/>
                <w:webHidden/>
              </w:rPr>
              <w:t>7</w:t>
            </w:r>
            <w:r>
              <w:rPr>
                <w:noProof/>
                <w:webHidden/>
              </w:rPr>
              <w:fldChar w:fldCharType="end"/>
            </w:r>
          </w:hyperlink>
        </w:p>
        <w:p w14:paraId="67441AEE" w14:textId="0E0F0EEA" w:rsidR="00413995" w:rsidRDefault="00413995">
          <w:pPr>
            <w:pStyle w:val="TOC2"/>
            <w:tabs>
              <w:tab w:val="right" w:leader="dot" w:pos="9782"/>
            </w:tabs>
            <w:rPr>
              <w:noProof/>
            </w:rPr>
          </w:pPr>
          <w:hyperlink w:anchor="_Toc231205068" w:history="1">
            <w:r w:rsidRPr="00F560E0">
              <w:rPr>
                <w:rStyle w:val="Hyperlink"/>
                <w:noProof/>
              </w:rPr>
              <w:t>2.5 Semi-Implicit Pressure-Enthalpy Update</w:t>
            </w:r>
            <w:r>
              <w:rPr>
                <w:noProof/>
                <w:webHidden/>
              </w:rPr>
              <w:tab/>
            </w:r>
            <w:r>
              <w:rPr>
                <w:noProof/>
                <w:webHidden/>
              </w:rPr>
              <w:fldChar w:fldCharType="begin"/>
            </w:r>
            <w:r>
              <w:rPr>
                <w:noProof/>
                <w:webHidden/>
              </w:rPr>
              <w:instrText xml:space="preserve"> PAGEREF _Toc231205068 \h </w:instrText>
            </w:r>
            <w:r>
              <w:rPr>
                <w:noProof/>
                <w:webHidden/>
              </w:rPr>
            </w:r>
            <w:r>
              <w:rPr>
                <w:noProof/>
                <w:webHidden/>
              </w:rPr>
              <w:fldChar w:fldCharType="separate"/>
            </w:r>
            <w:r>
              <w:rPr>
                <w:noProof/>
                <w:webHidden/>
              </w:rPr>
              <w:t>8</w:t>
            </w:r>
            <w:r>
              <w:rPr>
                <w:noProof/>
                <w:webHidden/>
              </w:rPr>
              <w:fldChar w:fldCharType="end"/>
            </w:r>
          </w:hyperlink>
        </w:p>
        <w:p w14:paraId="3ACA1492" w14:textId="2A2FCA70" w:rsidR="00413995" w:rsidRDefault="00413995">
          <w:pPr>
            <w:pStyle w:val="TOC2"/>
            <w:tabs>
              <w:tab w:val="right" w:leader="dot" w:pos="9782"/>
            </w:tabs>
            <w:rPr>
              <w:noProof/>
            </w:rPr>
          </w:pPr>
          <w:hyperlink w:anchor="_Toc231205069" w:history="1">
            <w:r w:rsidRPr="00F560E0">
              <w:rPr>
                <w:rStyle w:val="Hyperlink"/>
                <w:noProof/>
              </w:rPr>
              <w:t>2.6 Equation of State and Mixture Properties</w:t>
            </w:r>
            <w:r>
              <w:rPr>
                <w:noProof/>
                <w:webHidden/>
              </w:rPr>
              <w:tab/>
            </w:r>
            <w:r>
              <w:rPr>
                <w:noProof/>
                <w:webHidden/>
              </w:rPr>
              <w:fldChar w:fldCharType="begin"/>
            </w:r>
            <w:r>
              <w:rPr>
                <w:noProof/>
                <w:webHidden/>
              </w:rPr>
              <w:instrText xml:space="preserve"> PAGEREF _Toc231205069 \h </w:instrText>
            </w:r>
            <w:r>
              <w:rPr>
                <w:noProof/>
                <w:webHidden/>
              </w:rPr>
            </w:r>
            <w:r>
              <w:rPr>
                <w:noProof/>
                <w:webHidden/>
              </w:rPr>
              <w:fldChar w:fldCharType="separate"/>
            </w:r>
            <w:r>
              <w:rPr>
                <w:noProof/>
                <w:webHidden/>
              </w:rPr>
              <w:t>9</w:t>
            </w:r>
            <w:r>
              <w:rPr>
                <w:noProof/>
                <w:webHidden/>
              </w:rPr>
              <w:fldChar w:fldCharType="end"/>
            </w:r>
          </w:hyperlink>
        </w:p>
        <w:p w14:paraId="75840565" w14:textId="76E9541C" w:rsidR="00413995" w:rsidRDefault="00413995">
          <w:pPr>
            <w:pStyle w:val="TOC2"/>
            <w:tabs>
              <w:tab w:val="right" w:leader="dot" w:pos="9782"/>
            </w:tabs>
            <w:rPr>
              <w:noProof/>
            </w:rPr>
          </w:pPr>
          <w:hyperlink w:anchor="_Toc231205070" w:history="1">
            <w:r w:rsidRPr="00F560E0">
              <w:rPr>
                <w:rStyle w:val="Hyperlink"/>
                <w:noProof/>
              </w:rPr>
              <w:t>2.7 Break Flow Model</w:t>
            </w:r>
            <w:r>
              <w:rPr>
                <w:noProof/>
                <w:webHidden/>
              </w:rPr>
              <w:tab/>
            </w:r>
            <w:r>
              <w:rPr>
                <w:noProof/>
                <w:webHidden/>
              </w:rPr>
              <w:fldChar w:fldCharType="begin"/>
            </w:r>
            <w:r>
              <w:rPr>
                <w:noProof/>
                <w:webHidden/>
              </w:rPr>
              <w:instrText xml:space="preserve"> PAGEREF _Toc231205070 \h </w:instrText>
            </w:r>
            <w:r>
              <w:rPr>
                <w:noProof/>
                <w:webHidden/>
              </w:rPr>
            </w:r>
            <w:r>
              <w:rPr>
                <w:noProof/>
                <w:webHidden/>
              </w:rPr>
              <w:fldChar w:fldCharType="separate"/>
            </w:r>
            <w:r>
              <w:rPr>
                <w:noProof/>
                <w:webHidden/>
              </w:rPr>
              <w:t>9</w:t>
            </w:r>
            <w:r>
              <w:rPr>
                <w:noProof/>
                <w:webHidden/>
              </w:rPr>
              <w:fldChar w:fldCharType="end"/>
            </w:r>
          </w:hyperlink>
        </w:p>
        <w:p w14:paraId="64CFE428" w14:textId="4A92CBE6" w:rsidR="00413995" w:rsidRDefault="00413995">
          <w:pPr>
            <w:pStyle w:val="TOC2"/>
            <w:tabs>
              <w:tab w:val="right" w:leader="dot" w:pos="9782"/>
            </w:tabs>
            <w:rPr>
              <w:noProof/>
            </w:rPr>
          </w:pPr>
          <w:hyperlink w:anchor="_Toc231205071" w:history="1">
            <w:r w:rsidRPr="00F560E0">
              <w:rPr>
                <w:rStyle w:val="Hyperlink"/>
                <w:noProof/>
              </w:rPr>
              <w:t>2.8 PORV, Steam Generator, and Pump Models</w:t>
            </w:r>
            <w:r>
              <w:rPr>
                <w:noProof/>
                <w:webHidden/>
              </w:rPr>
              <w:tab/>
            </w:r>
            <w:r>
              <w:rPr>
                <w:noProof/>
                <w:webHidden/>
              </w:rPr>
              <w:fldChar w:fldCharType="begin"/>
            </w:r>
            <w:r>
              <w:rPr>
                <w:noProof/>
                <w:webHidden/>
              </w:rPr>
              <w:instrText xml:space="preserve"> PAGEREF _Toc231205071 \h </w:instrText>
            </w:r>
            <w:r>
              <w:rPr>
                <w:noProof/>
                <w:webHidden/>
              </w:rPr>
            </w:r>
            <w:r>
              <w:rPr>
                <w:noProof/>
                <w:webHidden/>
              </w:rPr>
              <w:fldChar w:fldCharType="separate"/>
            </w:r>
            <w:r>
              <w:rPr>
                <w:noProof/>
                <w:webHidden/>
              </w:rPr>
              <w:t>10</w:t>
            </w:r>
            <w:r>
              <w:rPr>
                <w:noProof/>
                <w:webHidden/>
              </w:rPr>
              <w:fldChar w:fldCharType="end"/>
            </w:r>
          </w:hyperlink>
        </w:p>
        <w:p w14:paraId="1670C519" w14:textId="61115FC7" w:rsidR="00413995" w:rsidRDefault="00413995">
          <w:pPr>
            <w:pStyle w:val="TOC2"/>
            <w:tabs>
              <w:tab w:val="right" w:leader="dot" w:pos="9782"/>
            </w:tabs>
            <w:rPr>
              <w:noProof/>
            </w:rPr>
          </w:pPr>
          <w:hyperlink w:anchor="_Toc231205072" w:history="1">
            <w:r w:rsidRPr="00F560E0">
              <w:rPr>
                <w:rStyle w:val="Hyperlink"/>
                <w:noProof/>
              </w:rPr>
              <w:t>2.9 Collapsed Level and Inventory Diagnostics</w:t>
            </w:r>
            <w:r>
              <w:rPr>
                <w:noProof/>
                <w:webHidden/>
              </w:rPr>
              <w:tab/>
            </w:r>
            <w:r>
              <w:rPr>
                <w:noProof/>
                <w:webHidden/>
              </w:rPr>
              <w:fldChar w:fldCharType="begin"/>
            </w:r>
            <w:r>
              <w:rPr>
                <w:noProof/>
                <w:webHidden/>
              </w:rPr>
              <w:instrText xml:space="preserve"> PAGEREF _Toc231205072 \h </w:instrText>
            </w:r>
            <w:r>
              <w:rPr>
                <w:noProof/>
                <w:webHidden/>
              </w:rPr>
            </w:r>
            <w:r>
              <w:rPr>
                <w:noProof/>
                <w:webHidden/>
              </w:rPr>
              <w:fldChar w:fldCharType="separate"/>
            </w:r>
            <w:r>
              <w:rPr>
                <w:noProof/>
                <w:webHidden/>
              </w:rPr>
              <w:t>11</w:t>
            </w:r>
            <w:r>
              <w:rPr>
                <w:noProof/>
                <w:webHidden/>
              </w:rPr>
              <w:fldChar w:fldCharType="end"/>
            </w:r>
          </w:hyperlink>
        </w:p>
        <w:p w14:paraId="7F461F81" w14:textId="3E47CA54" w:rsidR="00413995" w:rsidRDefault="00413995">
          <w:pPr>
            <w:pStyle w:val="TOC1"/>
            <w:tabs>
              <w:tab w:val="right" w:leader="dot" w:pos="9782"/>
            </w:tabs>
            <w:rPr>
              <w:noProof/>
            </w:rPr>
          </w:pPr>
          <w:hyperlink w:anchor="_Toc231205073" w:history="1">
            <w:r w:rsidRPr="00F560E0">
              <w:rPr>
                <w:rStyle w:val="Hyperlink"/>
                <w:noProof/>
              </w:rPr>
              <w:t>Chapter 3 — Accumulator and ECCS Models</w:t>
            </w:r>
            <w:r>
              <w:rPr>
                <w:noProof/>
                <w:webHidden/>
              </w:rPr>
              <w:tab/>
            </w:r>
            <w:r>
              <w:rPr>
                <w:noProof/>
                <w:webHidden/>
              </w:rPr>
              <w:fldChar w:fldCharType="begin"/>
            </w:r>
            <w:r>
              <w:rPr>
                <w:noProof/>
                <w:webHidden/>
              </w:rPr>
              <w:instrText xml:space="preserve"> PAGEREF _Toc231205073 \h </w:instrText>
            </w:r>
            <w:r>
              <w:rPr>
                <w:noProof/>
                <w:webHidden/>
              </w:rPr>
            </w:r>
            <w:r>
              <w:rPr>
                <w:noProof/>
                <w:webHidden/>
              </w:rPr>
              <w:fldChar w:fldCharType="separate"/>
            </w:r>
            <w:r>
              <w:rPr>
                <w:noProof/>
                <w:webHidden/>
              </w:rPr>
              <w:t>11</w:t>
            </w:r>
            <w:r>
              <w:rPr>
                <w:noProof/>
                <w:webHidden/>
              </w:rPr>
              <w:fldChar w:fldCharType="end"/>
            </w:r>
          </w:hyperlink>
        </w:p>
        <w:p w14:paraId="40338662" w14:textId="55CB467D" w:rsidR="00413995" w:rsidRDefault="00413995">
          <w:pPr>
            <w:pStyle w:val="TOC2"/>
            <w:tabs>
              <w:tab w:val="right" w:leader="dot" w:pos="9782"/>
            </w:tabs>
            <w:rPr>
              <w:noProof/>
            </w:rPr>
          </w:pPr>
          <w:hyperlink w:anchor="_Toc231205074" w:history="1">
            <w:r w:rsidRPr="00F560E0">
              <w:rPr>
                <w:rStyle w:val="Hyperlink"/>
                <w:noProof/>
              </w:rPr>
              <w:t>3.1 Accumulator Thermodynamic Model</w:t>
            </w:r>
            <w:r>
              <w:rPr>
                <w:noProof/>
                <w:webHidden/>
              </w:rPr>
              <w:tab/>
            </w:r>
            <w:r>
              <w:rPr>
                <w:noProof/>
                <w:webHidden/>
              </w:rPr>
              <w:fldChar w:fldCharType="begin"/>
            </w:r>
            <w:r>
              <w:rPr>
                <w:noProof/>
                <w:webHidden/>
              </w:rPr>
              <w:instrText xml:space="preserve"> PAGEREF _Toc231205074 \h </w:instrText>
            </w:r>
            <w:r>
              <w:rPr>
                <w:noProof/>
                <w:webHidden/>
              </w:rPr>
            </w:r>
            <w:r>
              <w:rPr>
                <w:noProof/>
                <w:webHidden/>
              </w:rPr>
              <w:fldChar w:fldCharType="separate"/>
            </w:r>
            <w:r>
              <w:rPr>
                <w:noProof/>
                <w:webHidden/>
              </w:rPr>
              <w:t>11</w:t>
            </w:r>
            <w:r>
              <w:rPr>
                <w:noProof/>
                <w:webHidden/>
              </w:rPr>
              <w:fldChar w:fldCharType="end"/>
            </w:r>
          </w:hyperlink>
        </w:p>
        <w:p w14:paraId="13B73472" w14:textId="5173A336" w:rsidR="00413995" w:rsidRDefault="00413995">
          <w:pPr>
            <w:pStyle w:val="TOC2"/>
            <w:tabs>
              <w:tab w:val="right" w:leader="dot" w:pos="9782"/>
            </w:tabs>
            <w:rPr>
              <w:noProof/>
            </w:rPr>
          </w:pPr>
          <w:hyperlink w:anchor="_Toc231205075" w:history="1">
            <w:r w:rsidRPr="00F560E0">
              <w:rPr>
                <w:rStyle w:val="Hyperlink"/>
                <w:noProof/>
              </w:rPr>
              <w:t>3.2 Pumped Safety Injection</w:t>
            </w:r>
            <w:r>
              <w:rPr>
                <w:noProof/>
                <w:webHidden/>
              </w:rPr>
              <w:tab/>
            </w:r>
            <w:r>
              <w:rPr>
                <w:noProof/>
                <w:webHidden/>
              </w:rPr>
              <w:fldChar w:fldCharType="begin"/>
            </w:r>
            <w:r>
              <w:rPr>
                <w:noProof/>
                <w:webHidden/>
              </w:rPr>
              <w:instrText xml:space="preserve"> PAGEREF _Toc231205075 \h </w:instrText>
            </w:r>
            <w:r>
              <w:rPr>
                <w:noProof/>
                <w:webHidden/>
              </w:rPr>
            </w:r>
            <w:r>
              <w:rPr>
                <w:noProof/>
                <w:webHidden/>
              </w:rPr>
              <w:fldChar w:fldCharType="separate"/>
            </w:r>
            <w:r>
              <w:rPr>
                <w:noProof/>
                <w:webHidden/>
              </w:rPr>
              <w:t>12</w:t>
            </w:r>
            <w:r>
              <w:rPr>
                <w:noProof/>
                <w:webHidden/>
              </w:rPr>
              <w:fldChar w:fldCharType="end"/>
            </w:r>
          </w:hyperlink>
        </w:p>
        <w:p w14:paraId="7663C0E5" w14:textId="7E70D8DC" w:rsidR="00413995" w:rsidRDefault="00413995">
          <w:pPr>
            <w:pStyle w:val="TOC2"/>
            <w:tabs>
              <w:tab w:val="right" w:leader="dot" w:pos="9782"/>
            </w:tabs>
            <w:rPr>
              <w:noProof/>
            </w:rPr>
          </w:pPr>
          <w:hyperlink w:anchor="_Toc231205076" w:history="1">
            <w:r w:rsidRPr="00F560E0">
              <w:rPr>
                <w:rStyle w:val="Hyperlink"/>
                <w:noProof/>
              </w:rPr>
              <w:t>3.3 CVCS Makeup and Letdown</w:t>
            </w:r>
            <w:r>
              <w:rPr>
                <w:noProof/>
                <w:webHidden/>
              </w:rPr>
              <w:tab/>
            </w:r>
            <w:r>
              <w:rPr>
                <w:noProof/>
                <w:webHidden/>
              </w:rPr>
              <w:fldChar w:fldCharType="begin"/>
            </w:r>
            <w:r>
              <w:rPr>
                <w:noProof/>
                <w:webHidden/>
              </w:rPr>
              <w:instrText xml:space="preserve"> PAGEREF _Toc231205076 \h </w:instrText>
            </w:r>
            <w:r>
              <w:rPr>
                <w:noProof/>
                <w:webHidden/>
              </w:rPr>
            </w:r>
            <w:r>
              <w:rPr>
                <w:noProof/>
                <w:webHidden/>
              </w:rPr>
              <w:fldChar w:fldCharType="separate"/>
            </w:r>
            <w:r>
              <w:rPr>
                <w:noProof/>
                <w:webHidden/>
              </w:rPr>
              <w:t>12</w:t>
            </w:r>
            <w:r>
              <w:rPr>
                <w:noProof/>
                <w:webHidden/>
              </w:rPr>
              <w:fldChar w:fldCharType="end"/>
            </w:r>
          </w:hyperlink>
        </w:p>
        <w:p w14:paraId="6BEBF5F8" w14:textId="0D1BFC90" w:rsidR="00413995" w:rsidRDefault="00413995">
          <w:pPr>
            <w:pStyle w:val="TOC1"/>
            <w:tabs>
              <w:tab w:val="right" w:leader="dot" w:pos="9782"/>
            </w:tabs>
            <w:rPr>
              <w:noProof/>
            </w:rPr>
          </w:pPr>
          <w:hyperlink w:anchor="_Toc231205077" w:history="1">
            <w:r w:rsidRPr="00F560E0">
              <w:rPr>
                <w:rStyle w:val="Hyperlink"/>
                <w:noProof/>
              </w:rPr>
              <w:t>Chapter 4 — Core and Fuel Models</w:t>
            </w:r>
            <w:r>
              <w:rPr>
                <w:noProof/>
                <w:webHidden/>
              </w:rPr>
              <w:tab/>
            </w:r>
            <w:r>
              <w:rPr>
                <w:noProof/>
                <w:webHidden/>
              </w:rPr>
              <w:fldChar w:fldCharType="begin"/>
            </w:r>
            <w:r>
              <w:rPr>
                <w:noProof/>
                <w:webHidden/>
              </w:rPr>
              <w:instrText xml:space="preserve"> PAGEREF _Toc231205077 \h </w:instrText>
            </w:r>
            <w:r>
              <w:rPr>
                <w:noProof/>
                <w:webHidden/>
              </w:rPr>
            </w:r>
            <w:r>
              <w:rPr>
                <w:noProof/>
                <w:webHidden/>
              </w:rPr>
              <w:fldChar w:fldCharType="separate"/>
            </w:r>
            <w:r>
              <w:rPr>
                <w:noProof/>
                <w:webHidden/>
              </w:rPr>
              <w:t>12</w:t>
            </w:r>
            <w:r>
              <w:rPr>
                <w:noProof/>
                <w:webHidden/>
              </w:rPr>
              <w:fldChar w:fldCharType="end"/>
            </w:r>
          </w:hyperlink>
        </w:p>
        <w:p w14:paraId="564810C5" w14:textId="065B907B" w:rsidR="00413995" w:rsidRDefault="00413995">
          <w:pPr>
            <w:pStyle w:val="TOC2"/>
            <w:tabs>
              <w:tab w:val="right" w:leader="dot" w:pos="9782"/>
            </w:tabs>
            <w:rPr>
              <w:noProof/>
            </w:rPr>
          </w:pPr>
          <w:hyperlink w:anchor="_Toc231205078" w:history="1">
            <w:r w:rsidRPr="00F560E0">
              <w:rPr>
                <w:rStyle w:val="Hyperlink"/>
                <w:noProof/>
              </w:rPr>
              <w:t>4.1 Rod-Bundle Geometry</w:t>
            </w:r>
            <w:r>
              <w:rPr>
                <w:noProof/>
                <w:webHidden/>
              </w:rPr>
              <w:tab/>
            </w:r>
            <w:r>
              <w:rPr>
                <w:noProof/>
                <w:webHidden/>
              </w:rPr>
              <w:fldChar w:fldCharType="begin"/>
            </w:r>
            <w:r>
              <w:rPr>
                <w:noProof/>
                <w:webHidden/>
              </w:rPr>
              <w:instrText xml:space="preserve"> PAGEREF _Toc231205078 \h </w:instrText>
            </w:r>
            <w:r>
              <w:rPr>
                <w:noProof/>
                <w:webHidden/>
              </w:rPr>
            </w:r>
            <w:r>
              <w:rPr>
                <w:noProof/>
                <w:webHidden/>
              </w:rPr>
              <w:fldChar w:fldCharType="separate"/>
            </w:r>
            <w:r>
              <w:rPr>
                <w:noProof/>
                <w:webHidden/>
              </w:rPr>
              <w:t>12</w:t>
            </w:r>
            <w:r>
              <w:rPr>
                <w:noProof/>
                <w:webHidden/>
              </w:rPr>
              <w:fldChar w:fldCharType="end"/>
            </w:r>
          </w:hyperlink>
        </w:p>
        <w:p w14:paraId="25B84224" w14:textId="19F613D7" w:rsidR="00413995" w:rsidRDefault="00413995">
          <w:pPr>
            <w:pStyle w:val="TOC2"/>
            <w:tabs>
              <w:tab w:val="right" w:leader="dot" w:pos="9782"/>
            </w:tabs>
            <w:rPr>
              <w:noProof/>
            </w:rPr>
          </w:pPr>
          <w:hyperlink w:anchor="_Toc231205079" w:history="1">
            <w:r w:rsidRPr="00F560E0">
              <w:rPr>
                <w:rStyle w:val="Hyperlink"/>
                <w:noProof/>
              </w:rPr>
              <w:t>4.2 Fuel-Rod Heat Structure</w:t>
            </w:r>
            <w:r>
              <w:rPr>
                <w:noProof/>
                <w:webHidden/>
              </w:rPr>
              <w:tab/>
            </w:r>
            <w:r>
              <w:rPr>
                <w:noProof/>
                <w:webHidden/>
              </w:rPr>
              <w:fldChar w:fldCharType="begin"/>
            </w:r>
            <w:r>
              <w:rPr>
                <w:noProof/>
                <w:webHidden/>
              </w:rPr>
              <w:instrText xml:space="preserve"> PAGEREF _Toc231205079 \h </w:instrText>
            </w:r>
            <w:r>
              <w:rPr>
                <w:noProof/>
                <w:webHidden/>
              </w:rPr>
            </w:r>
            <w:r>
              <w:rPr>
                <w:noProof/>
                <w:webHidden/>
              </w:rPr>
              <w:fldChar w:fldCharType="separate"/>
            </w:r>
            <w:r>
              <w:rPr>
                <w:noProof/>
                <w:webHidden/>
              </w:rPr>
              <w:t>13</w:t>
            </w:r>
            <w:r>
              <w:rPr>
                <w:noProof/>
                <w:webHidden/>
              </w:rPr>
              <w:fldChar w:fldCharType="end"/>
            </w:r>
          </w:hyperlink>
        </w:p>
        <w:p w14:paraId="28CE1A20" w14:textId="6089E731" w:rsidR="00413995" w:rsidRDefault="00413995">
          <w:pPr>
            <w:pStyle w:val="TOC2"/>
            <w:tabs>
              <w:tab w:val="right" w:leader="dot" w:pos="9782"/>
            </w:tabs>
            <w:rPr>
              <w:noProof/>
            </w:rPr>
          </w:pPr>
          <w:hyperlink w:anchor="_Toc231205080" w:history="1">
            <w:r w:rsidRPr="00F560E0">
              <w:rPr>
                <w:rStyle w:val="Hyperlink"/>
                <w:noProof/>
              </w:rPr>
              <w:t>4.3 Convective Heat Transfer</w:t>
            </w:r>
            <w:r>
              <w:rPr>
                <w:noProof/>
                <w:webHidden/>
              </w:rPr>
              <w:tab/>
            </w:r>
            <w:r>
              <w:rPr>
                <w:noProof/>
                <w:webHidden/>
              </w:rPr>
              <w:fldChar w:fldCharType="begin"/>
            </w:r>
            <w:r>
              <w:rPr>
                <w:noProof/>
                <w:webHidden/>
              </w:rPr>
              <w:instrText xml:space="preserve"> PAGEREF _Toc231205080 \h </w:instrText>
            </w:r>
            <w:r>
              <w:rPr>
                <w:noProof/>
                <w:webHidden/>
              </w:rPr>
            </w:r>
            <w:r>
              <w:rPr>
                <w:noProof/>
                <w:webHidden/>
              </w:rPr>
              <w:fldChar w:fldCharType="separate"/>
            </w:r>
            <w:r>
              <w:rPr>
                <w:noProof/>
                <w:webHidden/>
              </w:rPr>
              <w:t>13</w:t>
            </w:r>
            <w:r>
              <w:rPr>
                <w:noProof/>
                <w:webHidden/>
              </w:rPr>
              <w:fldChar w:fldCharType="end"/>
            </w:r>
          </w:hyperlink>
        </w:p>
        <w:p w14:paraId="05CCF633" w14:textId="65FFCC55" w:rsidR="00413995" w:rsidRDefault="00413995">
          <w:pPr>
            <w:pStyle w:val="TOC2"/>
            <w:tabs>
              <w:tab w:val="right" w:leader="dot" w:pos="9782"/>
            </w:tabs>
            <w:rPr>
              <w:noProof/>
            </w:rPr>
          </w:pPr>
          <w:hyperlink w:anchor="_Toc231205081" w:history="1">
            <w:r w:rsidRPr="00F560E0">
              <w:rPr>
                <w:rStyle w:val="Hyperlink"/>
                <w:noProof/>
              </w:rPr>
              <w:t>4.4 Critical Heat Flux, Post-CHF Cooling, and Dry Core</w:t>
            </w:r>
            <w:r>
              <w:rPr>
                <w:noProof/>
                <w:webHidden/>
              </w:rPr>
              <w:tab/>
            </w:r>
            <w:r>
              <w:rPr>
                <w:noProof/>
                <w:webHidden/>
              </w:rPr>
              <w:fldChar w:fldCharType="begin"/>
            </w:r>
            <w:r>
              <w:rPr>
                <w:noProof/>
                <w:webHidden/>
              </w:rPr>
              <w:instrText xml:space="preserve"> PAGEREF _Toc231205081 \h </w:instrText>
            </w:r>
            <w:r>
              <w:rPr>
                <w:noProof/>
                <w:webHidden/>
              </w:rPr>
            </w:r>
            <w:r>
              <w:rPr>
                <w:noProof/>
                <w:webHidden/>
              </w:rPr>
              <w:fldChar w:fldCharType="separate"/>
            </w:r>
            <w:r>
              <w:rPr>
                <w:noProof/>
                <w:webHidden/>
              </w:rPr>
              <w:t>14</w:t>
            </w:r>
            <w:r>
              <w:rPr>
                <w:noProof/>
                <w:webHidden/>
              </w:rPr>
              <w:fldChar w:fldCharType="end"/>
            </w:r>
          </w:hyperlink>
        </w:p>
        <w:p w14:paraId="230DBB53" w14:textId="6860D282" w:rsidR="00413995" w:rsidRDefault="00413995">
          <w:pPr>
            <w:pStyle w:val="TOC2"/>
            <w:tabs>
              <w:tab w:val="right" w:leader="dot" w:pos="9782"/>
            </w:tabs>
            <w:rPr>
              <w:noProof/>
            </w:rPr>
          </w:pPr>
          <w:hyperlink w:anchor="_Toc231205082" w:history="1">
            <w:r w:rsidRPr="00F560E0">
              <w:rPr>
                <w:rStyle w:val="Hyperlink"/>
                <w:noProof/>
              </w:rPr>
              <w:t>4.5 Zirconium Oxidation and Hydrogen Generation</w:t>
            </w:r>
            <w:r>
              <w:rPr>
                <w:noProof/>
                <w:webHidden/>
              </w:rPr>
              <w:tab/>
            </w:r>
            <w:r>
              <w:rPr>
                <w:noProof/>
                <w:webHidden/>
              </w:rPr>
              <w:fldChar w:fldCharType="begin"/>
            </w:r>
            <w:r>
              <w:rPr>
                <w:noProof/>
                <w:webHidden/>
              </w:rPr>
              <w:instrText xml:space="preserve"> PAGEREF _Toc231205082 \h </w:instrText>
            </w:r>
            <w:r>
              <w:rPr>
                <w:noProof/>
                <w:webHidden/>
              </w:rPr>
            </w:r>
            <w:r>
              <w:rPr>
                <w:noProof/>
                <w:webHidden/>
              </w:rPr>
              <w:fldChar w:fldCharType="separate"/>
            </w:r>
            <w:r>
              <w:rPr>
                <w:noProof/>
                <w:webHidden/>
              </w:rPr>
              <w:t>15</w:t>
            </w:r>
            <w:r>
              <w:rPr>
                <w:noProof/>
                <w:webHidden/>
              </w:rPr>
              <w:fldChar w:fldCharType="end"/>
            </w:r>
          </w:hyperlink>
        </w:p>
        <w:p w14:paraId="60D82CDA" w14:textId="604FD747" w:rsidR="00413995" w:rsidRDefault="00413995">
          <w:pPr>
            <w:pStyle w:val="TOC1"/>
            <w:tabs>
              <w:tab w:val="right" w:leader="dot" w:pos="9782"/>
            </w:tabs>
            <w:rPr>
              <w:noProof/>
            </w:rPr>
          </w:pPr>
          <w:hyperlink w:anchor="_Toc231205083" w:history="1">
            <w:r w:rsidRPr="00F560E0">
              <w:rPr>
                <w:rStyle w:val="Hyperlink"/>
                <w:noProof/>
              </w:rPr>
              <w:t>Chapter 5 — Point Kinetics and Reactivity Models</w:t>
            </w:r>
            <w:r>
              <w:rPr>
                <w:noProof/>
                <w:webHidden/>
              </w:rPr>
              <w:tab/>
            </w:r>
            <w:r>
              <w:rPr>
                <w:noProof/>
                <w:webHidden/>
              </w:rPr>
              <w:fldChar w:fldCharType="begin"/>
            </w:r>
            <w:r>
              <w:rPr>
                <w:noProof/>
                <w:webHidden/>
              </w:rPr>
              <w:instrText xml:space="preserve"> PAGEREF _Toc231205083 \h </w:instrText>
            </w:r>
            <w:r>
              <w:rPr>
                <w:noProof/>
                <w:webHidden/>
              </w:rPr>
            </w:r>
            <w:r>
              <w:rPr>
                <w:noProof/>
                <w:webHidden/>
              </w:rPr>
              <w:fldChar w:fldCharType="separate"/>
            </w:r>
            <w:r>
              <w:rPr>
                <w:noProof/>
                <w:webHidden/>
              </w:rPr>
              <w:t>15</w:t>
            </w:r>
            <w:r>
              <w:rPr>
                <w:noProof/>
                <w:webHidden/>
              </w:rPr>
              <w:fldChar w:fldCharType="end"/>
            </w:r>
          </w:hyperlink>
        </w:p>
        <w:p w14:paraId="603D8EE5" w14:textId="68DFCDEF" w:rsidR="00413995" w:rsidRDefault="00413995">
          <w:pPr>
            <w:pStyle w:val="TOC2"/>
            <w:tabs>
              <w:tab w:val="right" w:leader="dot" w:pos="9782"/>
            </w:tabs>
            <w:rPr>
              <w:noProof/>
            </w:rPr>
          </w:pPr>
          <w:hyperlink w:anchor="_Toc231205084" w:history="1">
            <w:r w:rsidRPr="00F560E0">
              <w:rPr>
                <w:rStyle w:val="Hyperlink"/>
                <w:noProof/>
              </w:rPr>
              <w:t>5.1 Point-Kinetics Equations</w:t>
            </w:r>
            <w:r>
              <w:rPr>
                <w:noProof/>
                <w:webHidden/>
              </w:rPr>
              <w:tab/>
            </w:r>
            <w:r>
              <w:rPr>
                <w:noProof/>
                <w:webHidden/>
              </w:rPr>
              <w:fldChar w:fldCharType="begin"/>
            </w:r>
            <w:r>
              <w:rPr>
                <w:noProof/>
                <w:webHidden/>
              </w:rPr>
              <w:instrText xml:space="preserve"> PAGEREF _Toc231205084 \h </w:instrText>
            </w:r>
            <w:r>
              <w:rPr>
                <w:noProof/>
                <w:webHidden/>
              </w:rPr>
            </w:r>
            <w:r>
              <w:rPr>
                <w:noProof/>
                <w:webHidden/>
              </w:rPr>
              <w:fldChar w:fldCharType="separate"/>
            </w:r>
            <w:r>
              <w:rPr>
                <w:noProof/>
                <w:webHidden/>
              </w:rPr>
              <w:t>15</w:t>
            </w:r>
            <w:r>
              <w:rPr>
                <w:noProof/>
                <w:webHidden/>
              </w:rPr>
              <w:fldChar w:fldCharType="end"/>
            </w:r>
          </w:hyperlink>
        </w:p>
        <w:p w14:paraId="349FD004" w14:textId="3EFACA90" w:rsidR="00413995" w:rsidRDefault="00413995">
          <w:pPr>
            <w:pStyle w:val="TOC2"/>
            <w:tabs>
              <w:tab w:val="right" w:leader="dot" w:pos="9782"/>
            </w:tabs>
            <w:rPr>
              <w:noProof/>
            </w:rPr>
          </w:pPr>
          <w:hyperlink w:anchor="_Toc231205085" w:history="1">
            <w:r w:rsidRPr="00F560E0">
              <w:rPr>
                <w:rStyle w:val="Hyperlink"/>
                <w:noProof/>
              </w:rPr>
              <w:t>5.2 Reactivity Feedback</w:t>
            </w:r>
            <w:r>
              <w:rPr>
                <w:noProof/>
                <w:webHidden/>
              </w:rPr>
              <w:tab/>
            </w:r>
            <w:r>
              <w:rPr>
                <w:noProof/>
                <w:webHidden/>
              </w:rPr>
              <w:fldChar w:fldCharType="begin"/>
            </w:r>
            <w:r>
              <w:rPr>
                <w:noProof/>
                <w:webHidden/>
              </w:rPr>
              <w:instrText xml:space="preserve"> PAGEREF _Toc231205085 \h </w:instrText>
            </w:r>
            <w:r>
              <w:rPr>
                <w:noProof/>
                <w:webHidden/>
              </w:rPr>
            </w:r>
            <w:r>
              <w:rPr>
                <w:noProof/>
                <w:webHidden/>
              </w:rPr>
              <w:fldChar w:fldCharType="separate"/>
            </w:r>
            <w:r>
              <w:rPr>
                <w:noProof/>
                <w:webHidden/>
              </w:rPr>
              <w:t>16</w:t>
            </w:r>
            <w:r>
              <w:rPr>
                <w:noProof/>
                <w:webHidden/>
              </w:rPr>
              <w:fldChar w:fldCharType="end"/>
            </w:r>
          </w:hyperlink>
        </w:p>
        <w:p w14:paraId="71FC07B6" w14:textId="6091D541" w:rsidR="00413995" w:rsidRDefault="00413995">
          <w:pPr>
            <w:pStyle w:val="TOC2"/>
            <w:tabs>
              <w:tab w:val="right" w:leader="dot" w:pos="9782"/>
            </w:tabs>
            <w:rPr>
              <w:noProof/>
            </w:rPr>
          </w:pPr>
          <w:hyperlink w:anchor="_Toc231205086" w:history="1">
            <w:r w:rsidRPr="00F560E0">
              <w:rPr>
                <w:rStyle w:val="Hyperlink"/>
                <w:noProof/>
              </w:rPr>
              <w:t>5.3 Prompt Jump, Prompt Criticality, and Decay Heat</w:t>
            </w:r>
            <w:r>
              <w:rPr>
                <w:noProof/>
                <w:webHidden/>
              </w:rPr>
              <w:tab/>
            </w:r>
            <w:r>
              <w:rPr>
                <w:noProof/>
                <w:webHidden/>
              </w:rPr>
              <w:fldChar w:fldCharType="begin"/>
            </w:r>
            <w:r>
              <w:rPr>
                <w:noProof/>
                <w:webHidden/>
              </w:rPr>
              <w:instrText xml:space="preserve"> PAGEREF _Toc231205086 \h </w:instrText>
            </w:r>
            <w:r>
              <w:rPr>
                <w:noProof/>
                <w:webHidden/>
              </w:rPr>
            </w:r>
            <w:r>
              <w:rPr>
                <w:noProof/>
                <w:webHidden/>
              </w:rPr>
              <w:fldChar w:fldCharType="separate"/>
            </w:r>
            <w:r>
              <w:rPr>
                <w:noProof/>
                <w:webHidden/>
              </w:rPr>
              <w:t>16</w:t>
            </w:r>
            <w:r>
              <w:rPr>
                <w:noProof/>
                <w:webHidden/>
              </w:rPr>
              <w:fldChar w:fldCharType="end"/>
            </w:r>
          </w:hyperlink>
        </w:p>
        <w:p w14:paraId="6CC0BE49" w14:textId="38DF5960" w:rsidR="00413995" w:rsidRDefault="00413995">
          <w:pPr>
            <w:pStyle w:val="TOC1"/>
            <w:tabs>
              <w:tab w:val="right" w:leader="dot" w:pos="9782"/>
            </w:tabs>
            <w:rPr>
              <w:noProof/>
            </w:rPr>
          </w:pPr>
          <w:hyperlink w:anchor="_Toc231205087" w:history="1">
            <w:r w:rsidRPr="00F560E0">
              <w:rPr>
                <w:rStyle w:val="Hyperlink"/>
                <w:noProof/>
              </w:rPr>
              <w:t>Chapter 6 — Trip and Protection System Models</w:t>
            </w:r>
            <w:r>
              <w:rPr>
                <w:noProof/>
                <w:webHidden/>
              </w:rPr>
              <w:tab/>
            </w:r>
            <w:r>
              <w:rPr>
                <w:noProof/>
                <w:webHidden/>
              </w:rPr>
              <w:fldChar w:fldCharType="begin"/>
            </w:r>
            <w:r>
              <w:rPr>
                <w:noProof/>
                <w:webHidden/>
              </w:rPr>
              <w:instrText xml:space="preserve"> PAGEREF _Toc231205087 \h </w:instrText>
            </w:r>
            <w:r>
              <w:rPr>
                <w:noProof/>
                <w:webHidden/>
              </w:rPr>
            </w:r>
            <w:r>
              <w:rPr>
                <w:noProof/>
                <w:webHidden/>
              </w:rPr>
              <w:fldChar w:fldCharType="separate"/>
            </w:r>
            <w:r>
              <w:rPr>
                <w:noProof/>
                <w:webHidden/>
              </w:rPr>
              <w:t>17</w:t>
            </w:r>
            <w:r>
              <w:rPr>
                <w:noProof/>
                <w:webHidden/>
              </w:rPr>
              <w:fldChar w:fldCharType="end"/>
            </w:r>
          </w:hyperlink>
        </w:p>
        <w:p w14:paraId="3950E963" w14:textId="7290E4F1" w:rsidR="00413995" w:rsidRDefault="00413995">
          <w:pPr>
            <w:pStyle w:val="TOC2"/>
            <w:tabs>
              <w:tab w:val="right" w:leader="dot" w:pos="9782"/>
            </w:tabs>
            <w:rPr>
              <w:noProof/>
            </w:rPr>
          </w:pPr>
          <w:hyperlink w:anchor="_Toc231205088" w:history="1">
            <w:r w:rsidRPr="00F560E0">
              <w:rPr>
                <w:rStyle w:val="Hyperlink"/>
                <w:noProof/>
              </w:rPr>
              <w:t>6.1 Trip Logic</w:t>
            </w:r>
            <w:r>
              <w:rPr>
                <w:noProof/>
                <w:webHidden/>
              </w:rPr>
              <w:tab/>
            </w:r>
            <w:r>
              <w:rPr>
                <w:noProof/>
                <w:webHidden/>
              </w:rPr>
              <w:fldChar w:fldCharType="begin"/>
            </w:r>
            <w:r>
              <w:rPr>
                <w:noProof/>
                <w:webHidden/>
              </w:rPr>
              <w:instrText xml:space="preserve"> PAGEREF _Toc231205088 \h </w:instrText>
            </w:r>
            <w:r>
              <w:rPr>
                <w:noProof/>
                <w:webHidden/>
              </w:rPr>
            </w:r>
            <w:r>
              <w:rPr>
                <w:noProof/>
                <w:webHidden/>
              </w:rPr>
              <w:fldChar w:fldCharType="separate"/>
            </w:r>
            <w:r>
              <w:rPr>
                <w:noProof/>
                <w:webHidden/>
              </w:rPr>
              <w:t>17</w:t>
            </w:r>
            <w:r>
              <w:rPr>
                <w:noProof/>
                <w:webHidden/>
              </w:rPr>
              <w:fldChar w:fldCharType="end"/>
            </w:r>
          </w:hyperlink>
        </w:p>
        <w:p w14:paraId="70163FF9" w14:textId="4D74D5B9" w:rsidR="00413995" w:rsidRDefault="00413995">
          <w:pPr>
            <w:pStyle w:val="TOC2"/>
            <w:tabs>
              <w:tab w:val="right" w:leader="dot" w:pos="9782"/>
            </w:tabs>
            <w:rPr>
              <w:noProof/>
            </w:rPr>
          </w:pPr>
          <w:hyperlink w:anchor="_Toc231205089" w:history="1">
            <w:r w:rsidRPr="00F560E0">
              <w:rPr>
                <w:rStyle w:val="Hyperlink"/>
                <w:noProof/>
              </w:rPr>
              <w:t>6.2 ESFAS Actuation</w:t>
            </w:r>
            <w:r>
              <w:rPr>
                <w:noProof/>
                <w:webHidden/>
              </w:rPr>
              <w:tab/>
            </w:r>
            <w:r>
              <w:rPr>
                <w:noProof/>
                <w:webHidden/>
              </w:rPr>
              <w:fldChar w:fldCharType="begin"/>
            </w:r>
            <w:r>
              <w:rPr>
                <w:noProof/>
                <w:webHidden/>
              </w:rPr>
              <w:instrText xml:space="preserve"> PAGEREF _Toc231205089 \h </w:instrText>
            </w:r>
            <w:r>
              <w:rPr>
                <w:noProof/>
                <w:webHidden/>
              </w:rPr>
            </w:r>
            <w:r>
              <w:rPr>
                <w:noProof/>
                <w:webHidden/>
              </w:rPr>
              <w:fldChar w:fldCharType="separate"/>
            </w:r>
            <w:r>
              <w:rPr>
                <w:noProof/>
                <w:webHidden/>
              </w:rPr>
              <w:t>17</w:t>
            </w:r>
            <w:r>
              <w:rPr>
                <w:noProof/>
                <w:webHidden/>
              </w:rPr>
              <w:fldChar w:fldCharType="end"/>
            </w:r>
          </w:hyperlink>
        </w:p>
        <w:p w14:paraId="20A11876" w14:textId="7CB6D539" w:rsidR="00413995" w:rsidRDefault="00413995">
          <w:pPr>
            <w:pStyle w:val="TOC2"/>
            <w:tabs>
              <w:tab w:val="right" w:leader="dot" w:pos="9782"/>
            </w:tabs>
            <w:rPr>
              <w:noProof/>
            </w:rPr>
          </w:pPr>
          <w:hyperlink w:anchor="_Toc231205090" w:history="1">
            <w:r w:rsidRPr="00F560E0">
              <w:rPr>
                <w:rStyle w:val="Hyperlink"/>
                <w:noProof/>
              </w:rPr>
              <w:t>6.3 Numerical Latching and Event Reporting</w:t>
            </w:r>
            <w:r>
              <w:rPr>
                <w:noProof/>
                <w:webHidden/>
              </w:rPr>
              <w:tab/>
            </w:r>
            <w:r>
              <w:rPr>
                <w:noProof/>
                <w:webHidden/>
              </w:rPr>
              <w:fldChar w:fldCharType="begin"/>
            </w:r>
            <w:r>
              <w:rPr>
                <w:noProof/>
                <w:webHidden/>
              </w:rPr>
              <w:instrText xml:space="preserve"> PAGEREF _Toc231205090 \h </w:instrText>
            </w:r>
            <w:r>
              <w:rPr>
                <w:noProof/>
                <w:webHidden/>
              </w:rPr>
            </w:r>
            <w:r>
              <w:rPr>
                <w:noProof/>
                <w:webHidden/>
              </w:rPr>
              <w:fldChar w:fldCharType="separate"/>
            </w:r>
            <w:r>
              <w:rPr>
                <w:noProof/>
                <w:webHidden/>
              </w:rPr>
              <w:t>17</w:t>
            </w:r>
            <w:r>
              <w:rPr>
                <w:noProof/>
                <w:webHidden/>
              </w:rPr>
              <w:fldChar w:fldCharType="end"/>
            </w:r>
          </w:hyperlink>
        </w:p>
        <w:p w14:paraId="5F343B03" w14:textId="785563E8" w:rsidR="00413995" w:rsidRDefault="00413995">
          <w:pPr>
            <w:pStyle w:val="TOC1"/>
            <w:tabs>
              <w:tab w:val="right" w:leader="dot" w:pos="9782"/>
            </w:tabs>
            <w:rPr>
              <w:noProof/>
            </w:rPr>
          </w:pPr>
          <w:hyperlink w:anchor="_Toc231205091" w:history="1">
            <w:r w:rsidRPr="00F560E0">
              <w:rPr>
                <w:rStyle w:val="Hyperlink"/>
                <w:noProof/>
              </w:rPr>
              <w:t>Chapter 7 — Input Format, Parameters, and Output Variables</w:t>
            </w:r>
            <w:r>
              <w:rPr>
                <w:noProof/>
                <w:webHidden/>
              </w:rPr>
              <w:tab/>
            </w:r>
            <w:r>
              <w:rPr>
                <w:noProof/>
                <w:webHidden/>
              </w:rPr>
              <w:fldChar w:fldCharType="begin"/>
            </w:r>
            <w:r>
              <w:rPr>
                <w:noProof/>
                <w:webHidden/>
              </w:rPr>
              <w:instrText xml:space="preserve"> PAGEREF _Toc231205091 \h </w:instrText>
            </w:r>
            <w:r>
              <w:rPr>
                <w:noProof/>
                <w:webHidden/>
              </w:rPr>
            </w:r>
            <w:r>
              <w:rPr>
                <w:noProof/>
                <w:webHidden/>
              </w:rPr>
              <w:fldChar w:fldCharType="separate"/>
            </w:r>
            <w:r>
              <w:rPr>
                <w:noProof/>
                <w:webHidden/>
              </w:rPr>
              <w:t>17</w:t>
            </w:r>
            <w:r>
              <w:rPr>
                <w:noProof/>
                <w:webHidden/>
              </w:rPr>
              <w:fldChar w:fldCharType="end"/>
            </w:r>
          </w:hyperlink>
        </w:p>
        <w:p w14:paraId="71C8BB40" w14:textId="72159400" w:rsidR="00413995" w:rsidRDefault="00413995">
          <w:pPr>
            <w:pStyle w:val="TOC2"/>
            <w:tabs>
              <w:tab w:val="right" w:leader="dot" w:pos="9782"/>
            </w:tabs>
            <w:rPr>
              <w:noProof/>
            </w:rPr>
          </w:pPr>
          <w:hyperlink w:anchor="_Toc231205092" w:history="1">
            <w:r w:rsidRPr="00F560E0">
              <w:rPr>
                <w:rStyle w:val="Hyperlink"/>
                <w:noProof/>
              </w:rPr>
              <w:t>7.1 Input Workbook Structure</w:t>
            </w:r>
            <w:r>
              <w:rPr>
                <w:noProof/>
                <w:webHidden/>
              </w:rPr>
              <w:tab/>
            </w:r>
            <w:r>
              <w:rPr>
                <w:noProof/>
                <w:webHidden/>
              </w:rPr>
              <w:fldChar w:fldCharType="begin"/>
            </w:r>
            <w:r>
              <w:rPr>
                <w:noProof/>
                <w:webHidden/>
              </w:rPr>
              <w:instrText xml:space="preserve"> PAGEREF _Toc231205092 \h </w:instrText>
            </w:r>
            <w:r>
              <w:rPr>
                <w:noProof/>
                <w:webHidden/>
              </w:rPr>
            </w:r>
            <w:r>
              <w:rPr>
                <w:noProof/>
                <w:webHidden/>
              </w:rPr>
              <w:fldChar w:fldCharType="separate"/>
            </w:r>
            <w:r>
              <w:rPr>
                <w:noProof/>
                <w:webHidden/>
              </w:rPr>
              <w:t>17</w:t>
            </w:r>
            <w:r>
              <w:rPr>
                <w:noProof/>
                <w:webHidden/>
              </w:rPr>
              <w:fldChar w:fldCharType="end"/>
            </w:r>
          </w:hyperlink>
        </w:p>
        <w:p w14:paraId="3CC48C4C" w14:textId="46767981" w:rsidR="00413995" w:rsidRDefault="00413995">
          <w:pPr>
            <w:pStyle w:val="TOC2"/>
            <w:tabs>
              <w:tab w:val="right" w:leader="dot" w:pos="9782"/>
            </w:tabs>
            <w:rPr>
              <w:noProof/>
            </w:rPr>
          </w:pPr>
          <w:hyperlink w:anchor="_Toc231205093" w:history="1">
            <w:r w:rsidRPr="00F560E0">
              <w:rPr>
                <w:rStyle w:val="Hyperlink"/>
                <w:noProof/>
              </w:rPr>
              <w:t>7.2 Parameter Classes</w:t>
            </w:r>
            <w:r>
              <w:rPr>
                <w:noProof/>
                <w:webHidden/>
              </w:rPr>
              <w:tab/>
            </w:r>
            <w:r>
              <w:rPr>
                <w:noProof/>
                <w:webHidden/>
              </w:rPr>
              <w:fldChar w:fldCharType="begin"/>
            </w:r>
            <w:r>
              <w:rPr>
                <w:noProof/>
                <w:webHidden/>
              </w:rPr>
              <w:instrText xml:space="preserve"> PAGEREF _Toc231205093 \h </w:instrText>
            </w:r>
            <w:r>
              <w:rPr>
                <w:noProof/>
                <w:webHidden/>
              </w:rPr>
            </w:r>
            <w:r>
              <w:rPr>
                <w:noProof/>
                <w:webHidden/>
              </w:rPr>
              <w:fldChar w:fldCharType="separate"/>
            </w:r>
            <w:r>
              <w:rPr>
                <w:noProof/>
                <w:webHidden/>
              </w:rPr>
              <w:t>17</w:t>
            </w:r>
            <w:r>
              <w:rPr>
                <w:noProof/>
                <w:webHidden/>
              </w:rPr>
              <w:fldChar w:fldCharType="end"/>
            </w:r>
          </w:hyperlink>
        </w:p>
        <w:p w14:paraId="5B4717CC" w14:textId="4EB01A6F" w:rsidR="00413995" w:rsidRDefault="00413995">
          <w:pPr>
            <w:pStyle w:val="TOC2"/>
            <w:tabs>
              <w:tab w:val="right" w:leader="dot" w:pos="9782"/>
            </w:tabs>
            <w:rPr>
              <w:noProof/>
            </w:rPr>
          </w:pPr>
          <w:hyperlink w:anchor="_Toc231205094" w:history="1">
            <w:r w:rsidRPr="00F560E0">
              <w:rPr>
                <w:rStyle w:val="Hyperlink"/>
                <w:noProof/>
              </w:rPr>
              <w:t>7.3 Output Files</w:t>
            </w:r>
            <w:r>
              <w:rPr>
                <w:noProof/>
                <w:webHidden/>
              </w:rPr>
              <w:tab/>
            </w:r>
            <w:r>
              <w:rPr>
                <w:noProof/>
                <w:webHidden/>
              </w:rPr>
              <w:fldChar w:fldCharType="begin"/>
            </w:r>
            <w:r>
              <w:rPr>
                <w:noProof/>
                <w:webHidden/>
              </w:rPr>
              <w:instrText xml:space="preserve"> PAGEREF _Toc231205094 \h </w:instrText>
            </w:r>
            <w:r>
              <w:rPr>
                <w:noProof/>
                <w:webHidden/>
              </w:rPr>
            </w:r>
            <w:r>
              <w:rPr>
                <w:noProof/>
                <w:webHidden/>
              </w:rPr>
              <w:fldChar w:fldCharType="separate"/>
            </w:r>
            <w:r>
              <w:rPr>
                <w:noProof/>
                <w:webHidden/>
              </w:rPr>
              <w:t>18</w:t>
            </w:r>
            <w:r>
              <w:rPr>
                <w:noProof/>
                <w:webHidden/>
              </w:rPr>
              <w:fldChar w:fldCharType="end"/>
            </w:r>
          </w:hyperlink>
        </w:p>
        <w:p w14:paraId="5168E54B" w14:textId="04A50A15" w:rsidR="00413995" w:rsidRDefault="00413995">
          <w:pPr>
            <w:pStyle w:val="TOC1"/>
            <w:tabs>
              <w:tab w:val="right" w:leader="dot" w:pos="9782"/>
            </w:tabs>
            <w:rPr>
              <w:noProof/>
            </w:rPr>
          </w:pPr>
          <w:hyperlink w:anchor="_Toc231205095" w:history="1">
            <w:r w:rsidRPr="00F560E0">
              <w:rPr>
                <w:rStyle w:val="Hyperlink"/>
                <w:noProof/>
              </w:rPr>
              <w:t>Chapter 8 — Uncertainty Analysis</w:t>
            </w:r>
            <w:r>
              <w:rPr>
                <w:noProof/>
                <w:webHidden/>
              </w:rPr>
              <w:tab/>
            </w:r>
            <w:r>
              <w:rPr>
                <w:noProof/>
                <w:webHidden/>
              </w:rPr>
              <w:fldChar w:fldCharType="begin"/>
            </w:r>
            <w:r>
              <w:rPr>
                <w:noProof/>
                <w:webHidden/>
              </w:rPr>
              <w:instrText xml:space="preserve"> PAGEREF _Toc231205095 \h </w:instrText>
            </w:r>
            <w:r>
              <w:rPr>
                <w:noProof/>
                <w:webHidden/>
              </w:rPr>
            </w:r>
            <w:r>
              <w:rPr>
                <w:noProof/>
                <w:webHidden/>
              </w:rPr>
              <w:fldChar w:fldCharType="separate"/>
            </w:r>
            <w:r>
              <w:rPr>
                <w:noProof/>
                <w:webHidden/>
              </w:rPr>
              <w:t>18</w:t>
            </w:r>
            <w:r>
              <w:rPr>
                <w:noProof/>
                <w:webHidden/>
              </w:rPr>
              <w:fldChar w:fldCharType="end"/>
            </w:r>
          </w:hyperlink>
        </w:p>
        <w:p w14:paraId="40315593" w14:textId="3F3E9E20" w:rsidR="00413995" w:rsidRDefault="00413995">
          <w:pPr>
            <w:pStyle w:val="TOC2"/>
            <w:tabs>
              <w:tab w:val="right" w:leader="dot" w:pos="9782"/>
            </w:tabs>
            <w:rPr>
              <w:noProof/>
            </w:rPr>
          </w:pPr>
          <w:hyperlink w:anchor="_Toc231205096" w:history="1">
            <w:r w:rsidRPr="00F560E0">
              <w:rPr>
                <w:rStyle w:val="Hyperlink"/>
                <w:noProof/>
              </w:rPr>
              <w:t>8.1 Role of Uncertainty Analysis in FLARE</w:t>
            </w:r>
            <w:r>
              <w:rPr>
                <w:noProof/>
                <w:webHidden/>
              </w:rPr>
              <w:tab/>
            </w:r>
            <w:r>
              <w:rPr>
                <w:noProof/>
                <w:webHidden/>
              </w:rPr>
              <w:fldChar w:fldCharType="begin"/>
            </w:r>
            <w:r>
              <w:rPr>
                <w:noProof/>
                <w:webHidden/>
              </w:rPr>
              <w:instrText xml:space="preserve"> PAGEREF _Toc231205096 \h </w:instrText>
            </w:r>
            <w:r>
              <w:rPr>
                <w:noProof/>
                <w:webHidden/>
              </w:rPr>
            </w:r>
            <w:r>
              <w:rPr>
                <w:noProof/>
                <w:webHidden/>
              </w:rPr>
              <w:fldChar w:fldCharType="separate"/>
            </w:r>
            <w:r>
              <w:rPr>
                <w:noProof/>
                <w:webHidden/>
              </w:rPr>
              <w:t>18</w:t>
            </w:r>
            <w:r>
              <w:rPr>
                <w:noProof/>
                <w:webHidden/>
              </w:rPr>
              <w:fldChar w:fldCharType="end"/>
            </w:r>
          </w:hyperlink>
        </w:p>
        <w:p w14:paraId="3FACAE63" w14:textId="543481A2" w:rsidR="00413995" w:rsidRDefault="00413995">
          <w:pPr>
            <w:pStyle w:val="TOC2"/>
            <w:tabs>
              <w:tab w:val="right" w:leader="dot" w:pos="9782"/>
            </w:tabs>
            <w:rPr>
              <w:noProof/>
            </w:rPr>
          </w:pPr>
          <w:hyperlink w:anchor="_Toc231205097" w:history="1">
            <w:r w:rsidRPr="00F560E0">
              <w:rPr>
                <w:rStyle w:val="Hyperlink"/>
                <w:noProof/>
              </w:rPr>
              <w:t>8.2 Sampling of Input Uncertainties</w:t>
            </w:r>
            <w:r>
              <w:rPr>
                <w:noProof/>
                <w:webHidden/>
              </w:rPr>
              <w:tab/>
            </w:r>
            <w:r>
              <w:rPr>
                <w:noProof/>
                <w:webHidden/>
              </w:rPr>
              <w:fldChar w:fldCharType="begin"/>
            </w:r>
            <w:r>
              <w:rPr>
                <w:noProof/>
                <w:webHidden/>
              </w:rPr>
              <w:instrText xml:space="preserve"> PAGEREF _Toc231205097 \h </w:instrText>
            </w:r>
            <w:r>
              <w:rPr>
                <w:noProof/>
                <w:webHidden/>
              </w:rPr>
            </w:r>
            <w:r>
              <w:rPr>
                <w:noProof/>
                <w:webHidden/>
              </w:rPr>
              <w:fldChar w:fldCharType="separate"/>
            </w:r>
            <w:r>
              <w:rPr>
                <w:noProof/>
                <w:webHidden/>
              </w:rPr>
              <w:t>19</w:t>
            </w:r>
            <w:r>
              <w:rPr>
                <w:noProof/>
                <w:webHidden/>
              </w:rPr>
              <w:fldChar w:fldCharType="end"/>
            </w:r>
          </w:hyperlink>
        </w:p>
        <w:p w14:paraId="5EAAD877" w14:textId="1C66C39E" w:rsidR="00413995" w:rsidRDefault="00413995">
          <w:pPr>
            <w:pStyle w:val="TOC2"/>
            <w:tabs>
              <w:tab w:val="right" w:leader="dot" w:pos="9782"/>
            </w:tabs>
            <w:rPr>
              <w:noProof/>
            </w:rPr>
          </w:pPr>
          <w:hyperlink w:anchor="_Toc231205098" w:history="1">
            <w:r w:rsidRPr="00F560E0">
              <w:rPr>
                <w:rStyle w:val="Hyperlink"/>
                <w:noProof/>
              </w:rPr>
              <w:t>8.3 Order Statistics and the One-Sided Tolerance Limit</w:t>
            </w:r>
            <w:r>
              <w:rPr>
                <w:noProof/>
                <w:webHidden/>
              </w:rPr>
              <w:tab/>
            </w:r>
            <w:r>
              <w:rPr>
                <w:noProof/>
                <w:webHidden/>
              </w:rPr>
              <w:fldChar w:fldCharType="begin"/>
            </w:r>
            <w:r>
              <w:rPr>
                <w:noProof/>
                <w:webHidden/>
              </w:rPr>
              <w:instrText xml:space="preserve"> PAGEREF _Toc231205098 \h </w:instrText>
            </w:r>
            <w:r>
              <w:rPr>
                <w:noProof/>
                <w:webHidden/>
              </w:rPr>
            </w:r>
            <w:r>
              <w:rPr>
                <w:noProof/>
                <w:webHidden/>
              </w:rPr>
              <w:fldChar w:fldCharType="separate"/>
            </w:r>
            <w:r>
              <w:rPr>
                <w:noProof/>
                <w:webHidden/>
              </w:rPr>
              <w:t>19</w:t>
            </w:r>
            <w:r>
              <w:rPr>
                <w:noProof/>
                <w:webHidden/>
              </w:rPr>
              <w:fldChar w:fldCharType="end"/>
            </w:r>
          </w:hyperlink>
        </w:p>
        <w:p w14:paraId="5B3F3887" w14:textId="08C675F6" w:rsidR="00413995" w:rsidRDefault="00413995">
          <w:pPr>
            <w:pStyle w:val="TOC2"/>
            <w:tabs>
              <w:tab w:val="right" w:leader="dot" w:pos="9782"/>
            </w:tabs>
            <w:rPr>
              <w:noProof/>
            </w:rPr>
          </w:pPr>
          <w:hyperlink w:anchor="_Toc231205099" w:history="1">
            <w:r w:rsidRPr="00F560E0">
              <w:rPr>
                <w:rStyle w:val="Hyperlink"/>
                <w:noProof/>
              </w:rPr>
              <w:t>8.4 First-Order Wilks Formula</w:t>
            </w:r>
            <w:r>
              <w:rPr>
                <w:noProof/>
                <w:webHidden/>
              </w:rPr>
              <w:tab/>
            </w:r>
            <w:r>
              <w:rPr>
                <w:noProof/>
                <w:webHidden/>
              </w:rPr>
              <w:fldChar w:fldCharType="begin"/>
            </w:r>
            <w:r>
              <w:rPr>
                <w:noProof/>
                <w:webHidden/>
              </w:rPr>
              <w:instrText xml:space="preserve"> PAGEREF _Toc231205099 \h </w:instrText>
            </w:r>
            <w:r>
              <w:rPr>
                <w:noProof/>
                <w:webHidden/>
              </w:rPr>
            </w:r>
            <w:r>
              <w:rPr>
                <w:noProof/>
                <w:webHidden/>
              </w:rPr>
              <w:fldChar w:fldCharType="separate"/>
            </w:r>
            <w:r>
              <w:rPr>
                <w:noProof/>
                <w:webHidden/>
              </w:rPr>
              <w:t>20</w:t>
            </w:r>
            <w:r>
              <w:rPr>
                <w:noProof/>
                <w:webHidden/>
              </w:rPr>
              <w:fldChar w:fldCharType="end"/>
            </w:r>
          </w:hyperlink>
        </w:p>
        <w:p w14:paraId="23687114" w14:textId="08F571D6" w:rsidR="00413995" w:rsidRDefault="00413995">
          <w:pPr>
            <w:pStyle w:val="TOC2"/>
            <w:tabs>
              <w:tab w:val="right" w:leader="dot" w:pos="9782"/>
            </w:tabs>
            <w:rPr>
              <w:noProof/>
            </w:rPr>
          </w:pPr>
          <w:hyperlink w:anchor="_Toc231205100" w:history="1">
            <w:r w:rsidRPr="00F560E0">
              <w:rPr>
                <w:rStyle w:val="Hyperlink"/>
                <w:noProof/>
              </w:rPr>
              <w:t>8.5 Higher-Order Wilks Estimates</w:t>
            </w:r>
            <w:r>
              <w:rPr>
                <w:noProof/>
                <w:webHidden/>
              </w:rPr>
              <w:tab/>
            </w:r>
            <w:r>
              <w:rPr>
                <w:noProof/>
                <w:webHidden/>
              </w:rPr>
              <w:fldChar w:fldCharType="begin"/>
            </w:r>
            <w:r>
              <w:rPr>
                <w:noProof/>
                <w:webHidden/>
              </w:rPr>
              <w:instrText xml:space="preserve"> PAGEREF _Toc231205100 \h </w:instrText>
            </w:r>
            <w:r>
              <w:rPr>
                <w:noProof/>
                <w:webHidden/>
              </w:rPr>
            </w:r>
            <w:r>
              <w:rPr>
                <w:noProof/>
                <w:webHidden/>
              </w:rPr>
              <w:fldChar w:fldCharType="separate"/>
            </w:r>
            <w:r>
              <w:rPr>
                <w:noProof/>
                <w:webHidden/>
              </w:rPr>
              <w:t>20</w:t>
            </w:r>
            <w:r>
              <w:rPr>
                <w:noProof/>
                <w:webHidden/>
              </w:rPr>
              <w:fldChar w:fldCharType="end"/>
            </w:r>
          </w:hyperlink>
        </w:p>
        <w:p w14:paraId="78C6E487" w14:textId="2CBC3461" w:rsidR="00413995" w:rsidRDefault="00413995">
          <w:pPr>
            <w:pStyle w:val="TOC2"/>
            <w:tabs>
              <w:tab w:val="right" w:leader="dot" w:pos="9782"/>
            </w:tabs>
            <w:rPr>
              <w:noProof/>
            </w:rPr>
          </w:pPr>
          <w:hyperlink w:anchor="_Toc231205101" w:history="1">
            <w:r w:rsidRPr="00F560E0">
              <w:rPr>
                <w:rStyle w:val="Hyperlink"/>
                <w:noProof/>
              </w:rPr>
              <w:t>8.6 Acceptance Criteria Versus Tolerance Limits</w:t>
            </w:r>
            <w:r>
              <w:rPr>
                <w:noProof/>
                <w:webHidden/>
              </w:rPr>
              <w:tab/>
            </w:r>
            <w:r>
              <w:rPr>
                <w:noProof/>
                <w:webHidden/>
              </w:rPr>
              <w:fldChar w:fldCharType="begin"/>
            </w:r>
            <w:r>
              <w:rPr>
                <w:noProof/>
                <w:webHidden/>
              </w:rPr>
              <w:instrText xml:space="preserve"> PAGEREF _Toc231205101 \h </w:instrText>
            </w:r>
            <w:r>
              <w:rPr>
                <w:noProof/>
                <w:webHidden/>
              </w:rPr>
            </w:r>
            <w:r>
              <w:rPr>
                <w:noProof/>
                <w:webHidden/>
              </w:rPr>
              <w:fldChar w:fldCharType="separate"/>
            </w:r>
            <w:r>
              <w:rPr>
                <w:noProof/>
                <w:webHidden/>
              </w:rPr>
              <w:t>21</w:t>
            </w:r>
            <w:r>
              <w:rPr>
                <w:noProof/>
                <w:webHidden/>
              </w:rPr>
              <w:fldChar w:fldCharType="end"/>
            </w:r>
          </w:hyperlink>
        </w:p>
        <w:p w14:paraId="013A0E33" w14:textId="5EF548F1" w:rsidR="00413995" w:rsidRDefault="00413995">
          <w:pPr>
            <w:pStyle w:val="TOC2"/>
            <w:tabs>
              <w:tab w:val="right" w:leader="dot" w:pos="9782"/>
            </w:tabs>
            <w:rPr>
              <w:noProof/>
            </w:rPr>
          </w:pPr>
          <w:hyperlink w:anchor="_Toc231205102" w:history="1">
            <w:r w:rsidRPr="00F560E0">
              <w:rPr>
                <w:rStyle w:val="Hyperlink"/>
                <w:noProof/>
              </w:rPr>
              <w:t>8.7 Multiple Figures of Merit</w:t>
            </w:r>
            <w:r>
              <w:rPr>
                <w:noProof/>
                <w:webHidden/>
              </w:rPr>
              <w:tab/>
            </w:r>
            <w:r>
              <w:rPr>
                <w:noProof/>
                <w:webHidden/>
              </w:rPr>
              <w:fldChar w:fldCharType="begin"/>
            </w:r>
            <w:r>
              <w:rPr>
                <w:noProof/>
                <w:webHidden/>
              </w:rPr>
              <w:instrText xml:space="preserve"> PAGEREF _Toc231205102 \h </w:instrText>
            </w:r>
            <w:r>
              <w:rPr>
                <w:noProof/>
                <w:webHidden/>
              </w:rPr>
            </w:r>
            <w:r>
              <w:rPr>
                <w:noProof/>
                <w:webHidden/>
              </w:rPr>
              <w:fldChar w:fldCharType="separate"/>
            </w:r>
            <w:r>
              <w:rPr>
                <w:noProof/>
                <w:webHidden/>
              </w:rPr>
              <w:t>21</w:t>
            </w:r>
            <w:r>
              <w:rPr>
                <w:noProof/>
                <w:webHidden/>
              </w:rPr>
              <w:fldChar w:fldCharType="end"/>
            </w:r>
          </w:hyperlink>
        </w:p>
        <w:p w14:paraId="2B3F7772" w14:textId="1F6F386E" w:rsidR="00413995" w:rsidRDefault="00413995">
          <w:pPr>
            <w:pStyle w:val="TOC2"/>
            <w:tabs>
              <w:tab w:val="right" w:leader="dot" w:pos="9782"/>
            </w:tabs>
            <w:rPr>
              <w:noProof/>
            </w:rPr>
          </w:pPr>
          <w:hyperlink w:anchor="_Toc231205103" w:history="1">
            <w:r w:rsidRPr="00F560E0">
              <w:rPr>
                <w:rStyle w:val="Hyperlink"/>
                <w:noProof/>
              </w:rPr>
              <w:t>8.8 Testing Method for Fixed Acceptance Limits</w:t>
            </w:r>
            <w:r>
              <w:rPr>
                <w:noProof/>
                <w:webHidden/>
              </w:rPr>
              <w:tab/>
            </w:r>
            <w:r>
              <w:rPr>
                <w:noProof/>
                <w:webHidden/>
              </w:rPr>
              <w:fldChar w:fldCharType="begin"/>
            </w:r>
            <w:r>
              <w:rPr>
                <w:noProof/>
                <w:webHidden/>
              </w:rPr>
              <w:instrText xml:space="preserve"> PAGEREF _Toc231205103 \h </w:instrText>
            </w:r>
            <w:r>
              <w:rPr>
                <w:noProof/>
                <w:webHidden/>
              </w:rPr>
            </w:r>
            <w:r>
              <w:rPr>
                <w:noProof/>
                <w:webHidden/>
              </w:rPr>
              <w:fldChar w:fldCharType="separate"/>
            </w:r>
            <w:r>
              <w:rPr>
                <w:noProof/>
                <w:webHidden/>
              </w:rPr>
              <w:t>22</w:t>
            </w:r>
            <w:r>
              <w:rPr>
                <w:noProof/>
                <w:webHidden/>
              </w:rPr>
              <w:fldChar w:fldCharType="end"/>
            </w:r>
          </w:hyperlink>
        </w:p>
        <w:p w14:paraId="3CD61DBE" w14:textId="5FAF9615" w:rsidR="00413995" w:rsidRDefault="00413995">
          <w:pPr>
            <w:pStyle w:val="TOC2"/>
            <w:tabs>
              <w:tab w:val="right" w:leader="dot" w:pos="9782"/>
            </w:tabs>
            <w:rPr>
              <w:noProof/>
            </w:rPr>
          </w:pPr>
          <w:hyperlink w:anchor="_Toc231205104" w:history="1">
            <w:r w:rsidRPr="00F560E0">
              <w:rPr>
                <w:rStyle w:val="Hyperlink"/>
                <w:noProof/>
              </w:rPr>
              <w:t>8.9 FLARE Implementation and Reporting</w:t>
            </w:r>
            <w:r>
              <w:rPr>
                <w:noProof/>
                <w:webHidden/>
              </w:rPr>
              <w:tab/>
            </w:r>
            <w:r>
              <w:rPr>
                <w:noProof/>
                <w:webHidden/>
              </w:rPr>
              <w:fldChar w:fldCharType="begin"/>
            </w:r>
            <w:r>
              <w:rPr>
                <w:noProof/>
                <w:webHidden/>
              </w:rPr>
              <w:instrText xml:space="preserve"> PAGEREF _Toc231205104 \h </w:instrText>
            </w:r>
            <w:r>
              <w:rPr>
                <w:noProof/>
                <w:webHidden/>
              </w:rPr>
            </w:r>
            <w:r>
              <w:rPr>
                <w:noProof/>
                <w:webHidden/>
              </w:rPr>
              <w:fldChar w:fldCharType="separate"/>
            </w:r>
            <w:r>
              <w:rPr>
                <w:noProof/>
                <w:webHidden/>
              </w:rPr>
              <w:t>22</w:t>
            </w:r>
            <w:r>
              <w:rPr>
                <w:noProof/>
                <w:webHidden/>
              </w:rPr>
              <w:fldChar w:fldCharType="end"/>
            </w:r>
          </w:hyperlink>
        </w:p>
        <w:p w14:paraId="7D3FD261" w14:textId="7C21193D" w:rsidR="00413995" w:rsidRDefault="00413995">
          <w:pPr>
            <w:pStyle w:val="TOC2"/>
            <w:tabs>
              <w:tab w:val="right" w:leader="dot" w:pos="9782"/>
            </w:tabs>
            <w:rPr>
              <w:noProof/>
            </w:rPr>
          </w:pPr>
          <w:hyperlink w:anchor="_Toc231205105" w:history="1">
            <w:r w:rsidRPr="00F560E0">
              <w:rPr>
                <w:rStyle w:val="Hyperlink"/>
                <w:noProof/>
              </w:rPr>
              <w:t>8.10 Interpretation and Limitations</w:t>
            </w:r>
            <w:r>
              <w:rPr>
                <w:noProof/>
                <w:webHidden/>
              </w:rPr>
              <w:tab/>
            </w:r>
            <w:r>
              <w:rPr>
                <w:noProof/>
                <w:webHidden/>
              </w:rPr>
              <w:fldChar w:fldCharType="begin"/>
            </w:r>
            <w:r>
              <w:rPr>
                <w:noProof/>
                <w:webHidden/>
              </w:rPr>
              <w:instrText xml:space="preserve"> PAGEREF _Toc231205105 \h </w:instrText>
            </w:r>
            <w:r>
              <w:rPr>
                <w:noProof/>
                <w:webHidden/>
              </w:rPr>
            </w:r>
            <w:r>
              <w:rPr>
                <w:noProof/>
                <w:webHidden/>
              </w:rPr>
              <w:fldChar w:fldCharType="separate"/>
            </w:r>
            <w:r>
              <w:rPr>
                <w:noProof/>
                <w:webHidden/>
              </w:rPr>
              <w:t>23</w:t>
            </w:r>
            <w:r>
              <w:rPr>
                <w:noProof/>
                <w:webHidden/>
              </w:rPr>
              <w:fldChar w:fldCharType="end"/>
            </w:r>
          </w:hyperlink>
        </w:p>
        <w:p w14:paraId="1476DF5B" w14:textId="44D61A3A" w:rsidR="00413995" w:rsidRDefault="00413995">
          <w:pPr>
            <w:pStyle w:val="TOC1"/>
            <w:tabs>
              <w:tab w:val="right" w:leader="dot" w:pos="9782"/>
            </w:tabs>
            <w:rPr>
              <w:noProof/>
            </w:rPr>
          </w:pPr>
          <w:hyperlink w:anchor="_Toc231205106" w:history="1">
            <w:r w:rsidRPr="00F560E0">
              <w:rPr>
                <w:rStyle w:val="Hyperlink"/>
                <w:noProof/>
              </w:rPr>
              <w:t>Chapter 9 — Source-Term and Radiological Dose Models</w:t>
            </w:r>
            <w:r>
              <w:rPr>
                <w:noProof/>
                <w:webHidden/>
              </w:rPr>
              <w:tab/>
            </w:r>
            <w:r>
              <w:rPr>
                <w:noProof/>
                <w:webHidden/>
              </w:rPr>
              <w:fldChar w:fldCharType="begin"/>
            </w:r>
            <w:r>
              <w:rPr>
                <w:noProof/>
                <w:webHidden/>
              </w:rPr>
              <w:instrText xml:space="preserve"> PAGEREF _Toc231205106 \h </w:instrText>
            </w:r>
            <w:r>
              <w:rPr>
                <w:noProof/>
                <w:webHidden/>
              </w:rPr>
            </w:r>
            <w:r>
              <w:rPr>
                <w:noProof/>
                <w:webHidden/>
              </w:rPr>
              <w:fldChar w:fldCharType="separate"/>
            </w:r>
            <w:r>
              <w:rPr>
                <w:noProof/>
                <w:webHidden/>
              </w:rPr>
              <w:t>23</w:t>
            </w:r>
            <w:r>
              <w:rPr>
                <w:noProof/>
                <w:webHidden/>
              </w:rPr>
              <w:fldChar w:fldCharType="end"/>
            </w:r>
          </w:hyperlink>
        </w:p>
        <w:p w14:paraId="2F637350" w14:textId="26BFF458" w:rsidR="00413995" w:rsidRDefault="00413995">
          <w:pPr>
            <w:pStyle w:val="TOC2"/>
            <w:tabs>
              <w:tab w:val="right" w:leader="dot" w:pos="9782"/>
            </w:tabs>
            <w:rPr>
              <w:noProof/>
            </w:rPr>
          </w:pPr>
          <w:hyperlink w:anchor="_Toc231205107" w:history="1">
            <w:r w:rsidRPr="00F560E0">
              <w:rPr>
                <w:rStyle w:val="Hyperlink"/>
                <w:noProof/>
              </w:rPr>
              <w:t>9.1 Fuel Failure Indicators</w:t>
            </w:r>
            <w:r>
              <w:rPr>
                <w:noProof/>
                <w:webHidden/>
              </w:rPr>
              <w:tab/>
            </w:r>
            <w:r>
              <w:rPr>
                <w:noProof/>
                <w:webHidden/>
              </w:rPr>
              <w:fldChar w:fldCharType="begin"/>
            </w:r>
            <w:r>
              <w:rPr>
                <w:noProof/>
                <w:webHidden/>
              </w:rPr>
              <w:instrText xml:space="preserve"> PAGEREF _Toc231205107 \h </w:instrText>
            </w:r>
            <w:r>
              <w:rPr>
                <w:noProof/>
                <w:webHidden/>
              </w:rPr>
            </w:r>
            <w:r>
              <w:rPr>
                <w:noProof/>
                <w:webHidden/>
              </w:rPr>
              <w:fldChar w:fldCharType="separate"/>
            </w:r>
            <w:r>
              <w:rPr>
                <w:noProof/>
                <w:webHidden/>
              </w:rPr>
              <w:t>23</w:t>
            </w:r>
            <w:r>
              <w:rPr>
                <w:noProof/>
                <w:webHidden/>
              </w:rPr>
              <w:fldChar w:fldCharType="end"/>
            </w:r>
          </w:hyperlink>
        </w:p>
        <w:p w14:paraId="154B81F5" w14:textId="00B2114C" w:rsidR="00413995" w:rsidRDefault="00413995">
          <w:pPr>
            <w:pStyle w:val="TOC2"/>
            <w:tabs>
              <w:tab w:val="right" w:leader="dot" w:pos="9782"/>
            </w:tabs>
            <w:rPr>
              <w:noProof/>
            </w:rPr>
          </w:pPr>
          <w:hyperlink w:anchor="_Toc231205108" w:history="1">
            <w:r w:rsidRPr="00F560E0">
              <w:rPr>
                <w:rStyle w:val="Hyperlink"/>
                <w:noProof/>
              </w:rPr>
              <w:t>9.2 Temperature Distribution and Failed Fraction</w:t>
            </w:r>
            <w:r>
              <w:rPr>
                <w:noProof/>
                <w:webHidden/>
              </w:rPr>
              <w:tab/>
            </w:r>
            <w:r>
              <w:rPr>
                <w:noProof/>
                <w:webHidden/>
              </w:rPr>
              <w:fldChar w:fldCharType="begin"/>
            </w:r>
            <w:r>
              <w:rPr>
                <w:noProof/>
                <w:webHidden/>
              </w:rPr>
              <w:instrText xml:space="preserve"> PAGEREF _Toc231205108 \h </w:instrText>
            </w:r>
            <w:r>
              <w:rPr>
                <w:noProof/>
                <w:webHidden/>
              </w:rPr>
            </w:r>
            <w:r>
              <w:rPr>
                <w:noProof/>
                <w:webHidden/>
              </w:rPr>
              <w:fldChar w:fldCharType="separate"/>
            </w:r>
            <w:r>
              <w:rPr>
                <w:noProof/>
                <w:webHidden/>
              </w:rPr>
              <w:t>24</w:t>
            </w:r>
            <w:r>
              <w:rPr>
                <w:noProof/>
                <w:webHidden/>
              </w:rPr>
              <w:fldChar w:fldCharType="end"/>
            </w:r>
          </w:hyperlink>
        </w:p>
        <w:p w14:paraId="0CC548D5" w14:textId="3890E66A" w:rsidR="00413995" w:rsidRDefault="00413995">
          <w:pPr>
            <w:pStyle w:val="TOC2"/>
            <w:tabs>
              <w:tab w:val="right" w:leader="dot" w:pos="9782"/>
            </w:tabs>
            <w:rPr>
              <w:noProof/>
            </w:rPr>
          </w:pPr>
          <w:hyperlink w:anchor="_Toc231205109" w:history="1">
            <w:r w:rsidRPr="00F560E0">
              <w:rPr>
                <w:rStyle w:val="Hyperlink"/>
                <w:noProof/>
              </w:rPr>
              <w:t>9.3 Base Release Fractions and Severe-Event Escalation</w:t>
            </w:r>
            <w:r>
              <w:rPr>
                <w:noProof/>
                <w:webHidden/>
              </w:rPr>
              <w:tab/>
            </w:r>
            <w:r>
              <w:rPr>
                <w:noProof/>
                <w:webHidden/>
              </w:rPr>
              <w:fldChar w:fldCharType="begin"/>
            </w:r>
            <w:r>
              <w:rPr>
                <w:noProof/>
                <w:webHidden/>
              </w:rPr>
              <w:instrText xml:space="preserve"> PAGEREF _Toc231205109 \h </w:instrText>
            </w:r>
            <w:r>
              <w:rPr>
                <w:noProof/>
                <w:webHidden/>
              </w:rPr>
            </w:r>
            <w:r>
              <w:rPr>
                <w:noProof/>
                <w:webHidden/>
              </w:rPr>
              <w:fldChar w:fldCharType="separate"/>
            </w:r>
            <w:r>
              <w:rPr>
                <w:noProof/>
                <w:webHidden/>
              </w:rPr>
              <w:t>24</w:t>
            </w:r>
            <w:r>
              <w:rPr>
                <w:noProof/>
                <w:webHidden/>
              </w:rPr>
              <w:fldChar w:fldCharType="end"/>
            </w:r>
          </w:hyperlink>
        </w:p>
        <w:p w14:paraId="0787C908" w14:textId="35AECDE2" w:rsidR="00413995" w:rsidRDefault="00413995">
          <w:pPr>
            <w:pStyle w:val="TOC2"/>
            <w:tabs>
              <w:tab w:val="right" w:leader="dot" w:pos="9782"/>
            </w:tabs>
            <w:rPr>
              <w:noProof/>
            </w:rPr>
          </w:pPr>
          <w:hyperlink w:anchor="_Toc231205110" w:history="1">
            <w:r w:rsidRPr="00F560E0">
              <w:rPr>
                <w:rStyle w:val="Hyperlink"/>
                <w:noProof/>
              </w:rPr>
              <w:t>9.4 Atmospheric Dispersion and Dose</w:t>
            </w:r>
            <w:r>
              <w:rPr>
                <w:noProof/>
                <w:webHidden/>
              </w:rPr>
              <w:tab/>
            </w:r>
            <w:r>
              <w:rPr>
                <w:noProof/>
                <w:webHidden/>
              </w:rPr>
              <w:fldChar w:fldCharType="begin"/>
            </w:r>
            <w:r>
              <w:rPr>
                <w:noProof/>
                <w:webHidden/>
              </w:rPr>
              <w:instrText xml:space="preserve"> PAGEREF _Toc231205110 \h </w:instrText>
            </w:r>
            <w:r>
              <w:rPr>
                <w:noProof/>
                <w:webHidden/>
              </w:rPr>
            </w:r>
            <w:r>
              <w:rPr>
                <w:noProof/>
                <w:webHidden/>
              </w:rPr>
              <w:fldChar w:fldCharType="separate"/>
            </w:r>
            <w:r>
              <w:rPr>
                <w:noProof/>
                <w:webHidden/>
              </w:rPr>
              <w:t>24</w:t>
            </w:r>
            <w:r>
              <w:rPr>
                <w:noProof/>
                <w:webHidden/>
              </w:rPr>
              <w:fldChar w:fldCharType="end"/>
            </w:r>
          </w:hyperlink>
        </w:p>
        <w:p w14:paraId="7F37ED7A" w14:textId="1221D142" w:rsidR="00413995" w:rsidRDefault="00413995">
          <w:pPr>
            <w:pStyle w:val="TOC1"/>
            <w:tabs>
              <w:tab w:val="right" w:leader="dot" w:pos="9782"/>
            </w:tabs>
            <w:rPr>
              <w:noProof/>
            </w:rPr>
          </w:pPr>
          <w:hyperlink w:anchor="_Toc231205111" w:history="1">
            <w:r w:rsidRPr="00F560E0">
              <w:rPr>
                <w:rStyle w:val="Hyperlink"/>
                <w:noProof/>
              </w:rPr>
              <w:t>Chapter 10 — Risk Assessment Tool Theory</w:t>
            </w:r>
            <w:r>
              <w:rPr>
                <w:noProof/>
                <w:webHidden/>
              </w:rPr>
              <w:tab/>
            </w:r>
            <w:r>
              <w:rPr>
                <w:noProof/>
                <w:webHidden/>
              </w:rPr>
              <w:fldChar w:fldCharType="begin"/>
            </w:r>
            <w:r>
              <w:rPr>
                <w:noProof/>
                <w:webHidden/>
              </w:rPr>
              <w:instrText xml:space="preserve"> PAGEREF _Toc231205111 \h </w:instrText>
            </w:r>
            <w:r>
              <w:rPr>
                <w:noProof/>
                <w:webHidden/>
              </w:rPr>
            </w:r>
            <w:r>
              <w:rPr>
                <w:noProof/>
                <w:webHidden/>
              </w:rPr>
              <w:fldChar w:fldCharType="separate"/>
            </w:r>
            <w:r>
              <w:rPr>
                <w:noProof/>
                <w:webHidden/>
              </w:rPr>
              <w:t>25</w:t>
            </w:r>
            <w:r>
              <w:rPr>
                <w:noProof/>
                <w:webHidden/>
              </w:rPr>
              <w:fldChar w:fldCharType="end"/>
            </w:r>
          </w:hyperlink>
        </w:p>
        <w:p w14:paraId="1F9E5CA8" w14:textId="71D04E34" w:rsidR="00413995" w:rsidRDefault="00413995">
          <w:pPr>
            <w:pStyle w:val="TOC2"/>
            <w:tabs>
              <w:tab w:val="right" w:leader="dot" w:pos="9782"/>
            </w:tabs>
            <w:rPr>
              <w:noProof/>
            </w:rPr>
          </w:pPr>
          <w:hyperlink w:anchor="_Toc231205112" w:history="1">
            <w:r w:rsidRPr="00F560E0">
              <w:rPr>
                <w:rStyle w:val="Hyperlink"/>
                <w:noProof/>
              </w:rPr>
              <w:t>10.1 Purpose and Scope</w:t>
            </w:r>
            <w:r>
              <w:rPr>
                <w:noProof/>
                <w:webHidden/>
              </w:rPr>
              <w:tab/>
            </w:r>
            <w:r>
              <w:rPr>
                <w:noProof/>
                <w:webHidden/>
              </w:rPr>
              <w:fldChar w:fldCharType="begin"/>
            </w:r>
            <w:r>
              <w:rPr>
                <w:noProof/>
                <w:webHidden/>
              </w:rPr>
              <w:instrText xml:space="preserve"> PAGEREF _Toc231205112 \h </w:instrText>
            </w:r>
            <w:r>
              <w:rPr>
                <w:noProof/>
                <w:webHidden/>
              </w:rPr>
            </w:r>
            <w:r>
              <w:rPr>
                <w:noProof/>
                <w:webHidden/>
              </w:rPr>
              <w:fldChar w:fldCharType="separate"/>
            </w:r>
            <w:r>
              <w:rPr>
                <w:noProof/>
                <w:webHidden/>
              </w:rPr>
              <w:t>25</w:t>
            </w:r>
            <w:r>
              <w:rPr>
                <w:noProof/>
                <w:webHidden/>
              </w:rPr>
              <w:fldChar w:fldCharType="end"/>
            </w:r>
          </w:hyperlink>
        </w:p>
        <w:p w14:paraId="19554BE9" w14:textId="5E457A16" w:rsidR="00413995" w:rsidRDefault="00413995">
          <w:pPr>
            <w:pStyle w:val="TOC2"/>
            <w:tabs>
              <w:tab w:val="right" w:leader="dot" w:pos="9782"/>
            </w:tabs>
            <w:rPr>
              <w:noProof/>
            </w:rPr>
          </w:pPr>
          <w:hyperlink w:anchor="_Toc231205113" w:history="1">
            <w:r w:rsidRPr="00F560E0">
              <w:rPr>
                <w:rStyle w:val="Hyperlink"/>
                <w:noProof/>
              </w:rPr>
              <w:t>10.2 Farmer Curve Concept</w:t>
            </w:r>
            <w:r>
              <w:rPr>
                <w:noProof/>
                <w:webHidden/>
              </w:rPr>
              <w:tab/>
            </w:r>
            <w:r>
              <w:rPr>
                <w:noProof/>
                <w:webHidden/>
              </w:rPr>
              <w:fldChar w:fldCharType="begin"/>
            </w:r>
            <w:r>
              <w:rPr>
                <w:noProof/>
                <w:webHidden/>
              </w:rPr>
              <w:instrText xml:space="preserve"> PAGEREF _Toc231205113 \h </w:instrText>
            </w:r>
            <w:r>
              <w:rPr>
                <w:noProof/>
                <w:webHidden/>
              </w:rPr>
            </w:r>
            <w:r>
              <w:rPr>
                <w:noProof/>
                <w:webHidden/>
              </w:rPr>
              <w:fldChar w:fldCharType="separate"/>
            </w:r>
            <w:r>
              <w:rPr>
                <w:noProof/>
                <w:webHidden/>
              </w:rPr>
              <w:t>25</w:t>
            </w:r>
            <w:r>
              <w:rPr>
                <w:noProof/>
                <w:webHidden/>
              </w:rPr>
              <w:fldChar w:fldCharType="end"/>
            </w:r>
          </w:hyperlink>
        </w:p>
        <w:p w14:paraId="784DE9EE" w14:textId="2ED2EDC3" w:rsidR="00413995" w:rsidRDefault="00413995">
          <w:pPr>
            <w:pStyle w:val="TOC2"/>
            <w:tabs>
              <w:tab w:val="right" w:leader="dot" w:pos="9782"/>
            </w:tabs>
            <w:rPr>
              <w:noProof/>
            </w:rPr>
          </w:pPr>
          <w:hyperlink w:anchor="_Toc231205114" w:history="1">
            <w:r w:rsidRPr="00F560E0">
              <w:rPr>
                <w:rStyle w:val="Hyperlink"/>
                <w:noProof/>
              </w:rPr>
              <w:t>10.3 Consequence Metric Used in FLARE</w:t>
            </w:r>
            <w:r>
              <w:rPr>
                <w:noProof/>
                <w:webHidden/>
              </w:rPr>
              <w:tab/>
            </w:r>
            <w:r>
              <w:rPr>
                <w:noProof/>
                <w:webHidden/>
              </w:rPr>
              <w:fldChar w:fldCharType="begin"/>
            </w:r>
            <w:r>
              <w:rPr>
                <w:noProof/>
                <w:webHidden/>
              </w:rPr>
              <w:instrText xml:space="preserve"> PAGEREF _Toc231205114 \h </w:instrText>
            </w:r>
            <w:r>
              <w:rPr>
                <w:noProof/>
                <w:webHidden/>
              </w:rPr>
            </w:r>
            <w:r>
              <w:rPr>
                <w:noProof/>
                <w:webHidden/>
              </w:rPr>
              <w:fldChar w:fldCharType="separate"/>
            </w:r>
            <w:r>
              <w:rPr>
                <w:noProof/>
                <w:webHidden/>
              </w:rPr>
              <w:t>25</w:t>
            </w:r>
            <w:r>
              <w:rPr>
                <w:noProof/>
                <w:webHidden/>
              </w:rPr>
              <w:fldChar w:fldCharType="end"/>
            </w:r>
          </w:hyperlink>
        </w:p>
        <w:p w14:paraId="601449D1" w14:textId="06E46D12" w:rsidR="00413995" w:rsidRDefault="00413995">
          <w:pPr>
            <w:pStyle w:val="TOC2"/>
            <w:tabs>
              <w:tab w:val="right" w:leader="dot" w:pos="9782"/>
            </w:tabs>
            <w:rPr>
              <w:noProof/>
            </w:rPr>
          </w:pPr>
          <w:hyperlink w:anchor="_Toc231205115" w:history="1">
            <w:r w:rsidRPr="00F560E0">
              <w:rPr>
                <w:rStyle w:val="Hyperlink"/>
                <w:noProof/>
              </w:rPr>
              <w:t>10.4 Event Frequency Assignment</w:t>
            </w:r>
            <w:r>
              <w:rPr>
                <w:noProof/>
                <w:webHidden/>
              </w:rPr>
              <w:tab/>
            </w:r>
            <w:r>
              <w:rPr>
                <w:noProof/>
                <w:webHidden/>
              </w:rPr>
              <w:fldChar w:fldCharType="begin"/>
            </w:r>
            <w:r>
              <w:rPr>
                <w:noProof/>
                <w:webHidden/>
              </w:rPr>
              <w:instrText xml:space="preserve"> PAGEREF _Toc231205115 \h </w:instrText>
            </w:r>
            <w:r>
              <w:rPr>
                <w:noProof/>
                <w:webHidden/>
              </w:rPr>
            </w:r>
            <w:r>
              <w:rPr>
                <w:noProof/>
                <w:webHidden/>
              </w:rPr>
              <w:fldChar w:fldCharType="separate"/>
            </w:r>
            <w:r>
              <w:rPr>
                <w:noProof/>
                <w:webHidden/>
              </w:rPr>
              <w:t>26</w:t>
            </w:r>
            <w:r>
              <w:rPr>
                <w:noProof/>
                <w:webHidden/>
              </w:rPr>
              <w:fldChar w:fldCharType="end"/>
            </w:r>
          </w:hyperlink>
        </w:p>
        <w:p w14:paraId="0560C899" w14:textId="1768A77A" w:rsidR="00413995" w:rsidRDefault="00413995">
          <w:pPr>
            <w:pStyle w:val="TOC2"/>
            <w:tabs>
              <w:tab w:val="right" w:leader="dot" w:pos="9782"/>
            </w:tabs>
            <w:rPr>
              <w:noProof/>
            </w:rPr>
          </w:pPr>
          <w:hyperlink w:anchor="_Toc231205116" w:history="1">
            <w:r w:rsidRPr="00F560E0">
              <w:rPr>
                <w:rStyle w:val="Hyperlink"/>
                <w:noProof/>
              </w:rPr>
              <w:t>10.5 Frequency-Consequence Boundary Representation</w:t>
            </w:r>
            <w:r>
              <w:rPr>
                <w:noProof/>
                <w:webHidden/>
              </w:rPr>
              <w:tab/>
            </w:r>
            <w:r>
              <w:rPr>
                <w:noProof/>
                <w:webHidden/>
              </w:rPr>
              <w:fldChar w:fldCharType="begin"/>
            </w:r>
            <w:r>
              <w:rPr>
                <w:noProof/>
                <w:webHidden/>
              </w:rPr>
              <w:instrText xml:space="preserve"> PAGEREF _Toc231205116 \h </w:instrText>
            </w:r>
            <w:r>
              <w:rPr>
                <w:noProof/>
                <w:webHidden/>
              </w:rPr>
            </w:r>
            <w:r>
              <w:rPr>
                <w:noProof/>
                <w:webHidden/>
              </w:rPr>
              <w:fldChar w:fldCharType="separate"/>
            </w:r>
            <w:r>
              <w:rPr>
                <w:noProof/>
                <w:webHidden/>
              </w:rPr>
              <w:t>26</w:t>
            </w:r>
            <w:r>
              <w:rPr>
                <w:noProof/>
                <w:webHidden/>
              </w:rPr>
              <w:fldChar w:fldCharType="end"/>
            </w:r>
          </w:hyperlink>
        </w:p>
        <w:p w14:paraId="6CFC37BF" w14:textId="4C63EEF0" w:rsidR="00413995" w:rsidRDefault="00413995">
          <w:pPr>
            <w:pStyle w:val="TOC2"/>
            <w:tabs>
              <w:tab w:val="right" w:leader="dot" w:pos="9782"/>
            </w:tabs>
            <w:rPr>
              <w:noProof/>
            </w:rPr>
          </w:pPr>
          <w:hyperlink w:anchor="_Toc231205117" w:history="1">
            <w:r w:rsidRPr="00F560E0">
              <w:rPr>
                <w:rStyle w:val="Hyperlink"/>
                <w:noProof/>
              </w:rPr>
              <w:t>10.6 NEI 18-04/LMP Interpretation</w:t>
            </w:r>
            <w:r>
              <w:rPr>
                <w:noProof/>
                <w:webHidden/>
              </w:rPr>
              <w:tab/>
            </w:r>
            <w:r>
              <w:rPr>
                <w:noProof/>
                <w:webHidden/>
              </w:rPr>
              <w:fldChar w:fldCharType="begin"/>
            </w:r>
            <w:r>
              <w:rPr>
                <w:noProof/>
                <w:webHidden/>
              </w:rPr>
              <w:instrText xml:space="preserve"> PAGEREF _Toc231205117 \h </w:instrText>
            </w:r>
            <w:r>
              <w:rPr>
                <w:noProof/>
                <w:webHidden/>
              </w:rPr>
            </w:r>
            <w:r>
              <w:rPr>
                <w:noProof/>
                <w:webHidden/>
              </w:rPr>
              <w:fldChar w:fldCharType="separate"/>
            </w:r>
            <w:r>
              <w:rPr>
                <w:noProof/>
                <w:webHidden/>
              </w:rPr>
              <w:t>27</w:t>
            </w:r>
            <w:r>
              <w:rPr>
                <w:noProof/>
                <w:webHidden/>
              </w:rPr>
              <w:fldChar w:fldCharType="end"/>
            </w:r>
          </w:hyperlink>
        </w:p>
        <w:p w14:paraId="22F393FF" w14:textId="0BD3C20D" w:rsidR="00413995" w:rsidRDefault="00413995">
          <w:pPr>
            <w:pStyle w:val="TOC2"/>
            <w:tabs>
              <w:tab w:val="right" w:leader="dot" w:pos="9782"/>
            </w:tabs>
            <w:rPr>
              <w:noProof/>
            </w:rPr>
          </w:pPr>
          <w:hyperlink w:anchor="_Toc231205118" w:history="1">
            <w:r w:rsidRPr="00F560E0">
              <w:rPr>
                <w:rStyle w:val="Hyperlink"/>
                <w:noProof/>
              </w:rPr>
              <w:t>10.7 Treatment of Uncertainty</w:t>
            </w:r>
            <w:r>
              <w:rPr>
                <w:noProof/>
                <w:webHidden/>
              </w:rPr>
              <w:tab/>
            </w:r>
            <w:r>
              <w:rPr>
                <w:noProof/>
                <w:webHidden/>
              </w:rPr>
              <w:fldChar w:fldCharType="begin"/>
            </w:r>
            <w:r>
              <w:rPr>
                <w:noProof/>
                <w:webHidden/>
              </w:rPr>
              <w:instrText xml:space="preserve"> PAGEREF _Toc231205118 \h </w:instrText>
            </w:r>
            <w:r>
              <w:rPr>
                <w:noProof/>
                <w:webHidden/>
              </w:rPr>
            </w:r>
            <w:r>
              <w:rPr>
                <w:noProof/>
                <w:webHidden/>
              </w:rPr>
              <w:fldChar w:fldCharType="separate"/>
            </w:r>
            <w:r>
              <w:rPr>
                <w:noProof/>
                <w:webHidden/>
              </w:rPr>
              <w:t>27</w:t>
            </w:r>
            <w:r>
              <w:rPr>
                <w:noProof/>
                <w:webHidden/>
              </w:rPr>
              <w:fldChar w:fldCharType="end"/>
            </w:r>
          </w:hyperlink>
        </w:p>
        <w:p w14:paraId="75816FFB" w14:textId="774EEFCD" w:rsidR="00413995" w:rsidRDefault="00413995">
          <w:pPr>
            <w:pStyle w:val="TOC2"/>
            <w:tabs>
              <w:tab w:val="right" w:leader="dot" w:pos="9782"/>
            </w:tabs>
            <w:rPr>
              <w:noProof/>
            </w:rPr>
          </w:pPr>
          <w:hyperlink w:anchor="_Toc231205119" w:history="1">
            <w:r w:rsidRPr="00F560E0">
              <w:rPr>
                <w:rStyle w:val="Hyperlink"/>
                <w:noProof/>
              </w:rPr>
              <w:t>10.8 Relationship to Deterministic Acceptance Criteria</w:t>
            </w:r>
            <w:r>
              <w:rPr>
                <w:noProof/>
                <w:webHidden/>
              </w:rPr>
              <w:tab/>
            </w:r>
            <w:r>
              <w:rPr>
                <w:noProof/>
                <w:webHidden/>
              </w:rPr>
              <w:fldChar w:fldCharType="begin"/>
            </w:r>
            <w:r>
              <w:rPr>
                <w:noProof/>
                <w:webHidden/>
              </w:rPr>
              <w:instrText xml:space="preserve"> PAGEREF _Toc231205119 \h </w:instrText>
            </w:r>
            <w:r>
              <w:rPr>
                <w:noProof/>
                <w:webHidden/>
              </w:rPr>
            </w:r>
            <w:r>
              <w:rPr>
                <w:noProof/>
                <w:webHidden/>
              </w:rPr>
              <w:fldChar w:fldCharType="separate"/>
            </w:r>
            <w:r>
              <w:rPr>
                <w:noProof/>
                <w:webHidden/>
              </w:rPr>
              <w:t>28</w:t>
            </w:r>
            <w:r>
              <w:rPr>
                <w:noProof/>
                <w:webHidden/>
              </w:rPr>
              <w:fldChar w:fldCharType="end"/>
            </w:r>
          </w:hyperlink>
        </w:p>
        <w:p w14:paraId="01B1E1EE" w14:textId="3D40AC86" w:rsidR="00413995" w:rsidRDefault="00413995">
          <w:pPr>
            <w:pStyle w:val="TOC2"/>
            <w:tabs>
              <w:tab w:val="right" w:leader="dot" w:pos="9782"/>
            </w:tabs>
            <w:rPr>
              <w:noProof/>
            </w:rPr>
          </w:pPr>
          <w:hyperlink w:anchor="_Toc231205120" w:history="1">
            <w:r w:rsidRPr="00F560E0">
              <w:rPr>
                <w:rStyle w:val="Hyperlink"/>
                <w:noProof/>
              </w:rPr>
              <w:t>10.9 Limitations</w:t>
            </w:r>
            <w:r>
              <w:rPr>
                <w:noProof/>
                <w:webHidden/>
              </w:rPr>
              <w:tab/>
            </w:r>
            <w:r>
              <w:rPr>
                <w:noProof/>
                <w:webHidden/>
              </w:rPr>
              <w:fldChar w:fldCharType="begin"/>
            </w:r>
            <w:r>
              <w:rPr>
                <w:noProof/>
                <w:webHidden/>
              </w:rPr>
              <w:instrText xml:space="preserve"> PAGEREF _Toc231205120 \h </w:instrText>
            </w:r>
            <w:r>
              <w:rPr>
                <w:noProof/>
                <w:webHidden/>
              </w:rPr>
            </w:r>
            <w:r>
              <w:rPr>
                <w:noProof/>
                <w:webHidden/>
              </w:rPr>
              <w:fldChar w:fldCharType="separate"/>
            </w:r>
            <w:r>
              <w:rPr>
                <w:noProof/>
                <w:webHidden/>
              </w:rPr>
              <w:t>28</w:t>
            </w:r>
            <w:r>
              <w:rPr>
                <w:noProof/>
                <w:webHidden/>
              </w:rPr>
              <w:fldChar w:fldCharType="end"/>
            </w:r>
          </w:hyperlink>
        </w:p>
        <w:p w14:paraId="203510C0" w14:textId="041FE2A4" w:rsidR="00413995" w:rsidRDefault="00413995">
          <w:pPr>
            <w:pStyle w:val="TOC1"/>
            <w:tabs>
              <w:tab w:val="right" w:leader="dot" w:pos="9782"/>
            </w:tabs>
            <w:rPr>
              <w:noProof/>
            </w:rPr>
          </w:pPr>
          <w:hyperlink w:anchor="_Toc231205121" w:history="1">
            <w:r w:rsidRPr="00F560E0">
              <w:rPr>
                <w:rStyle w:val="Hyperlink"/>
                <w:noProof/>
              </w:rPr>
              <w:t>Chapter 11 — Code Assessment and Limitations</w:t>
            </w:r>
            <w:r>
              <w:rPr>
                <w:noProof/>
                <w:webHidden/>
              </w:rPr>
              <w:tab/>
            </w:r>
            <w:r>
              <w:rPr>
                <w:noProof/>
                <w:webHidden/>
              </w:rPr>
              <w:fldChar w:fldCharType="begin"/>
            </w:r>
            <w:r>
              <w:rPr>
                <w:noProof/>
                <w:webHidden/>
              </w:rPr>
              <w:instrText xml:space="preserve"> PAGEREF _Toc231205121 \h </w:instrText>
            </w:r>
            <w:r>
              <w:rPr>
                <w:noProof/>
                <w:webHidden/>
              </w:rPr>
            </w:r>
            <w:r>
              <w:rPr>
                <w:noProof/>
                <w:webHidden/>
              </w:rPr>
              <w:fldChar w:fldCharType="separate"/>
            </w:r>
            <w:r>
              <w:rPr>
                <w:noProof/>
                <w:webHidden/>
              </w:rPr>
              <w:t>28</w:t>
            </w:r>
            <w:r>
              <w:rPr>
                <w:noProof/>
                <w:webHidden/>
              </w:rPr>
              <w:fldChar w:fldCharType="end"/>
            </w:r>
          </w:hyperlink>
        </w:p>
        <w:p w14:paraId="2ED04C74" w14:textId="624E870E" w:rsidR="00413995" w:rsidRDefault="00413995">
          <w:pPr>
            <w:pStyle w:val="TOC2"/>
            <w:tabs>
              <w:tab w:val="right" w:leader="dot" w:pos="9782"/>
            </w:tabs>
            <w:rPr>
              <w:noProof/>
            </w:rPr>
          </w:pPr>
          <w:hyperlink w:anchor="_Toc231205122" w:history="1">
            <w:r w:rsidRPr="00F560E0">
              <w:rPr>
                <w:rStyle w:val="Hyperlink"/>
                <w:noProof/>
              </w:rPr>
              <w:t>11.1 Conservation Checks</w:t>
            </w:r>
            <w:r>
              <w:rPr>
                <w:noProof/>
                <w:webHidden/>
              </w:rPr>
              <w:tab/>
            </w:r>
            <w:r>
              <w:rPr>
                <w:noProof/>
                <w:webHidden/>
              </w:rPr>
              <w:fldChar w:fldCharType="begin"/>
            </w:r>
            <w:r>
              <w:rPr>
                <w:noProof/>
                <w:webHidden/>
              </w:rPr>
              <w:instrText xml:space="preserve"> PAGEREF _Toc231205122 \h </w:instrText>
            </w:r>
            <w:r>
              <w:rPr>
                <w:noProof/>
                <w:webHidden/>
              </w:rPr>
            </w:r>
            <w:r>
              <w:rPr>
                <w:noProof/>
                <w:webHidden/>
              </w:rPr>
              <w:fldChar w:fldCharType="separate"/>
            </w:r>
            <w:r>
              <w:rPr>
                <w:noProof/>
                <w:webHidden/>
              </w:rPr>
              <w:t>28</w:t>
            </w:r>
            <w:r>
              <w:rPr>
                <w:noProof/>
                <w:webHidden/>
              </w:rPr>
              <w:fldChar w:fldCharType="end"/>
            </w:r>
          </w:hyperlink>
        </w:p>
        <w:p w14:paraId="0811B930" w14:textId="09C63FCF" w:rsidR="00413995" w:rsidRDefault="00413995">
          <w:pPr>
            <w:pStyle w:val="TOC2"/>
            <w:tabs>
              <w:tab w:val="right" w:leader="dot" w:pos="9782"/>
            </w:tabs>
            <w:rPr>
              <w:noProof/>
            </w:rPr>
          </w:pPr>
          <w:hyperlink w:anchor="_Toc231205123" w:history="1">
            <w:r w:rsidRPr="00F560E0">
              <w:rPr>
                <w:rStyle w:val="Hyperlink"/>
                <w:noProof/>
              </w:rPr>
              <w:t>11.2 Model-Form Limitations</w:t>
            </w:r>
            <w:r>
              <w:rPr>
                <w:noProof/>
                <w:webHidden/>
              </w:rPr>
              <w:tab/>
            </w:r>
            <w:r>
              <w:rPr>
                <w:noProof/>
                <w:webHidden/>
              </w:rPr>
              <w:fldChar w:fldCharType="begin"/>
            </w:r>
            <w:r>
              <w:rPr>
                <w:noProof/>
                <w:webHidden/>
              </w:rPr>
              <w:instrText xml:space="preserve"> PAGEREF _Toc231205123 \h </w:instrText>
            </w:r>
            <w:r>
              <w:rPr>
                <w:noProof/>
                <w:webHidden/>
              </w:rPr>
            </w:r>
            <w:r>
              <w:rPr>
                <w:noProof/>
                <w:webHidden/>
              </w:rPr>
              <w:fldChar w:fldCharType="separate"/>
            </w:r>
            <w:r>
              <w:rPr>
                <w:noProof/>
                <w:webHidden/>
              </w:rPr>
              <w:t>29</w:t>
            </w:r>
            <w:r>
              <w:rPr>
                <w:noProof/>
                <w:webHidden/>
              </w:rPr>
              <w:fldChar w:fldCharType="end"/>
            </w:r>
          </w:hyperlink>
        </w:p>
        <w:p w14:paraId="2AFA1F03" w14:textId="00A8975A" w:rsidR="00413995" w:rsidRDefault="00413995">
          <w:pPr>
            <w:pStyle w:val="TOC1"/>
            <w:tabs>
              <w:tab w:val="right" w:leader="dot" w:pos="9782"/>
            </w:tabs>
            <w:rPr>
              <w:noProof/>
            </w:rPr>
          </w:pPr>
          <w:hyperlink w:anchor="_Toc231205124" w:history="1">
            <w:r w:rsidRPr="00F560E0">
              <w:rPr>
                <w:rStyle w:val="Hyperlink"/>
                <w:noProof/>
              </w:rPr>
              <w:t>Chapter 12 — FLARE Tools</w:t>
            </w:r>
            <w:r>
              <w:rPr>
                <w:noProof/>
                <w:webHidden/>
              </w:rPr>
              <w:tab/>
            </w:r>
            <w:r>
              <w:rPr>
                <w:noProof/>
                <w:webHidden/>
              </w:rPr>
              <w:fldChar w:fldCharType="begin"/>
            </w:r>
            <w:r>
              <w:rPr>
                <w:noProof/>
                <w:webHidden/>
              </w:rPr>
              <w:instrText xml:space="preserve"> PAGEREF _Toc231205124 \h </w:instrText>
            </w:r>
            <w:r>
              <w:rPr>
                <w:noProof/>
                <w:webHidden/>
              </w:rPr>
            </w:r>
            <w:r>
              <w:rPr>
                <w:noProof/>
                <w:webHidden/>
              </w:rPr>
              <w:fldChar w:fldCharType="separate"/>
            </w:r>
            <w:r>
              <w:rPr>
                <w:noProof/>
                <w:webHidden/>
              </w:rPr>
              <w:t>29</w:t>
            </w:r>
            <w:r>
              <w:rPr>
                <w:noProof/>
                <w:webHidden/>
              </w:rPr>
              <w:fldChar w:fldCharType="end"/>
            </w:r>
          </w:hyperlink>
        </w:p>
        <w:p w14:paraId="58846EE2" w14:textId="7C709E91" w:rsidR="00413995" w:rsidRDefault="00413995">
          <w:pPr>
            <w:pStyle w:val="TOC2"/>
            <w:tabs>
              <w:tab w:val="right" w:leader="dot" w:pos="9782"/>
            </w:tabs>
            <w:rPr>
              <w:noProof/>
            </w:rPr>
          </w:pPr>
          <w:hyperlink w:anchor="_Toc231205125" w:history="1">
            <w:r w:rsidRPr="00F560E0">
              <w:rPr>
                <w:rStyle w:val="Hyperlink"/>
                <w:noProof/>
              </w:rPr>
              <w:t>12.1 PWR Simulator and AI Event Narrative System</w:t>
            </w:r>
            <w:r>
              <w:rPr>
                <w:noProof/>
                <w:webHidden/>
              </w:rPr>
              <w:tab/>
            </w:r>
            <w:r>
              <w:rPr>
                <w:noProof/>
                <w:webHidden/>
              </w:rPr>
              <w:fldChar w:fldCharType="begin"/>
            </w:r>
            <w:r>
              <w:rPr>
                <w:noProof/>
                <w:webHidden/>
              </w:rPr>
              <w:instrText xml:space="preserve"> PAGEREF _Toc231205125 \h </w:instrText>
            </w:r>
            <w:r>
              <w:rPr>
                <w:noProof/>
                <w:webHidden/>
              </w:rPr>
            </w:r>
            <w:r>
              <w:rPr>
                <w:noProof/>
                <w:webHidden/>
              </w:rPr>
              <w:fldChar w:fldCharType="separate"/>
            </w:r>
            <w:r>
              <w:rPr>
                <w:noProof/>
                <w:webHidden/>
              </w:rPr>
              <w:t>29</w:t>
            </w:r>
            <w:r>
              <w:rPr>
                <w:noProof/>
                <w:webHidden/>
              </w:rPr>
              <w:fldChar w:fldCharType="end"/>
            </w:r>
          </w:hyperlink>
        </w:p>
        <w:p w14:paraId="6B9EC82A" w14:textId="58F30F7D" w:rsidR="00413995" w:rsidRDefault="00413995">
          <w:pPr>
            <w:pStyle w:val="TOC2"/>
            <w:tabs>
              <w:tab w:val="right" w:leader="dot" w:pos="9782"/>
            </w:tabs>
            <w:rPr>
              <w:noProof/>
            </w:rPr>
          </w:pPr>
          <w:hyperlink w:anchor="_Toc231205126" w:history="1">
            <w:r w:rsidRPr="00F560E0">
              <w:rPr>
                <w:rStyle w:val="Hyperlink"/>
                <w:noProof/>
              </w:rPr>
              <w:t>12.2 Model Editor and Plant Analyzer</w:t>
            </w:r>
            <w:r>
              <w:rPr>
                <w:noProof/>
                <w:webHidden/>
              </w:rPr>
              <w:tab/>
            </w:r>
            <w:r>
              <w:rPr>
                <w:noProof/>
                <w:webHidden/>
              </w:rPr>
              <w:fldChar w:fldCharType="begin"/>
            </w:r>
            <w:r>
              <w:rPr>
                <w:noProof/>
                <w:webHidden/>
              </w:rPr>
              <w:instrText xml:space="preserve"> PAGEREF _Toc231205126 \h </w:instrText>
            </w:r>
            <w:r>
              <w:rPr>
                <w:noProof/>
                <w:webHidden/>
              </w:rPr>
            </w:r>
            <w:r>
              <w:rPr>
                <w:noProof/>
                <w:webHidden/>
              </w:rPr>
              <w:fldChar w:fldCharType="separate"/>
            </w:r>
            <w:r>
              <w:rPr>
                <w:noProof/>
                <w:webHidden/>
              </w:rPr>
              <w:t>29</w:t>
            </w:r>
            <w:r>
              <w:rPr>
                <w:noProof/>
                <w:webHidden/>
              </w:rPr>
              <w:fldChar w:fldCharType="end"/>
            </w:r>
          </w:hyperlink>
        </w:p>
        <w:p w14:paraId="4571DAF5" w14:textId="1FCDEE78" w:rsidR="00413995" w:rsidRDefault="00413995">
          <w:pPr>
            <w:pStyle w:val="TOC1"/>
            <w:tabs>
              <w:tab w:val="right" w:leader="dot" w:pos="9782"/>
            </w:tabs>
            <w:rPr>
              <w:noProof/>
            </w:rPr>
          </w:pPr>
          <w:hyperlink w:anchor="_Toc231205127" w:history="1">
            <w:r w:rsidRPr="00F560E0">
              <w:rPr>
                <w:rStyle w:val="Hyperlink"/>
                <w:noProof/>
              </w:rPr>
              <w:t>Chapter 13 — FLARECON Containment Response Model</w:t>
            </w:r>
            <w:r>
              <w:rPr>
                <w:noProof/>
                <w:webHidden/>
              </w:rPr>
              <w:tab/>
            </w:r>
            <w:r>
              <w:rPr>
                <w:noProof/>
                <w:webHidden/>
              </w:rPr>
              <w:fldChar w:fldCharType="begin"/>
            </w:r>
            <w:r>
              <w:rPr>
                <w:noProof/>
                <w:webHidden/>
              </w:rPr>
              <w:instrText xml:space="preserve"> PAGEREF _Toc231205127 \h </w:instrText>
            </w:r>
            <w:r>
              <w:rPr>
                <w:noProof/>
                <w:webHidden/>
              </w:rPr>
            </w:r>
            <w:r>
              <w:rPr>
                <w:noProof/>
                <w:webHidden/>
              </w:rPr>
              <w:fldChar w:fldCharType="separate"/>
            </w:r>
            <w:r>
              <w:rPr>
                <w:noProof/>
                <w:webHidden/>
              </w:rPr>
              <w:t>29</w:t>
            </w:r>
            <w:r>
              <w:rPr>
                <w:noProof/>
                <w:webHidden/>
              </w:rPr>
              <w:fldChar w:fldCharType="end"/>
            </w:r>
          </w:hyperlink>
        </w:p>
        <w:p w14:paraId="3BE9D1D4" w14:textId="164A3894" w:rsidR="00413995" w:rsidRDefault="00413995">
          <w:pPr>
            <w:pStyle w:val="TOC2"/>
            <w:tabs>
              <w:tab w:val="right" w:leader="dot" w:pos="9782"/>
            </w:tabs>
            <w:rPr>
              <w:noProof/>
            </w:rPr>
          </w:pPr>
          <w:hyperlink w:anchor="_Toc231205128" w:history="1">
            <w:r w:rsidRPr="00F560E0">
              <w:rPr>
                <w:rStyle w:val="Hyperlink"/>
                <w:noProof/>
              </w:rPr>
              <w:t>13.1 Physical Scope</w:t>
            </w:r>
            <w:r>
              <w:rPr>
                <w:noProof/>
                <w:webHidden/>
              </w:rPr>
              <w:tab/>
            </w:r>
            <w:r>
              <w:rPr>
                <w:noProof/>
                <w:webHidden/>
              </w:rPr>
              <w:fldChar w:fldCharType="begin"/>
            </w:r>
            <w:r>
              <w:rPr>
                <w:noProof/>
                <w:webHidden/>
              </w:rPr>
              <w:instrText xml:space="preserve"> PAGEREF _Toc231205128 \h </w:instrText>
            </w:r>
            <w:r>
              <w:rPr>
                <w:noProof/>
                <w:webHidden/>
              </w:rPr>
            </w:r>
            <w:r>
              <w:rPr>
                <w:noProof/>
                <w:webHidden/>
              </w:rPr>
              <w:fldChar w:fldCharType="separate"/>
            </w:r>
            <w:r>
              <w:rPr>
                <w:noProof/>
                <w:webHidden/>
              </w:rPr>
              <w:t>29</w:t>
            </w:r>
            <w:r>
              <w:rPr>
                <w:noProof/>
                <w:webHidden/>
              </w:rPr>
              <w:fldChar w:fldCharType="end"/>
            </w:r>
          </w:hyperlink>
        </w:p>
        <w:p w14:paraId="14239047" w14:textId="3683DFAE" w:rsidR="00413995" w:rsidRDefault="00413995">
          <w:pPr>
            <w:pStyle w:val="TOC2"/>
            <w:tabs>
              <w:tab w:val="right" w:leader="dot" w:pos="9782"/>
            </w:tabs>
            <w:rPr>
              <w:noProof/>
            </w:rPr>
          </w:pPr>
          <w:hyperlink w:anchor="_Toc231205129" w:history="1">
            <w:r w:rsidRPr="00F560E0">
              <w:rPr>
                <w:rStyle w:val="Hyperlink"/>
                <w:noProof/>
              </w:rPr>
              <w:t>13.2 Species Mass Balances</w:t>
            </w:r>
            <w:r>
              <w:rPr>
                <w:noProof/>
                <w:webHidden/>
              </w:rPr>
              <w:tab/>
            </w:r>
            <w:r>
              <w:rPr>
                <w:noProof/>
                <w:webHidden/>
              </w:rPr>
              <w:fldChar w:fldCharType="begin"/>
            </w:r>
            <w:r>
              <w:rPr>
                <w:noProof/>
                <w:webHidden/>
              </w:rPr>
              <w:instrText xml:space="preserve"> PAGEREF _Toc231205129 \h </w:instrText>
            </w:r>
            <w:r>
              <w:rPr>
                <w:noProof/>
                <w:webHidden/>
              </w:rPr>
            </w:r>
            <w:r>
              <w:rPr>
                <w:noProof/>
                <w:webHidden/>
              </w:rPr>
              <w:fldChar w:fldCharType="separate"/>
            </w:r>
            <w:r>
              <w:rPr>
                <w:noProof/>
                <w:webHidden/>
              </w:rPr>
              <w:t>30</w:t>
            </w:r>
            <w:r>
              <w:rPr>
                <w:noProof/>
                <w:webHidden/>
              </w:rPr>
              <w:fldChar w:fldCharType="end"/>
            </w:r>
          </w:hyperlink>
        </w:p>
        <w:p w14:paraId="3362BA9A" w14:textId="49AAB31A" w:rsidR="00413995" w:rsidRDefault="00413995">
          <w:pPr>
            <w:pStyle w:val="TOC2"/>
            <w:tabs>
              <w:tab w:val="right" w:leader="dot" w:pos="9782"/>
            </w:tabs>
            <w:rPr>
              <w:noProof/>
            </w:rPr>
          </w:pPr>
          <w:hyperlink w:anchor="_Toc231205130" w:history="1">
            <w:r w:rsidRPr="00F560E0">
              <w:rPr>
                <w:rStyle w:val="Hyperlink"/>
                <w:noProof/>
              </w:rPr>
              <w:t>13.3 Gas Equation of State</w:t>
            </w:r>
            <w:r>
              <w:rPr>
                <w:noProof/>
                <w:webHidden/>
              </w:rPr>
              <w:tab/>
            </w:r>
            <w:r>
              <w:rPr>
                <w:noProof/>
                <w:webHidden/>
              </w:rPr>
              <w:fldChar w:fldCharType="begin"/>
            </w:r>
            <w:r>
              <w:rPr>
                <w:noProof/>
                <w:webHidden/>
              </w:rPr>
              <w:instrText xml:space="preserve"> PAGEREF _Toc231205130 \h </w:instrText>
            </w:r>
            <w:r>
              <w:rPr>
                <w:noProof/>
                <w:webHidden/>
              </w:rPr>
            </w:r>
            <w:r>
              <w:rPr>
                <w:noProof/>
                <w:webHidden/>
              </w:rPr>
              <w:fldChar w:fldCharType="separate"/>
            </w:r>
            <w:r>
              <w:rPr>
                <w:noProof/>
                <w:webHidden/>
              </w:rPr>
              <w:t>30</w:t>
            </w:r>
            <w:r>
              <w:rPr>
                <w:noProof/>
                <w:webHidden/>
              </w:rPr>
              <w:fldChar w:fldCharType="end"/>
            </w:r>
          </w:hyperlink>
        </w:p>
        <w:p w14:paraId="6D9D725F" w14:textId="563635E1" w:rsidR="00413995" w:rsidRDefault="00413995">
          <w:pPr>
            <w:pStyle w:val="TOC2"/>
            <w:tabs>
              <w:tab w:val="right" w:leader="dot" w:pos="9782"/>
            </w:tabs>
            <w:rPr>
              <w:noProof/>
            </w:rPr>
          </w:pPr>
          <w:hyperlink w:anchor="_Toc231205131" w:history="1">
            <w:r w:rsidRPr="00F560E0">
              <w:rPr>
                <w:rStyle w:val="Hyperlink"/>
                <w:noProof/>
              </w:rPr>
              <w:t>13.4 Containment Gas Energy Balance</w:t>
            </w:r>
            <w:r>
              <w:rPr>
                <w:noProof/>
                <w:webHidden/>
              </w:rPr>
              <w:tab/>
            </w:r>
            <w:r>
              <w:rPr>
                <w:noProof/>
                <w:webHidden/>
              </w:rPr>
              <w:fldChar w:fldCharType="begin"/>
            </w:r>
            <w:r>
              <w:rPr>
                <w:noProof/>
                <w:webHidden/>
              </w:rPr>
              <w:instrText xml:space="preserve"> PAGEREF _Toc231205131 \h </w:instrText>
            </w:r>
            <w:r>
              <w:rPr>
                <w:noProof/>
                <w:webHidden/>
              </w:rPr>
            </w:r>
            <w:r>
              <w:rPr>
                <w:noProof/>
                <w:webHidden/>
              </w:rPr>
              <w:fldChar w:fldCharType="separate"/>
            </w:r>
            <w:r>
              <w:rPr>
                <w:noProof/>
                <w:webHidden/>
              </w:rPr>
              <w:t>31</w:t>
            </w:r>
            <w:r>
              <w:rPr>
                <w:noProof/>
                <w:webHidden/>
              </w:rPr>
              <w:fldChar w:fldCharType="end"/>
            </w:r>
          </w:hyperlink>
        </w:p>
        <w:p w14:paraId="4C398AD7" w14:textId="29605A1B" w:rsidR="00413995" w:rsidRDefault="00413995">
          <w:pPr>
            <w:pStyle w:val="TOC2"/>
            <w:tabs>
              <w:tab w:val="right" w:leader="dot" w:pos="9782"/>
            </w:tabs>
            <w:rPr>
              <w:noProof/>
            </w:rPr>
          </w:pPr>
          <w:hyperlink w:anchor="_Toc231205132" w:history="1">
            <w:r w:rsidRPr="00F560E0">
              <w:rPr>
                <w:rStyle w:val="Hyperlink"/>
                <w:noProof/>
              </w:rPr>
              <w:t>13.5 Wall, Condensation, Spray, and Sump Cooling</w:t>
            </w:r>
            <w:r>
              <w:rPr>
                <w:noProof/>
                <w:webHidden/>
              </w:rPr>
              <w:tab/>
            </w:r>
            <w:r>
              <w:rPr>
                <w:noProof/>
                <w:webHidden/>
              </w:rPr>
              <w:fldChar w:fldCharType="begin"/>
            </w:r>
            <w:r>
              <w:rPr>
                <w:noProof/>
                <w:webHidden/>
              </w:rPr>
              <w:instrText xml:space="preserve"> PAGEREF _Toc231205132 \h </w:instrText>
            </w:r>
            <w:r>
              <w:rPr>
                <w:noProof/>
                <w:webHidden/>
              </w:rPr>
            </w:r>
            <w:r>
              <w:rPr>
                <w:noProof/>
                <w:webHidden/>
              </w:rPr>
              <w:fldChar w:fldCharType="separate"/>
            </w:r>
            <w:r>
              <w:rPr>
                <w:noProof/>
                <w:webHidden/>
              </w:rPr>
              <w:t>31</w:t>
            </w:r>
            <w:r>
              <w:rPr>
                <w:noProof/>
                <w:webHidden/>
              </w:rPr>
              <w:fldChar w:fldCharType="end"/>
            </w:r>
          </w:hyperlink>
        </w:p>
        <w:p w14:paraId="56903C56" w14:textId="357CA2B4" w:rsidR="00413995" w:rsidRDefault="00413995">
          <w:pPr>
            <w:pStyle w:val="TOC2"/>
            <w:tabs>
              <w:tab w:val="right" w:leader="dot" w:pos="9782"/>
            </w:tabs>
            <w:rPr>
              <w:noProof/>
            </w:rPr>
          </w:pPr>
          <w:hyperlink w:anchor="_Toc231205133" w:history="1">
            <w:r w:rsidRPr="00F560E0">
              <w:rPr>
                <w:rStyle w:val="Hyperlink"/>
                <w:noProof/>
              </w:rPr>
              <w:t>13.6 Hydrogen Flammability Status and Coupling Limitation</w:t>
            </w:r>
            <w:r>
              <w:rPr>
                <w:noProof/>
                <w:webHidden/>
              </w:rPr>
              <w:tab/>
            </w:r>
            <w:r>
              <w:rPr>
                <w:noProof/>
                <w:webHidden/>
              </w:rPr>
              <w:fldChar w:fldCharType="begin"/>
            </w:r>
            <w:r>
              <w:rPr>
                <w:noProof/>
                <w:webHidden/>
              </w:rPr>
              <w:instrText xml:space="preserve"> PAGEREF _Toc231205133 \h </w:instrText>
            </w:r>
            <w:r>
              <w:rPr>
                <w:noProof/>
                <w:webHidden/>
              </w:rPr>
            </w:r>
            <w:r>
              <w:rPr>
                <w:noProof/>
                <w:webHidden/>
              </w:rPr>
              <w:fldChar w:fldCharType="separate"/>
            </w:r>
            <w:r>
              <w:rPr>
                <w:noProof/>
                <w:webHidden/>
              </w:rPr>
              <w:t>31</w:t>
            </w:r>
            <w:r>
              <w:rPr>
                <w:noProof/>
                <w:webHidden/>
              </w:rPr>
              <w:fldChar w:fldCharType="end"/>
            </w:r>
          </w:hyperlink>
        </w:p>
        <w:p w14:paraId="76678E19" w14:textId="428DFF85" w:rsidR="00413995" w:rsidRDefault="00413995">
          <w:pPr>
            <w:pStyle w:val="TOC1"/>
            <w:tabs>
              <w:tab w:val="right" w:leader="dot" w:pos="9782"/>
            </w:tabs>
            <w:rPr>
              <w:noProof/>
            </w:rPr>
          </w:pPr>
          <w:hyperlink w:anchor="_Toc231205134" w:history="1">
            <w:r w:rsidRPr="00F560E0">
              <w:rPr>
                <w:rStyle w:val="Hyperlink"/>
                <w:noProof/>
              </w:rPr>
              <w:t>Chapter 14 — Worker-Process Execution Architecture</w:t>
            </w:r>
            <w:r>
              <w:rPr>
                <w:noProof/>
                <w:webHidden/>
              </w:rPr>
              <w:tab/>
            </w:r>
            <w:r>
              <w:rPr>
                <w:noProof/>
                <w:webHidden/>
              </w:rPr>
              <w:fldChar w:fldCharType="begin"/>
            </w:r>
            <w:r>
              <w:rPr>
                <w:noProof/>
                <w:webHidden/>
              </w:rPr>
              <w:instrText xml:space="preserve"> PAGEREF _Toc231205134 \h </w:instrText>
            </w:r>
            <w:r>
              <w:rPr>
                <w:noProof/>
                <w:webHidden/>
              </w:rPr>
            </w:r>
            <w:r>
              <w:rPr>
                <w:noProof/>
                <w:webHidden/>
              </w:rPr>
              <w:fldChar w:fldCharType="separate"/>
            </w:r>
            <w:r>
              <w:rPr>
                <w:noProof/>
                <w:webHidden/>
              </w:rPr>
              <w:t>32</w:t>
            </w:r>
            <w:r>
              <w:rPr>
                <w:noProof/>
                <w:webHidden/>
              </w:rPr>
              <w:fldChar w:fldCharType="end"/>
            </w:r>
          </w:hyperlink>
        </w:p>
        <w:p w14:paraId="7DC353A2" w14:textId="2A7FF9CF" w:rsidR="00413995" w:rsidRDefault="00413995">
          <w:pPr>
            <w:pStyle w:val="TOC2"/>
            <w:tabs>
              <w:tab w:val="right" w:leader="dot" w:pos="9782"/>
            </w:tabs>
            <w:rPr>
              <w:noProof/>
            </w:rPr>
          </w:pPr>
          <w:hyperlink w:anchor="_Toc231205135" w:history="1">
            <w:r w:rsidRPr="00F560E0">
              <w:rPr>
                <w:rStyle w:val="Hyperlink"/>
                <w:noProof/>
              </w:rPr>
              <w:t>14.1 Worker Pattern</w:t>
            </w:r>
            <w:r>
              <w:rPr>
                <w:noProof/>
                <w:webHidden/>
              </w:rPr>
              <w:tab/>
            </w:r>
            <w:r>
              <w:rPr>
                <w:noProof/>
                <w:webHidden/>
              </w:rPr>
              <w:fldChar w:fldCharType="begin"/>
            </w:r>
            <w:r>
              <w:rPr>
                <w:noProof/>
                <w:webHidden/>
              </w:rPr>
              <w:instrText xml:space="preserve"> PAGEREF _Toc231205135 \h </w:instrText>
            </w:r>
            <w:r>
              <w:rPr>
                <w:noProof/>
                <w:webHidden/>
              </w:rPr>
            </w:r>
            <w:r>
              <w:rPr>
                <w:noProof/>
                <w:webHidden/>
              </w:rPr>
              <w:fldChar w:fldCharType="separate"/>
            </w:r>
            <w:r>
              <w:rPr>
                <w:noProof/>
                <w:webHidden/>
              </w:rPr>
              <w:t>32</w:t>
            </w:r>
            <w:r>
              <w:rPr>
                <w:noProof/>
                <w:webHidden/>
              </w:rPr>
              <w:fldChar w:fldCharType="end"/>
            </w:r>
          </w:hyperlink>
        </w:p>
        <w:p w14:paraId="496C661C" w14:textId="1C3CE2C2" w:rsidR="00413995" w:rsidRDefault="00413995">
          <w:pPr>
            <w:pStyle w:val="TOC1"/>
            <w:tabs>
              <w:tab w:val="right" w:leader="dot" w:pos="9782"/>
            </w:tabs>
            <w:rPr>
              <w:noProof/>
            </w:rPr>
          </w:pPr>
          <w:hyperlink w:anchor="_Toc231205136" w:history="1">
            <w:r w:rsidRPr="00F560E0">
              <w:rPr>
                <w:rStyle w:val="Hyperlink"/>
                <w:noProof/>
              </w:rPr>
              <w:t>Appendix A — Nomenclature</w:t>
            </w:r>
            <w:r>
              <w:rPr>
                <w:noProof/>
                <w:webHidden/>
              </w:rPr>
              <w:tab/>
            </w:r>
            <w:r>
              <w:rPr>
                <w:noProof/>
                <w:webHidden/>
              </w:rPr>
              <w:fldChar w:fldCharType="begin"/>
            </w:r>
            <w:r>
              <w:rPr>
                <w:noProof/>
                <w:webHidden/>
              </w:rPr>
              <w:instrText xml:space="preserve"> PAGEREF _Toc231205136 \h </w:instrText>
            </w:r>
            <w:r>
              <w:rPr>
                <w:noProof/>
                <w:webHidden/>
              </w:rPr>
            </w:r>
            <w:r>
              <w:rPr>
                <w:noProof/>
                <w:webHidden/>
              </w:rPr>
              <w:fldChar w:fldCharType="separate"/>
            </w:r>
            <w:r>
              <w:rPr>
                <w:noProof/>
                <w:webHidden/>
              </w:rPr>
              <w:t>33</w:t>
            </w:r>
            <w:r>
              <w:rPr>
                <w:noProof/>
                <w:webHidden/>
              </w:rPr>
              <w:fldChar w:fldCharType="end"/>
            </w:r>
          </w:hyperlink>
        </w:p>
        <w:p w14:paraId="5E962E8A" w14:textId="6A2F1AB5" w:rsidR="00413995" w:rsidRDefault="00413995">
          <w:pPr>
            <w:pStyle w:val="TOC1"/>
            <w:tabs>
              <w:tab w:val="right" w:leader="dot" w:pos="9782"/>
            </w:tabs>
            <w:rPr>
              <w:noProof/>
            </w:rPr>
          </w:pPr>
          <w:hyperlink w:anchor="_Toc231205137" w:history="1">
            <w:r w:rsidRPr="00F560E0">
              <w:rPr>
                <w:rStyle w:val="Hyperlink"/>
                <w:noProof/>
              </w:rPr>
              <w:t>Appendix B — Model Flags Reference</w:t>
            </w:r>
            <w:r>
              <w:rPr>
                <w:noProof/>
                <w:webHidden/>
              </w:rPr>
              <w:tab/>
            </w:r>
            <w:r>
              <w:rPr>
                <w:noProof/>
                <w:webHidden/>
              </w:rPr>
              <w:fldChar w:fldCharType="begin"/>
            </w:r>
            <w:r>
              <w:rPr>
                <w:noProof/>
                <w:webHidden/>
              </w:rPr>
              <w:instrText xml:space="preserve"> PAGEREF _Toc231205137 \h </w:instrText>
            </w:r>
            <w:r>
              <w:rPr>
                <w:noProof/>
                <w:webHidden/>
              </w:rPr>
            </w:r>
            <w:r>
              <w:rPr>
                <w:noProof/>
                <w:webHidden/>
              </w:rPr>
              <w:fldChar w:fldCharType="separate"/>
            </w:r>
            <w:r>
              <w:rPr>
                <w:noProof/>
                <w:webHidden/>
              </w:rPr>
              <w:t>34</w:t>
            </w:r>
            <w:r>
              <w:rPr>
                <w:noProof/>
                <w:webHidden/>
              </w:rPr>
              <w:fldChar w:fldCharType="end"/>
            </w:r>
          </w:hyperlink>
        </w:p>
        <w:p w14:paraId="42845354" w14:textId="73D4EBFD" w:rsidR="00413995" w:rsidRDefault="00413995">
          <w:pPr>
            <w:pStyle w:val="TOC1"/>
            <w:tabs>
              <w:tab w:val="right" w:leader="dot" w:pos="9782"/>
            </w:tabs>
            <w:rPr>
              <w:noProof/>
            </w:rPr>
          </w:pPr>
          <w:hyperlink w:anchor="_Toc231205138" w:history="1">
            <w:r w:rsidRPr="00F560E0">
              <w:rPr>
                <w:rStyle w:val="Hyperlink"/>
                <w:noProof/>
              </w:rPr>
              <w:t>References</w:t>
            </w:r>
            <w:r>
              <w:rPr>
                <w:noProof/>
                <w:webHidden/>
              </w:rPr>
              <w:tab/>
            </w:r>
            <w:r>
              <w:rPr>
                <w:noProof/>
                <w:webHidden/>
              </w:rPr>
              <w:fldChar w:fldCharType="begin"/>
            </w:r>
            <w:r>
              <w:rPr>
                <w:noProof/>
                <w:webHidden/>
              </w:rPr>
              <w:instrText xml:space="preserve"> PAGEREF _Toc231205138 \h </w:instrText>
            </w:r>
            <w:r>
              <w:rPr>
                <w:noProof/>
                <w:webHidden/>
              </w:rPr>
            </w:r>
            <w:r>
              <w:rPr>
                <w:noProof/>
                <w:webHidden/>
              </w:rPr>
              <w:fldChar w:fldCharType="separate"/>
            </w:r>
            <w:r>
              <w:rPr>
                <w:noProof/>
                <w:webHidden/>
              </w:rPr>
              <w:t>34</w:t>
            </w:r>
            <w:r>
              <w:rPr>
                <w:noProof/>
                <w:webHidden/>
              </w:rPr>
              <w:fldChar w:fldCharType="end"/>
            </w:r>
          </w:hyperlink>
        </w:p>
        <w:p w14:paraId="3456662E" w14:textId="306BC478" w:rsidR="00413995" w:rsidRDefault="00413995">
          <w:r>
            <w:rPr>
              <w:b/>
              <w:bCs/>
              <w:noProof/>
            </w:rPr>
            <w:fldChar w:fldCharType="end"/>
          </w:r>
        </w:p>
      </w:sdtContent>
    </w:sdt>
    <w:p w14:paraId="74C224CC" w14:textId="6E05D64F" w:rsidR="000F504F" w:rsidRDefault="000F504F"/>
    <w:p w14:paraId="570A9B4C" w14:textId="77777777" w:rsidR="000F504F" w:rsidRDefault="00000000">
      <w:pPr>
        <w:pStyle w:val="Heading1"/>
      </w:pPr>
      <w:bookmarkStart w:id="0" w:name="revision-history"/>
      <w:bookmarkStart w:id="1" w:name="_Toc231205056"/>
      <w:r>
        <w:t>Revision History</w:t>
      </w:r>
      <w:bookmarkEnd w:id="1"/>
    </w:p>
    <w:tbl>
      <w:tblPr>
        <w:tblStyle w:val="Table"/>
        <w:tblW w:w="5000" w:type="pct"/>
        <w:tblLayout w:type="fixed"/>
        <w:tblLook w:val="0020" w:firstRow="1" w:lastRow="0" w:firstColumn="0" w:lastColumn="0" w:noHBand="0" w:noVBand="0"/>
      </w:tblPr>
      <w:tblGrid>
        <w:gridCol w:w="3003"/>
        <w:gridCol w:w="4003"/>
        <w:gridCol w:w="3002"/>
      </w:tblGrid>
      <w:tr w:rsidR="000F504F" w14:paraId="1C949AC5" w14:textId="77777777" w:rsidTr="00413995">
        <w:trPr>
          <w:cnfStyle w:val="100000000000" w:firstRow="1" w:lastRow="0" w:firstColumn="0" w:lastColumn="0" w:oddVBand="0" w:evenVBand="0" w:oddHBand="0" w:evenHBand="0" w:firstRowFirstColumn="0" w:firstRowLastColumn="0" w:lastRowFirstColumn="0" w:lastRowLastColumn="0"/>
          <w:tblHeader/>
        </w:trPr>
        <w:tc>
          <w:tcPr>
            <w:tcW w:w="3003" w:type="dxa"/>
          </w:tcPr>
          <w:p w14:paraId="4CF48FBF" w14:textId="77777777" w:rsidR="000F504F" w:rsidRDefault="00000000">
            <w:pPr>
              <w:pStyle w:val="Compact"/>
            </w:pPr>
            <w:r>
              <w:t>Revision</w:t>
            </w:r>
          </w:p>
        </w:tc>
        <w:tc>
          <w:tcPr>
            <w:tcW w:w="4003" w:type="dxa"/>
          </w:tcPr>
          <w:p w14:paraId="5D3B63C2" w14:textId="77777777" w:rsidR="000F504F" w:rsidRDefault="00000000">
            <w:pPr>
              <w:pStyle w:val="Compact"/>
              <w:jc w:val="right"/>
            </w:pPr>
            <w:r>
              <w:t>Date</w:t>
            </w:r>
          </w:p>
        </w:tc>
        <w:tc>
          <w:tcPr>
            <w:tcW w:w="3002" w:type="dxa"/>
          </w:tcPr>
          <w:p w14:paraId="4A6EED5B" w14:textId="77777777" w:rsidR="000F504F" w:rsidRDefault="00000000">
            <w:pPr>
              <w:pStyle w:val="Compact"/>
            </w:pPr>
            <w:r>
              <w:t>Summary of Changes</w:t>
            </w:r>
          </w:p>
        </w:tc>
      </w:tr>
      <w:tr w:rsidR="000F504F" w14:paraId="2C88E875" w14:textId="77777777" w:rsidTr="00413995">
        <w:tc>
          <w:tcPr>
            <w:tcW w:w="3003" w:type="dxa"/>
          </w:tcPr>
          <w:p w14:paraId="0C0241D3" w14:textId="77777777" w:rsidR="000F504F" w:rsidRDefault="00000000">
            <w:pPr>
              <w:pStyle w:val="Compact"/>
            </w:pPr>
            <w:r>
              <w:t>Rev. 0</w:t>
            </w:r>
          </w:p>
        </w:tc>
        <w:tc>
          <w:tcPr>
            <w:tcW w:w="4003" w:type="dxa"/>
          </w:tcPr>
          <w:p w14:paraId="4DA3EF5A" w14:textId="77777777" w:rsidR="000F504F" w:rsidRDefault="00000000">
            <w:pPr>
              <w:pStyle w:val="Compact"/>
              <w:jc w:val="right"/>
            </w:pPr>
            <w:r>
              <w:t>May 2026</w:t>
            </w:r>
          </w:p>
        </w:tc>
        <w:tc>
          <w:tcPr>
            <w:tcW w:w="3002" w:type="dxa"/>
          </w:tcPr>
          <w:p w14:paraId="25223646" w14:textId="77777777" w:rsidR="000F504F" w:rsidRDefault="00000000">
            <w:pPr>
              <w:pStyle w:val="Compact"/>
            </w:pPr>
            <w:r>
              <w:t>Initial release. HEM thermal-hydraulics, ERM critical flow, ANS-1979 decay heat, heat-transfer correlations, oxidation, dose screening, and uncertainty-analysis framework.</w:t>
            </w:r>
          </w:p>
        </w:tc>
      </w:tr>
      <w:tr w:rsidR="000F504F" w14:paraId="6C8372EE" w14:textId="77777777" w:rsidTr="00413995">
        <w:tc>
          <w:tcPr>
            <w:tcW w:w="3003" w:type="dxa"/>
          </w:tcPr>
          <w:p w14:paraId="1B4A9FDB" w14:textId="77777777" w:rsidR="000F504F" w:rsidRDefault="00000000">
            <w:pPr>
              <w:pStyle w:val="Compact"/>
            </w:pPr>
            <w:r>
              <w:t>Rev. 1</w:t>
            </w:r>
          </w:p>
        </w:tc>
        <w:tc>
          <w:tcPr>
            <w:tcW w:w="4003" w:type="dxa"/>
          </w:tcPr>
          <w:p w14:paraId="18E355C0" w14:textId="77777777" w:rsidR="000F504F" w:rsidRDefault="00000000">
            <w:pPr>
              <w:pStyle w:val="Compact"/>
              <w:jc w:val="right"/>
            </w:pPr>
            <w:r>
              <w:t>June 2026</w:t>
            </w:r>
          </w:p>
        </w:tc>
        <w:tc>
          <w:tcPr>
            <w:tcW w:w="3002" w:type="dxa"/>
          </w:tcPr>
          <w:p w14:paraId="645D5B46" w14:textId="77777777" w:rsidR="000F504F" w:rsidRDefault="00000000">
            <w:pPr>
              <w:pStyle w:val="Compact"/>
            </w:pPr>
            <w:r>
              <w:t>Added FLARECON dry-containment response model and updated heat-transfer package, AI event narrative system, Model Editor, Plant Analyzer, and architecture listing.</w:t>
            </w:r>
          </w:p>
        </w:tc>
      </w:tr>
    </w:tbl>
    <w:p w14:paraId="28D68A05" w14:textId="77777777" w:rsidR="000F504F" w:rsidRDefault="00000000">
      <w:pPr>
        <w:pStyle w:val="Heading1"/>
      </w:pPr>
      <w:bookmarkStart w:id="2" w:name="preface"/>
      <w:bookmarkStart w:id="3" w:name="_Toc231205057"/>
      <w:bookmarkEnd w:id="0"/>
      <w:r>
        <w:t>Preface</w:t>
      </w:r>
      <w:bookmarkEnd w:id="3"/>
    </w:p>
    <w:p w14:paraId="49799A3D" w14:textId="77777777" w:rsidR="000F504F" w:rsidRDefault="00000000">
      <w:pPr>
        <w:pStyle w:val="FirstParagraph"/>
      </w:pPr>
      <w:r>
        <w:t>FLARE (Fast Licensing Accident Response Engine) is a reduced-order reactor safety analysis code developed for rapid evaluation of design-basis and selected beyond-design-basis transients in pressurized-water reactors and small modular reactors. It is not intended to replace production licensing codes such as RELAP5, TRACE, CATHARE, ATHLET, or containment codes used in formal safety analysis. Its purpose is narrower: FLARE provides a transparent, computationally affordable, single-node analytical framework for understanding the dominant mass, energy, power, fuel-temperature, source-term, and containment-response trends that govern light-water reactor accident progression.</w:t>
      </w:r>
    </w:p>
    <w:p w14:paraId="591EE762" w14:textId="77777777" w:rsidR="000F504F" w:rsidRDefault="00000000">
      <w:pPr>
        <w:pStyle w:val="BodyText"/>
      </w:pPr>
      <w:r>
        <w:t>This manual documents the mathematical basis of FLARE. The emphasis is on traceability: the reader should be able to understand how physical conservation laws are simplified, how those simplifications are translated into governing equations and constitutive relations, and how the numerical solution is advanced in time. The manual therefore distinguishes among governing conservation equations, closure or constitutive relations, numerical approximations, and user-controlled modeling assumptions. This distinction is essential because many differences among accident-analysis codes arise not from disagreement about conservation laws, but from differences in closure, nodalization, solution method, and judgment about which phenomena must be represented explicitly.</w:t>
      </w:r>
    </w:p>
    <w:p w14:paraId="2CAD6B73" w14:textId="77777777" w:rsidR="000F504F" w:rsidRDefault="00000000">
      <w:pPr>
        <w:pStyle w:val="Heading1"/>
      </w:pPr>
      <w:bookmarkStart w:id="4" w:name="X55302f0b37d8aa1d70bf2a6c41234b830fb1745"/>
      <w:bookmarkStart w:id="5" w:name="_Toc231205058"/>
      <w:bookmarkEnd w:id="2"/>
      <w:r>
        <w:lastRenderedPageBreak/>
        <w:t>Chapter 1 — Introduction and Regulatory Context</w:t>
      </w:r>
      <w:bookmarkEnd w:id="5"/>
    </w:p>
    <w:p w14:paraId="13FFE449" w14:textId="77777777" w:rsidR="000F504F" w:rsidRDefault="00000000">
      <w:pPr>
        <w:pStyle w:val="Heading2"/>
      </w:pPr>
      <w:bookmarkStart w:id="6" w:name="purpose-and-scope"/>
      <w:bookmarkStart w:id="7" w:name="_Toc231205059"/>
      <w:r>
        <w:t>1.1 Purpose and Scope</w:t>
      </w:r>
      <w:bookmarkEnd w:id="7"/>
    </w:p>
    <w:p w14:paraId="5AE57F43" w14:textId="77777777" w:rsidR="000F504F" w:rsidRDefault="00000000">
      <w:pPr>
        <w:pStyle w:val="FirstParagraph"/>
      </w:pPr>
      <w:r>
        <w:t>Design-basis accident analysis is a multi-physics calculation. Even highly idealized accidents combine reactor kinetics, single-phase and two-phase thermal-hydraulics, heat transfer, transient conduction, material oxidation, engineered safety-system actuation, and radiological transport. The purpose of FLARE is to assemble those coupled effects into a transparent reduced-order model that is suitable for scoping analysis, methods demonstrations, sensitivity studies, uncertainty analysis, risk-informed screening, and educational use.</w:t>
      </w:r>
    </w:p>
    <w:p w14:paraId="315016C4" w14:textId="77777777" w:rsidR="000F504F" w:rsidRDefault="00000000">
      <w:pPr>
        <w:pStyle w:val="BodyText"/>
      </w:pPr>
      <w:r>
        <w:t>The principal safety quantities of interest are the integrity of the fuel cladding, the pressure boundary of the reactor coolant system, and the containment barrier. In FLARE, those barriers are represented by the following calculated figures of merit:</w:t>
      </w:r>
    </w:p>
    <w:tbl>
      <w:tblPr>
        <w:tblStyle w:val="Table"/>
        <w:tblW w:w="5000" w:type="pct"/>
        <w:tblLayout w:type="fixed"/>
        <w:tblLook w:val="0020" w:firstRow="1" w:lastRow="0" w:firstColumn="0" w:lastColumn="0" w:noHBand="0" w:noVBand="0"/>
      </w:tblPr>
      <w:tblGrid>
        <w:gridCol w:w="3336"/>
        <w:gridCol w:w="3336"/>
        <w:gridCol w:w="3336"/>
      </w:tblGrid>
      <w:tr w:rsidR="000F504F" w14:paraId="44FCAA01"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86267B" w14:textId="77777777" w:rsidR="000F504F" w:rsidRDefault="00000000">
            <w:pPr>
              <w:pStyle w:val="Compact"/>
            </w:pPr>
            <w:r>
              <w:t>Barrier or function</w:t>
            </w:r>
          </w:p>
        </w:tc>
        <w:tc>
          <w:tcPr>
            <w:tcW w:w="2640" w:type="dxa"/>
          </w:tcPr>
          <w:p w14:paraId="7D7F2F3F" w14:textId="77777777" w:rsidR="000F504F" w:rsidRDefault="00000000">
            <w:pPr>
              <w:pStyle w:val="Compact"/>
            </w:pPr>
            <w:r>
              <w:t>Primary FLARE metric</w:t>
            </w:r>
          </w:p>
        </w:tc>
        <w:tc>
          <w:tcPr>
            <w:tcW w:w="2640" w:type="dxa"/>
          </w:tcPr>
          <w:p w14:paraId="134479AD" w14:textId="77777777" w:rsidR="000F504F" w:rsidRDefault="00000000">
            <w:pPr>
              <w:pStyle w:val="Compact"/>
            </w:pPr>
            <w:r>
              <w:t>Typical use</w:t>
            </w:r>
          </w:p>
        </w:tc>
      </w:tr>
      <w:tr w:rsidR="000F504F" w14:paraId="53E6CE4D" w14:textId="77777777">
        <w:tc>
          <w:tcPr>
            <w:tcW w:w="2640" w:type="dxa"/>
          </w:tcPr>
          <w:p w14:paraId="2C12BF22" w14:textId="77777777" w:rsidR="000F504F" w:rsidRDefault="00000000">
            <w:pPr>
              <w:pStyle w:val="Compact"/>
            </w:pPr>
            <w:r>
              <w:t>Fuel cladding temperature</w:t>
            </w:r>
          </w:p>
        </w:tc>
        <w:tc>
          <w:tcPr>
            <w:tcW w:w="2640" w:type="dxa"/>
          </w:tcPr>
          <w:p w14:paraId="663B3BDD" w14:textId="77777777" w:rsidR="000F504F" w:rsidRDefault="00000000">
            <w:pPr>
              <w:pStyle w:val="Compact"/>
            </w:pPr>
            <w:r>
              <w:t xml:space="preserve">Peak cladding temperature, </w:t>
            </w:r>
            <m:oMath>
              <m:sSub>
                <m:sSubPr>
                  <m:ctrlPr>
                    <w:rPr>
                      <w:rFonts w:ascii="Cambria Math" w:hAnsi="Cambria Math"/>
                    </w:rPr>
                  </m:ctrlPr>
                </m:sSubPr>
                <m:e>
                  <m:r>
                    <w:rPr>
                      <w:rFonts w:ascii="Cambria Math" w:hAnsi="Cambria Math"/>
                    </w:rPr>
                    <m:t>T</m:t>
                  </m:r>
                </m:e>
                <m:sub>
                  <m:r>
                    <w:rPr>
                      <w:rFonts w:ascii="Cambria Math" w:hAnsi="Cambria Math"/>
                    </w:rPr>
                    <m:t>clad</m:t>
                  </m:r>
                  <m:r>
                    <m:rPr>
                      <m:sty m:val="p"/>
                    </m:rPr>
                    <w:rPr>
                      <w:rFonts w:ascii="Cambria Math" w:hAnsi="Cambria Math"/>
                    </w:rPr>
                    <m:t>,</m:t>
                  </m:r>
                  <m:r>
                    <w:rPr>
                      <w:rFonts w:ascii="Cambria Math" w:hAnsi="Cambria Math"/>
                    </w:rPr>
                    <m:t>max</m:t>
                  </m:r>
                </m:sub>
              </m:sSub>
            </m:oMath>
          </w:p>
        </w:tc>
        <w:tc>
          <w:tcPr>
            <w:tcW w:w="2640" w:type="dxa"/>
          </w:tcPr>
          <w:p w14:paraId="09747630" w14:textId="77777777" w:rsidR="000F504F" w:rsidRDefault="00000000">
            <w:pPr>
              <w:pStyle w:val="Compact"/>
            </w:pPr>
            <w:r>
              <w:t>Comparison to the 10 CFR 50.46 PCT limit.</w:t>
            </w:r>
          </w:p>
        </w:tc>
      </w:tr>
      <w:tr w:rsidR="000F504F" w14:paraId="29E575D3" w14:textId="77777777">
        <w:tc>
          <w:tcPr>
            <w:tcW w:w="2640" w:type="dxa"/>
          </w:tcPr>
          <w:p w14:paraId="58854905" w14:textId="77777777" w:rsidR="000F504F" w:rsidRDefault="00000000">
            <w:pPr>
              <w:pStyle w:val="Compact"/>
            </w:pPr>
            <w:r>
              <w:t>Fuel cladding oxidation</w:t>
            </w:r>
          </w:p>
        </w:tc>
        <w:tc>
          <w:tcPr>
            <w:tcW w:w="2640" w:type="dxa"/>
          </w:tcPr>
          <w:p w14:paraId="0C4F37FC" w14:textId="77777777" w:rsidR="000F504F" w:rsidRDefault="00000000">
            <w:pPr>
              <w:pStyle w:val="Compact"/>
            </w:pPr>
            <w:r>
              <w:t>Hot-pin equivalent cladding reacted, ECR</w:t>
            </w:r>
          </w:p>
        </w:tc>
        <w:tc>
          <w:tcPr>
            <w:tcW w:w="2640" w:type="dxa"/>
          </w:tcPr>
          <w:p w14:paraId="562378FD" w14:textId="77777777" w:rsidR="000F504F" w:rsidRDefault="00000000">
            <w:pPr>
              <w:pStyle w:val="Compact"/>
            </w:pPr>
            <w:r>
              <w:t>Local oxidation screening and hydrogen generation.</w:t>
            </w:r>
          </w:p>
        </w:tc>
      </w:tr>
      <w:tr w:rsidR="000F504F" w14:paraId="77233ADB" w14:textId="77777777">
        <w:tc>
          <w:tcPr>
            <w:tcW w:w="2640" w:type="dxa"/>
          </w:tcPr>
          <w:p w14:paraId="62E5F96A" w14:textId="77777777" w:rsidR="000F504F" w:rsidRDefault="00000000">
            <w:pPr>
              <w:pStyle w:val="Compact"/>
            </w:pPr>
            <w:r>
              <w:t>Core-wide oxidation</w:t>
            </w:r>
          </w:p>
        </w:tc>
        <w:tc>
          <w:tcPr>
            <w:tcW w:w="2640" w:type="dxa"/>
          </w:tcPr>
          <w:p w14:paraId="2B9E4894" w14:textId="77777777" w:rsidR="000F504F" w:rsidRDefault="00000000">
            <w:pPr>
              <w:pStyle w:val="Compact"/>
            </w:pPr>
            <w:r>
              <w:t xml:space="preserve">Total hydrogen generation,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oMath>
          </w:p>
        </w:tc>
        <w:tc>
          <w:tcPr>
            <w:tcW w:w="2640" w:type="dxa"/>
          </w:tcPr>
          <w:p w14:paraId="72530CE9" w14:textId="77777777" w:rsidR="000F504F" w:rsidRDefault="00000000">
            <w:pPr>
              <w:pStyle w:val="Compact"/>
            </w:pPr>
            <w:r>
              <w:t>Core-wide oxidation and containment combustible-gas challenge.</w:t>
            </w:r>
          </w:p>
        </w:tc>
      </w:tr>
      <w:tr w:rsidR="000F504F" w14:paraId="024E93EB" w14:textId="77777777">
        <w:tc>
          <w:tcPr>
            <w:tcW w:w="2640" w:type="dxa"/>
          </w:tcPr>
          <w:p w14:paraId="1D95D946" w14:textId="77777777" w:rsidR="000F504F" w:rsidRDefault="00000000">
            <w:pPr>
              <w:pStyle w:val="Compact"/>
            </w:pPr>
            <w:r>
              <w:t>Reactor coolant inventory</w:t>
            </w:r>
          </w:p>
        </w:tc>
        <w:tc>
          <w:tcPr>
            <w:tcW w:w="2640" w:type="dxa"/>
          </w:tcPr>
          <w:p w14:paraId="18BD13B2" w14:textId="77777777" w:rsidR="000F504F" w:rsidRDefault="00000000">
            <w:pPr>
              <w:pStyle w:val="Compact"/>
            </w:pPr>
            <w:r>
              <w:t>RCS mass and collapsed vessel level</w:t>
            </w:r>
          </w:p>
        </w:tc>
        <w:tc>
          <w:tcPr>
            <w:tcW w:w="2640" w:type="dxa"/>
          </w:tcPr>
          <w:p w14:paraId="28A94F29" w14:textId="77777777" w:rsidR="000F504F" w:rsidRDefault="00000000">
            <w:pPr>
              <w:pStyle w:val="Compact"/>
            </w:pPr>
            <w:r>
              <w:t>ECCS refill/reflood and long-term cooling trends.</w:t>
            </w:r>
          </w:p>
        </w:tc>
      </w:tr>
      <w:tr w:rsidR="000F504F" w14:paraId="16F9B09F" w14:textId="77777777">
        <w:tc>
          <w:tcPr>
            <w:tcW w:w="2640" w:type="dxa"/>
          </w:tcPr>
          <w:p w14:paraId="1B8D3E71" w14:textId="77777777" w:rsidR="000F504F" w:rsidRDefault="00000000">
            <w:pPr>
              <w:pStyle w:val="Compact"/>
            </w:pPr>
            <w:r>
              <w:t>RCS pressure boundary</w:t>
            </w:r>
          </w:p>
        </w:tc>
        <w:tc>
          <w:tcPr>
            <w:tcW w:w="2640" w:type="dxa"/>
          </w:tcPr>
          <w:p w14:paraId="14A14501" w14:textId="77777777" w:rsidR="000F504F" w:rsidRDefault="00000000">
            <w:pPr>
              <w:pStyle w:val="Compact"/>
            </w:pPr>
            <w:r>
              <w:t>RCS pressure and relief/break discharge</w:t>
            </w:r>
          </w:p>
        </w:tc>
        <w:tc>
          <w:tcPr>
            <w:tcW w:w="2640" w:type="dxa"/>
          </w:tcPr>
          <w:p w14:paraId="09E0FA94" w14:textId="77777777" w:rsidR="000F504F" w:rsidRDefault="00000000">
            <w:pPr>
              <w:pStyle w:val="Compact"/>
            </w:pPr>
            <w:r>
              <w:t>Overpressure and depressurization behavior.</w:t>
            </w:r>
          </w:p>
        </w:tc>
      </w:tr>
      <w:tr w:rsidR="000F504F" w14:paraId="48102466" w14:textId="77777777">
        <w:tc>
          <w:tcPr>
            <w:tcW w:w="2640" w:type="dxa"/>
          </w:tcPr>
          <w:p w14:paraId="03F987BA" w14:textId="77777777" w:rsidR="000F504F" w:rsidRDefault="00000000">
            <w:pPr>
              <w:pStyle w:val="Compact"/>
            </w:pPr>
            <w:r>
              <w:t>Containment integrity</w:t>
            </w:r>
          </w:p>
        </w:tc>
        <w:tc>
          <w:tcPr>
            <w:tcW w:w="2640" w:type="dxa"/>
          </w:tcPr>
          <w:p w14:paraId="16D89462" w14:textId="77777777" w:rsidR="000F504F" w:rsidRDefault="00000000">
            <w:pPr>
              <w:pStyle w:val="Compact"/>
            </w:pPr>
            <w:r>
              <w:t>FLARECON pressure and temperature</w:t>
            </w:r>
          </w:p>
        </w:tc>
        <w:tc>
          <w:tcPr>
            <w:tcW w:w="2640" w:type="dxa"/>
          </w:tcPr>
          <w:p w14:paraId="0DC134B8" w14:textId="77777777" w:rsidR="000F504F" w:rsidRDefault="00000000">
            <w:pPr>
              <w:pStyle w:val="Compact"/>
            </w:pPr>
            <w:r>
              <w:t>Dry-containment pressure and heat-removal margin.</w:t>
            </w:r>
          </w:p>
        </w:tc>
      </w:tr>
      <w:tr w:rsidR="000F504F" w14:paraId="0E2B6392" w14:textId="77777777">
        <w:tc>
          <w:tcPr>
            <w:tcW w:w="2640" w:type="dxa"/>
          </w:tcPr>
          <w:p w14:paraId="2E5147AE" w14:textId="77777777" w:rsidR="000F504F" w:rsidRDefault="00000000">
            <w:pPr>
              <w:pStyle w:val="Compact"/>
            </w:pPr>
            <w:r>
              <w:t>Radiological consequences</w:t>
            </w:r>
          </w:p>
        </w:tc>
        <w:tc>
          <w:tcPr>
            <w:tcW w:w="2640" w:type="dxa"/>
          </w:tcPr>
          <w:p w14:paraId="7F37A3E4" w14:textId="77777777" w:rsidR="000F504F" w:rsidRDefault="00000000">
            <w:pPr>
              <w:pStyle w:val="Compact"/>
            </w:pPr>
            <w:r>
              <w:t>EAB, LPZ, and control-room TEDE</w:t>
            </w:r>
          </w:p>
        </w:tc>
        <w:tc>
          <w:tcPr>
            <w:tcW w:w="2640" w:type="dxa"/>
          </w:tcPr>
          <w:p w14:paraId="14975F30" w14:textId="77777777" w:rsidR="000F504F" w:rsidRDefault="00000000">
            <w:pPr>
              <w:pStyle w:val="Compact"/>
            </w:pPr>
            <w:r>
              <w:t>Source-term and dose screening.</w:t>
            </w:r>
          </w:p>
        </w:tc>
      </w:tr>
    </w:tbl>
    <w:p w14:paraId="3197952F" w14:textId="77777777" w:rsidR="000F504F" w:rsidRDefault="00000000">
      <w:pPr>
        <w:pStyle w:val="BodyText"/>
      </w:pPr>
      <w:r>
        <w:t>FLARE is deliberately positioned between hand calculation and high-fidelity best-estimate analysis. It is more mechanistic than a single algebraic screening calculation, but it is much simpler than a six-equation two-fluid thermal-hydraulic system code. Its usefulness depends on the analyst understanding the assumptions embedded in the model and using the results in a manner consistent with those assumptions.</w:t>
      </w:r>
    </w:p>
    <w:p w14:paraId="1F42E7F2" w14:textId="77777777" w:rsidR="000F504F" w:rsidRDefault="00000000">
      <w:pPr>
        <w:pStyle w:val="Heading2"/>
      </w:pPr>
      <w:bookmarkStart w:id="8" w:name="X3827eaaa1ad4350c7dacb122f1bc8143dbd927a"/>
      <w:bookmarkStart w:id="9" w:name="_Toc231205060"/>
      <w:bookmarkEnd w:id="6"/>
      <w:r>
        <w:t>1.2 Analytical Requirements and Model Fidelity</w:t>
      </w:r>
      <w:bookmarkEnd w:id="9"/>
    </w:p>
    <w:p w14:paraId="64C8E768" w14:textId="77777777" w:rsidR="000F504F" w:rsidRDefault="00000000">
      <w:pPr>
        <w:pStyle w:val="FirstParagraph"/>
      </w:pPr>
      <w:r>
        <w:t>A rigorous evaluation model begins with analytical requirements. For formal licensing methods, those requirements are commonly developed by identifying the plant design, event class, acceptance criteria, and phenomena that can significantly influence calculated margin. The same discipline is useful for a reduced-order code. The necessary level of detail depends on the purpose of the calculation.</w:t>
      </w:r>
    </w:p>
    <w:p w14:paraId="0A627F57" w14:textId="77777777" w:rsidR="000F504F" w:rsidRDefault="00000000">
      <w:pPr>
        <w:pStyle w:val="BodyText"/>
      </w:pPr>
      <w:r>
        <w:t>During a large-break LOCA, peak cladding temperature is strongly influenced by blowdown rate, inventory loss, accumulator injection, decay heat, heat-transfer regime, and post-CHF cooling. By contrast, containment peak pressure is primarily influenced by mass and enthalpy release, containment free volume, condensation, wall heat capacity, spray heat removal, and sump cooling. A model adequate for containment pressure screening may be inadequate for fine-resolution prediction of reflood heat transfer. Conversely, a detailed hot-channel model may add little value to a calculation whose purpose is only to determine whether containment pressure remains bounded.</w:t>
      </w:r>
    </w:p>
    <w:p w14:paraId="7FBBD80F" w14:textId="77777777" w:rsidR="000F504F" w:rsidRDefault="00000000">
      <w:pPr>
        <w:pStyle w:val="BodyText"/>
      </w:pPr>
      <w:r>
        <w:lastRenderedPageBreak/>
        <w:t>FLARE adopts the following modeling hierarchy. The reactor coolant system is represented by a single homogeneous-equilibrium control volume. Break, PORV, injection, pump, and steam-generator behavior are represented as boundary or closure models. The core thermal response is represented by a separate hot-channel heat-structure model driven by the system pressure, coolant enthalpy, flow, and power history. The radiological source term is calculated from fuel-damage indicators and user-selected release fractions. The containment response is calculated by FLARECON as a separate, one-way-coupled, lumped-parameter dry-containment model.</w:t>
      </w:r>
    </w:p>
    <w:p w14:paraId="645CC523" w14:textId="77777777" w:rsidR="000F504F" w:rsidRDefault="00000000">
      <w:pPr>
        <w:pStyle w:val="BodyText"/>
      </w:pPr>
      <w:r>
        <w:t>This hierarchy should be interpreted as an intentional model-form choice. It provides transparency and speed at the cost of spatial resolution and detailed two-phase flow topology.</w:t>
      </w:r>
    </w:p>
    <w:p w14:paraId="5603BC23" w14:textId="77777777" w:rsidR="000F504F" w:rsidRDefault="00000000">
      <w:pPr>
        <w:pStyle w:val="Heading2"/>
      </w:pPr>
      <w:bookmarkStart w:id="10" w:name="code-architecture"/>
      <w:bookmarkStart w:id="11" w:name="_Toc231205061"/>
      <w:bookmarkEnd w:id="8"/>
      <w:r>
        <w:t>1.3 Code Architecture</w:t>
      </w:r>
      <w:bookmarkEnd w:id="11"/>
    </w:p>
    <w:p w14:paraId="68555E2F" w14:textId="77777777" w:rsidR="000F504F" w:rsidRDefault="00000000">
      <w:pPr>
        <w:pStyle w:val="FirstParagraph"/>
      </w:pPr>
      <w:r>
        <w:t xml:space="preserve">The FLARE code system is organized as a compact set of Python modules. The primary reactor coolant system calculation is performed by </w:t>
      </w:r>
      <w:r>
        <w:rPr>
          <w:rStyle w:val="VerbatimChar"/>
        </w:rPr>
        <w:t>flare_sim.py</w:t>
      </w:r>
      <w:r>
        <w:t xml:space="preserve">, which reads an Excel input workbook and produces Excel and CSV output. The FLARECON containment calculation is performed by </w:t>
      </w:r>
      <w:r>
        <w:rPr>
          <w:rStyle w:val="VerbatimChar"/>
        </w:rPr>
        <w:t>flarecon_sim.py</w:t>
      </w:r>
      <w:r>
        <w:t>, either as a stand-alone containment response calculation or as a one-way coupled calculation driven by FLARE RCS output. The user interface, uncertainty-analysis tool, risk tool, model editor, plant analyzer, and batch workers provide pre-processing, post-processing, visualization, and automation around those calculation kernels.</w:t>
      </w:r>
    </w:p>
    <w:p w14:paraId="2E0B1840" w14:textId="77777777" w:rsidR="000F504F" w:rsidRDefault="00000000">
      <w:pPr>
        <w:pStyle w:val="BodyText"/>
      </w:pPr>
      <w:r>
        <w:t xml:space="preserve">The primary RCS simulation function is </w:t>
      </w:r>
      <w:r>
        <w:rPr>
          <w:rStyle w:val="VerbatimChar"/>
        </w:rPr>
        <w:t>pwr_sim()</w:t>
      </w:r>
      <w:r>
        <w:t xml:space="preserve">. It reads the input command block, initializes the thermodynamic state, constructs the required closure parameters, and advances the solution in time using an operator-split approach. The containment functions </w:t>
      </w:r>
      <w:r>
        <w:rPr>
          <w:rStyle w:val="VerbatimChar"/>
        </w:rPr>
        <w:t>run_flarecon()</w:t>
      </w:r>
      <w:r>
        <w:t xml:space="preserve"> and </w:t>
      </w:r>
      <w:r>
        <w:rPr>
          <w:rStyle w:val="VerbatimChar"/>
        </w:rPr>
        <w:t>run_integrated_flarecon()</w:t>
      </w:r>
      <w:r>
        <w:t xml:space="preserve"> read the RCS output, construct source terms for mass, enthalpy, and hydrogen addition to containment, and integrate the containment gas and wall response.</w:t>
      </w:r>
    </w:p>
    <w:p w14:paraId="7AAE2DA8" w14:textId="77777777" w:rsidR="000F504F" w:rsidRDefault="00000000">
      <w:pPr>
        <w:pStyle w:val="Heading2"/>
      </w:pPr>
      <w:bookmarkStart w:id="12" w:name="single-node-approximation"/>
      <w:bookmarkStart w:id="13" w:name="_Toc231205062"/>
      <w:bookmarkEnd w:id="10"/>
      <w:r>
        <w:t>1.4 Single-Node Approximation</w:t>
      </w:r>
      <w:bookmarkEnd w:id="13"/>
    </w:p>
    <w:p w14:paraId="071A8124" w14:textId="77777777" w:rsidR="000F504F" w:rsidRDefault="00000000">
      <w:pPr>
        <w:pStyle w:val="FirstParagraph"/>
      </w:pPr>
      <w:r>
        <w:t>The central simplification in FLARE is the single-node approximation for the reactor coolant system. The model assumes that the primary coolant inventory can be represented as a single well-mixed control volume with uniform pressure and specific enthalpy. The state of the coolant is therefore described by two independent thermodynamic variables:</w:t>
      </w:r>
    </w:p>
    <w:p w14:paraId="1ED90657"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RCS</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P</m:t>
                    </m:r>
                  </m:e>
                </m:mr>
                <m:mr>
                  <m:e>
                    <m:r>
                      <w:rPr>
                        <w:rFonts w:ascii="Cambria Math" w:hAnsi="Cambria Math"/>
                      </w:rPr>
                      <m:t>h</m:t>
                    </m:r>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m:t>
              </m:r>
            </m:e>
          </m:d>
        </m:oMath>
      </m:oMathPara>
    </w:p>
    <w:p w14:paraId="06D4FD4B" w14:textId="77777777" w:rsidR="000F504F" w:rsidRDefault="00000000">
      <w:pPr>
        <w:pStyle w:val="FirstParagraph"/>
      </w:pPr>
      <w:r>
        <w:t>All fluid properties are evaluated from this state. The assumption is most defensible when the analyst is interested in global pressure, global inventory, integrated break flow, and the approximate timing of safety-system response. It is least defensible when the calculation depends on phase separation, counter-current flow limitation, hot-leg condensation, lower-plenum refill distribution, multidimensional vessel behavior, or detailed reflood heat transfer.</w:t>
      </w:r>
    </w:p>
    <w:p w14:paraId="3405D6E0" w14:textId="77777777" w:rsidR="000F504F" w:rsidRDefault="00000000">
      <w:pPr>
        <w:pStyle w:val="Heading1"/>
      </w:pPr>
      <w:bookmarkStart w:id="14" w:name="chapter-2-thermal-hydraulic-system-model"/>
      <w:bookmarkStart w:id="15" w:name="_Toc231205063"/>
      <w:bookmarkEnd w:id="4"/>
      <w:bookmarkEnd w:id="12"/>
      <w:r>
        <w:t>Chapter 2 — Thermal-Hydraulic System Model</w:t>
      </w:r>
      <w:bookmarkEnd w:id="15"/>
    </w:p>
    <w:p w14:paraId="5F1124CB" w14:textId="77777777" w:rsidR="000F504F" w:rsidRDefault="00000000">
      <w:pPr>
        <w:pStyle w:val="Heading2"/>
      </w:pPr>
      <w:bookmarkStart w:id="16" w:name="modeling-basis"/>
      <w:bookmarkStart w:id="17" w:name="_Toc231205064"/>
      <w:r>
        <w:t>2.1 Modeling Basis</w:t>
      </w:r>
      <w:bookmarkEnd w:id="17"/>
    </w:p>
    <w:p w14:paraId="2FBD5C49" w14:textId="77777777" w:rsidR="000F504F" w:rsidRDefault="00000000">
      <w:pPr>
        <w:pStyle w:val="FirstParagraph"/>
      </w:pPr>
      <w:r>
        <w:t>The thermal-hydraulic system model is based on the homogeneous equilibrium model (HEM). In HEM, liquid and vapor are assumed to be in mechanical and thermal equilibrium. Mechanical equilibrium means that the phases share a common velocity; thermal equilibrium means that the phases share a common temperature when both are present. The mixture can therefore be represented by a single pressure, a single specific enthalpy, and equilibrium mixture properties.</w:t>
      </w:r>
    </w:p>
    <w:p w14:paraId="0E8A1C83" w14:textId="77777777" w:rsidR="000F504F" w:rsidRDefault="00000000">
      <w:pPr>
        <w:pStyle w:val="BodyText"/>
      </w:pPr>
      <w:r>
        <w:t xml:space="preserve">The HEM assumptions are severe simplifications of the two-fluid model, but they are useful for a single-node scoping code. A two-fluid model requires separate liquid and vapor mass, momentum, and energy </w:t>
      </w:r>
      <w:r>
        <w:lastRenderedPageBreak/>
        <w:t>equations plus closure for interfacial drag, interfacial heat transfer, wall friction, wall heat transfer, entrainment, deposition, and flow-regime transition. FLARE instead collapses those details into mixture properties and boundary-flow correlations. The practical implication is that FLARE can track pressure, enthalpy, inventory, blowdown, injection, and heat removal efficiently, while accepting limited fidelity for void distribution and phasic slip inside the system volume.</w:t>
      </w:r>
    </w:p>
    <w:p w14:paraId="637485B6" w14:textId="77777777" w:rsidR="000F504F" w:rsidRDefault="00000000">
      <w:pPr>
        <w:pStyle w:val="Heading2"/>
      </w:pPr>
      <w:bookmarkStart w:id="18" w:name="control-volume-mass-balance"/>
      <w:bookmarkStart w:id="19" w:name="_Toc231205065"/>
      <w:bookmarkEnd w:id="16"/>
      <w:r>
        <w:t>2.2 Control-Volume Mass Balance</w:t>
      </w:r>
      <w:bookmarkEnd w:id="19"/>
    </w:p>
    <w:p w14:paraId="083A72D5" w14:textId="77777777" w:rsidR="000F504F" w:rsidRDefault="00000000">
      <w:pPr>
        <w:pStyle w:val="FirstParagraph"/>
      </w:pPr>
      <w:r>
        <w:t xml:space="preserve">Let </w:t>
      </w:r>
      <m:oMath>
        <m:r>
          <w:rPr>
            <w:rFonts w:ascii="Cambria Math" w:hAnsi="Cambria Math"/>
          </w:rPr>
          <m:t>M</m:t>
        </m:r>
      </m:oMath>
      <w:r>
        <w:t xml:space="preserve"> denote the total fluid mass in the reactor coolant system control volume. Mass can enter through safety injection, accumulator injection, charging/makeup, or other specified sources. Mass can leave through a break, a PORV, letdown, or other specified sinks. The global mass balance is</w:t>
      </w:r>
    </w:p>
    <w:p w14:paraId="45541571"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m:t>
              </m:r>
            </m:e>
          </m:d>
        </m:oMath>
      </m:oMathPara>
    </w:p>
    <w:p w14:paraId="45C77581" w14:textId="77777777" w:rsidR="000F504F" w:rsidRDefault="00000000">
      <w:pPr>
        <w:pStyle w:val="FirstParagraph"/>
      </w:pPr>
      <w:r>
        <w:t>For the standard FLARE PWR model, this is written as</w:t>
      </w:r>
    </w:p>
    <w:p w14:paraId="0FF3AD75"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m:t>
              </m:r>
            </m:e>
          </m:d>
        </m:oMath>
      </m:oMathPara>
    </w:p>
    <w:p w14:paraId="125221F2" w14:textId="77777777" w:rsidR="000F504F"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oMath>
      <w:r>
        <w:t xml:space="preserve"> is the total injected flow rate,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oMath>
      <w:r>
        <w:t xml:space="preserve"> is the break discharge,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oMath>
      <w:r>
        <w:t xml:space="preserve"> is the relief-valve discharge,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xml:space="preserve"> is any specified letdown flow. The explicit inventory update is</w:t>
      </w:r>
    </w:p>
    <w:p w14:paraId="73ECFC7B"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sup>
          </m:sSup>
          <m:r>
            <m:rPr>
              <m:sty m:val="p"/>
            </m:rPr>
            <w:rPr>
              <w:rFonts w:ascii="Cambria Math" w:hAnsi="Cambria Math"/>
            </w:rPr>
            <m:t>+</m:t>
          </m:r>
          <m:r>
            <w:rPr>
              <w:rFonts w:ascii="Cambria Math" w:hAnsi="Cambria Math"/>
            </w:rPr>
            <m:t>Δt</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in</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break</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PORV</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letdown</m:t>
                  </m:r>
                </m:sub>
                <m:sup>
                  <m:r>
                    <w:rPr>
                      <w:rFonts w:ascii="Cambria Math" w:hAnsi="Cambria Math"/>
                    </w:rPr>
                    <m:t>n</m:t>
                  </m:r>
                </m:sup>
              </m:sSub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m:t>
              </m:r>
            </m:e>
          </m:d>
        </m:oMath>
      </m:oMathPara>
    </w:p>
    <w:p w14:paraId="659EE408" w14:textId="77777777" w:rsidR="000F504F" w:rsidRDefault="00000000">
      <w:pPr>
        <w:pStyle w:val="FirstParagraph"/>
      </w:pPr>
      <w:r>
        <w:t>Mass is constrained to remain non-negative and, where appropriate, to remain above a small numerical floor to avoid singular property evaluations.</w:t>
      </w:r>
    </w:p>
    <w:p w14:paraId="1B9EEFBC" w14:textId="77777777" w:rsidR="000F504F" w:rsidRDefault="00000000">
      <w:pPr>
        <w:pStyle w:val="Heading2"/>
      </w:pPr>
      <w:bookmarkStart w:id="20" w:name="X3d4624993679d264a9e25c31de21a466660c84b"/>
      <w:bookmarkStart w:id="21" w:name="_Toc231205066"/>
      <w:bookmarkEnd w:id="18"/>
      <w:r>
        <w:t>2.3 Volume Constraint and State Variable Selection</w:t>
      </w:r>
      <w:bookmarkEnd w:id="21"/>
    </w:p>
    <w:p w14:paraId="3B5FB732" w14:textId="77777777" w:rsidR="000F504F" w:rsidRDefault="00000000">
      <w:pPr>
        <w:pStyle w:val="FirstParagraph"/>
      </w:pPr>
      <w:r>
        <w:t>The RCS metal volume is treated as fixed over the transient. The coolant volume is therefore</w:t>
      </w:r>
    </w:p>
    <w:p w14:paraId="6203BFF8"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Mv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2.4</m:t>
              </m:r>
            </m:e>
          </m:d>
        </m:oMath>
      </m:oMathPara>
    </w:p>
    <w:p w14:paraId="44E87FE2" w14:textId="77777777" w:rsidR="000F504F" w:rsidRDefault="00000000">
      <w:pPr>
        <w:pStyle w:val="FirstParagraph"/>
      </w:pPr>
      <w:r>
        <w:t xml:space="preserve">where </w:t>
      </w:r>
      <m:oMath>
        <m:r>
          <w:rPr>
            <w:rFonts w:ascii="Cambria Math" w:hAnsi="Cambria Math"/>
          </w:rPr>
          <m:t>v</m:t>
        </m:r>
      </m:oMath>
      <w:r>
        <w:t xml:space="preserve"> is the mixture specific volume. For a fixed system volume, the differential form is</w:t>
      </w:r>
    </w:p>
    <w:p w14:paraId="267EE56F"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 dM</m:t>
          </m:r>
          <m:r>
            <m:rPr>
              <m:sty m:val="p"/>
            </m:rPr>
            <w:rPr>
              <w:rFonts w:ascii="Cambria Math" w:hAnsi="Cambria Math"/>
            </w:rPr>
            <m:t>+</m:t>
          </m:r>
          <m:r>
            <w:rPr>
              <w:rFonts w:ascii="Cambria Math" w:hAnsi="Cambria Math"/>
            </w:rPr>
            <m:t>M dv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2.5</m:t>
              </m:r>
            </m:e>
          </m:d>
        </m:oMath>
      </m:oMathPara>
    </w:p>
    <w:p w14:paraId="6D348F1D" w14:textId="77777777" w:rsidR="000F504F" w:rsidRDefault="00000000">
      <w:pPr>
        <w:pStyle w:val="FirstParagraph"/>
      </w:pPr>
      <w:r>
        <w:t>Expanding the specific-volume differential in terms of pressure and enthalpy gives</w:t>
      </w:r>
    </w:p>
    <w:p w14:paraId="146349CB"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2.6</m:t>
              </m:r>
            </m:e>
          </m:d>
        </m:oMath>
      </m:oMathPara>
    </w:p>
    <w:p w14:paraId="4012A6C5" w14:textId="77777777" w:rsidR="000F504F" w:rsidRDefault="00000000">
      <w:pPr>
        <w:pStyle w:val="FirstParagraph"/>
      </w:pPr>
      <w:r>
        <w:t>Substitution into the volume constraint gives the second equation required to solve for the pressure and enthalpy increments:</w:t>
      </w:r>
    </w:p>
    <w:p w14:paraId="2694ABFC"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r>
            <w:rPr>
              <w:rFonts w:ascii="Cambria Math" w:hAnsi="Cambria Math"/>
            </w:rPr>
            <m:t>v</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2.7</m:t>
              </m:r>
            </m:e>
          </m:d>
        </m:oMath>
      </m:oMathPara>
    </w:p>
    <w:p w14:paraId="3096A2E9" w14:textId="77777777" w:rsidR="000F504F" w:rsidRDefault="00000000">
      <w:pPr>
        <w:pStyle w:val="FirstParagraph"/>
      </w:pPr>
      <w:r>
        <w:t>This relation is the reason that pressure and enthalpy are attractive state variables for a lumped HEM model. Mass conservation determines the amount of material added or removed; the fixed-volume constraint determines how the thermodynamic state must change to accommodate that inventory change.</w:t>
      </w:r>
    </w:p>
    <w:p w14:paraId="1DF49F9C" w14:textId="77777777" w:rsidR="000F504F" w:rsidRDefault="00000000">
      <w:pPr>
        <w:pStyle w:val="Heading2"/>
      </w:pPr>
      <w:bookmarkStart w:id="22" w:name="energy-balance"/>
      <w:bookmarkStart w:id="23" w:name="_Toc231205067"/>
      <w:bookmarkEnd w:id="20"/>
      <w:r>
        <w:t>2.4 Energy Balance</w:t>
      </w:r>
      <w:bookmarkEnd w:id="23"/>
    </w:p>
    <w:p w14:paraId="4C9BEAC7" w14:textId="77777777" w:rsidR="000F504F" w:rsidRDefault="00000000">
      <w:pPr>
        <w:pStyle w:val="FirstParagraph"/>
      </w:pPr>
      <w:r>
        <w:t>Let the total internal energy of the coolant be approximated by</w:t>
      </w:r>
    </w:p>
    <w:p w14:paraId="148ABC99" w14:textId="77777777" w:rsidR="000F504F" w:rsidRDefault="00000000">
      <w:pPr>
        <w:pStyle w:val="BodyText"/>
      </w:pPr>
      <m:oMathPara>
        <m:oMathParaPr>
          <m:jc m:val="center"/>
        </m:oMathParaPr>
        <m:oMath>
          <m:r>
            <w:rPr>
              <w:rFonts w:ascii="Cambria Math" w:hAnsi="Cambria Math"/>
            </w:rPr>
            <w:lastRenderedPageBreak/>
            <m:t>U</m:t>
          </m:r>
          <m:r>
            <m:rPr>
              <m:sty m:val="p"/>
            </m:rPr>
            <w:rPr>
              <w:rFonts w:ascii="Cambria Math" w:hAnsi="Cambria Math"/>
            </w:rPr>
            <m:t>=</m:t>
          </m:r>
          <m:r>
            <w:rPr>
              <w:rFonts w:ascii="Cambria Math" w:hAnsi="Cambria Math"/>
            </w:rPr>
            <m:t>Me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2.8</m:t>
              </m:r>
            </m:e>
          </m:d>
        </m:oMath>
      </m:oMathPara>
    </w:p>
    <w:p w14:paraId="2971E711" w14:textId="77777777" w:rsidR="000F504F" w:rsidRDefault="00000000">
      <w:pPr>
        <w:pStyle w:val="FirstParagraph"/>
      </w:pPr>
      <w:r>
        <w:t xml:space="preserve">where </w:t>
      </w:r>
      <m:oMath>
        <m:r>
          <w:rPr>
            <w:rFonts w:ascii="Cambria Math" w:hAnsi="Cambria Math"/>
          </w:rPr>
          <m:t>e</m:t>
        </m:r>
      </m:oMath>
      <w:r>
        <w:t xml:space="preserve"> is specific internal energy. Neglecting kinetic and potential energy storage inside the lumped volume, the first law for the control volume is</w:t>
      </w:r>
    </w:p>
    <w:p w14:paraId="11BA3478"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2.9</m:t>
              </m:r>
            </m:e>
          </m:d>
        </m:oMath>
      </m:oMathPara>
    </w:p>
    <w:p w14:paraId="2F7BA966" w14:textId="77777777" w:rsidR="000F504F" w:rsidRDefault="00000000">
      <w:pPr>
        <w:pStyle w:val="FirstParagraph"/>
      </w:pPr>
      <w:r>
        <w:t>Expanding the left-hand side,</w:t>
      </w:r>
    </w:p>
    <w:p w14:paraId="361E84A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r>
            <w:rPr>
              <w:rFonts w:ascii="Cambria Math" w:hAnsi="Cambria Math"/>
            </w:rPr>
            <m:t>M</m:t>
          </m:r>
          <m:f>
            <m:fPr>
              <m:ctrlPr>
                <w:rPr>
                  <w:rFonts w:ascii="Cambria Math" w:hAnsi="Cambria Math"/>
                </w:rPr>
              </m:ctrlPr>
            </m:fPr>
            <m:num>
              <m:r>
                <w:rPr>
                  <w:rFonts w:ascii="Cambria Math" w:hAnsi="Cambria Math"/>
                </w:rPr>
                <m:t>de</m:t>
              </m:r>
            </m:num>
            <m:den>
              <m:r>
                <w:rPr>
                  <w:rFonts w:ascii="Cambria Math" w:hAnsi="Cambria Math"/>
                </w:rPr>
                <m:t>dt</m:t>
              </m:r>
            </m:den>
          </m:f>
          <m:r>
            <m:rPr>
              <m:sty m:val="p"/>
            </m:rPr>
            <w:rPr>
              <w:rFonts w:ascii="Cambria Math" w:hAnsi="Cambria Math"/>
            </w:rPr>
            <m:t>+</m:t>
          </m:r>
          <m:r>
            <w:rPr>
              <w:rFonts w:ascii="Cambria Math" w:hAnsi="Cambria Math"/>
            </w:rPr>
            <m:t>e</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2.10</m:t>
              </m:r>
            </m:e>
          </m:d>
        </m:oMath>
      </m:oMathPara>
    </w:p>
    <w:p w14:paraId="4BD4936D" w14:textId="77777777" w:rsidR="000F504F" w:rsidRDefault="00000000">
      <w:pPr>
        <w:pStyle w:val="FirstParagraph"/>
      </w:pPr>
      <w:r>
        <w:t>The internal-energy differential is</w:t>
      </w:r>
    </w:p>
    <w:p w14:paraId="35288761" w14:textId="77777777" w:rsidR="000F504F" w:rsidRDefault="00000000">
      <w:pPr>
        <w:pStyle w:val="BodyText"/>
      </w:pPr>
      <m:oMathPara>
        <m:oMathParaPr>
          <m:jc m:val="center"/>
        </m:oMathParaPr>
        <m:oMath>
          <m:r>
            <w:rPr>
              <w:rFonts w:ascii="Cambria Math" w:hAnsi="Cambria Math"/>
            </w:rPr>
            <m:t>de</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2.11</m:t>
              </m:r>
            </m:e>
          </m:d>
        </m:oMath>
      </m:oMathPara>
    </w:p>
    <w:p w14:paraId="6EDE525A" w14:textId="77777777" w:rsidR="000F504F" w:rsidRDefault="00000000">
      <w:pPr>
        <w:pStyle w:val="FirstParagraph"/>
      </w:pPr>
      <w:r>
        <w:t>Combining these relations gives the pressure-enthalpy energy equation:</w:t>
      </w:r>
    </w:p>
    <w:p w14:paraId="620A36C9"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2.12</m:t>
              </m:r>
            </m:e>
          </m:d>
        </m:oMath>
      </m:oMathPara>
    </w:p>
    <w:p w14:paraId="3CE4B308" w14:textId="77777777" w:rsidR="000F504F" w:rsidRDefault="00000000">
      <w:pPr>
        <w:pStyle w:val="FirstParagraph"/>
      </w:pPr>
      <w:r>
        <w:t>For the standard FLARE configuration, this becomes</w:t>
      </w:r>
    </w:p>
    <w:p w14:paraId="2CB516F8" w14:textId="77777777" w:rsidR="000F504F"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PORV</m:t>
                        </m:r>
                      </m:sub>
                    </m:sSub>
                    <m:r>
                      <m:rPr>
                        <m:sty m:val="p"/>
                      </m:rPr>
                      <w:rPr>
                        <w:rFonts w:ascii="Cambria Math" w:hAnsi="Cambria Math"/>
                      </w:rPr>
                      <m:t>-</m:t>
                    </m:r>
                    <m:r>
                      <w:rPr>
                        <w:rFonts w:ascii="Cambria Math" w:hAnsi="Cambria Math"/>
                      </w:rPr>
                      <m:t>e</m:t>
                    </m:r>
                  </m:e>
                </m:d>
              </m:e>
            </m:mr>
            <m:mr>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2.13</m:t>
              </m:r>
            </m:e>
          </m:d>
        </m:oMath>
      </m:oMathPara>
    </w:p>
    <w:p w14:paraId="3A3EF280" w14:textId="77777777" w:rsidR="000F504F" w:rsidRDefault="00000000">
      <w:pPr>
        <w:pStyle w:val="Heading2"/>
      </w:pPr>
      <w:bookmarkStart w:id="24" w:name="semi-implicit-pressure-enthalpy-update"/>
      <w:bookmarkStart w:id="25" w:name="_Toc231205068"/>
      <w:bookmarkEnd w:id="22"/>
      <w:r>
        <w:t>2.5 Semi-Implicit Pressure-Enthalpy Update</w:t>
      </w:r>
      <w:bookmarkEnd w:id="25"/>
    </w:p>
    <w:p w14:paraId="1BE9DA24" w14:textId="77777777" w:rsidR="000F504F" w:rsidRDefault="00000000">
      <w:pPr>
        <w:pStyle w:val="FirstParagraph"/>
      </w:pPr>
      <w:r>
        <w:t>Equations (2.7) and (2.12) form a coupled linear system for the new pressure and enthalpy increments. In compact form,</w:t>
      </w:r>
    </w:p>
    <w:p w14:paraId="75624F0C" w14:textId="77777777" w:rsidR="000F504F" w:rsidRDefault="00000000">
      <w:pPr>
        <w:pStyle w:val="BodyText"/>
      </w:pPr>
      <m:oMathPara>
        <m:oMathParaPr>
          <m:jc m:val="center"/>
        </m:oMathParaPr>
        <m:oMath>
          <m:r>
            <m:rPr>
              <m:sty m:val="b"/>
            </m:rPr>
            <w:rPr>
              <w:rFonts w:ascii="Cambria Math" w:hAnsi="Cambria Math"/>
            </w:rPr>
            <m:t>A</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ΔP</m:t>
                    </m:r>
                  </m:e>
                </m:mr>
                <m:mr>
                  <m:e>
                    <m:r>
                      <w:rPr>
                        <w:rFonts w:ascii="Cambria Math" w:hAnsi="Cambria Math"/>
                      </w:rPr>
                      <m:t>Δh</m:t>
                    </m:r>
                  </m:e>
                </m:mr>
              </m:m>
            </m:e>
          </m:d>
          <m:r>
            <m:rPr>
              <m:sty m:val="p"/>
            </m:rPr>
            <w:rPr>
              <w:rFonts w:ascii="Cambria Math" w:hAnsi="Cambria Math"/>
            </w:rPr>
            <m:t>=</m:t>
          </m:r>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2.14</m:t>
              </m:r>
            </m:e>
          </m:d>
        </m:oMath>
      </m:oMathPara>
    </w:p>
    <w:p w14:paraId="577F737F" w14:textId="77777777" w:rsidR="000F504F" w:rsidRDefault="00000000">
      <w:pPr>
        <w:pStyle w:val="FirstParagraph"/>
      </w:pPr>
      <w:r>
        <w:t>where</w:t>
      </w:r>
    </w:p>
    <w:p w14:paraId="4F7EBDF4" w14:textId="77777777" w:rsidR="000F504F" w:rsidRDefault="00000000">
      <w:pPr>
        <w:pStyle w:val="BodyText"/>
      </w:pPr>
      <m:oMathPara>
        <m:oMathParaPr>
          <m:jc m:val="center"/>
        </m:oMathParaPr>
        <m:oMath>
          <m:r>
            <m:rPr>
              <m:sty m:val="b"/>
            </m:rPr>
            <w:rPr>
              <w:rFonts w:ascii="Cambria Math" w:hAnsi="Cambria Math"/>
            </w:rPr>
            <m:t>A</m:t>
          </m:r>
          <m:r>
            <m:rPr>
              <m:sty m:val="p"/>
            </m:rPr>
            <w:rPr>
              <w:rFonts w:ascii="Cambria Math" w:hAnsi="Cambria Math"/>
            </w:rPr>
            <m:t>=</m:t>
          </m:r>
          <m:r>
            <w:rPr>
              <w:rFonts w:ascii="Cambria Math" w:hAnsi="Cambria Math"/>
            </w:rPr>
            <m:t>M</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2.15</m:t>
              </m:r>
            </m:e>
          </m:d>
        </m:oMath>
      </m:oMathPara>
    </w:p>
    <w:p w14:paraId="4C4A2C48" w14:textId="77777777" w:rsidR="000F504F" w:rsidRDefault="00000000">
      <w:pPr>
        <w:pStyle w:val="FirstParagraph"/>
      </w:pPr>
      <w:r>
        <w:t>and</w:t>
      </w:r>
    </w:p>
    <w:p w14:paraId="54919C8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2.16</m:t>
              </m:r>
            </m:e>
          </m:d>
        </m:oMath>
      </m:oMathPara>
    </w:p>
    <w:p w14:paraId="712F9141" w14:textId="77777777" w:rsidR="000F504F" w:rsidRDefault="00000000">
      <w:pPr>
        <w:pStyle w:val="FirstParagraph"/>
      </w:pPr>
      <w:r>
        <w:t>The updated state is</w:t>
      </w:r>
    </w:p>
    <w:p w14:paraId="48E4681E" w14:textId="77777777" w:rsidR="000F504F" w:rsidRDefault="00000000">
      <w:pPr>
        <w:pStyle w:val="BodyText"/>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h</m:t>
                        </m:r>
                      </m:e>
                      <m:sup>
                        <m:r>
                          <w:rPr>
                            <w:rFonts w:ascii="Cambria Math" w:hAnsi="Cambria Math"/>
                          </w:rPr>
                          <m:t>n</m:t>
                        </m:r>
                        <m:r>
                          <m:rPr>
                            <m:sty m:val="p"/>
                          </m:rPr>
                          <w:rPr>
                            <w:rFonts w:ascii="Cambria Math" w:hAnsi="Cambria Math"/>
                          </w:rPr>
                          <m:t>+</m:t>
                        </m:r>
                        <m:r>
                          <w:rPr>
                            <w:rFonts w:ascii="Cambria Math" w:hAnsi="Cambria Math"/>
                          </w:rPr>
                          <m:t>1</m:t>
                        </m:r>
                      </m:sup>
                    </m:sSup>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sup>
                    </m:sSup>
                  </m:e>
                </m:mr>
                <m:mr>
                  <m:e>
                    <m:sSup>
                      <m:sSupPr>
                        <m:ctrlPr>
                          <w:rPr>
                            <w:rFonts w:ascii="Cambria Math" w:hAnsi="Cambria Math"/>
                          </w:rPr>
                        </m:ctrlPr>
                      </m:sSupPr>
                      <m:e>
                        <m:r>
                          <w:rPr>
                            <w:rFonts w:ascii="Cambria Math" w:hAnsi="Cambria Math"/>
                          </w:rPr>
                          <m:t>h</m:t>
                        </m:r>
                      </m:e>
                      <m:sup>
                        <m:r>
                          <w:rPr>
                            <w:rFonts w:ascii="Cambria Math" w:hAnsi="Cambria Math"/>
                          </w:rPr>
                          <m:t>n</m:t>
                        </m:r>
                      </m:sup>
                    </m:sSup>
                  </m:e>
                </m:mr>
              </m:m>
            </m:e>
          </m:d>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2.17</m:t>
              </m:r>
            </m:e>
          </m:d>
        </m:oMath>
      </m:oMathPara>
    </w:p>
    <w:p w14:paraId="7D7B2A53" w14:textId="77777777" w:rsidR="000F504F" w:rsidRDefault="00000000">
      <w:pPr>
        <w:pStyle w:val="FirstParagraph"/>
      </w:pPr>
      <w:r>
        <w:t>The method is semi-implicit in the sense that the pressure-enthalpy coupling imposed by the thermodynamic derivatives is solved as a coupled matrix problem, while many source terms are evaluated from the current or previously updated time level. This provides better numerical behavior than a fully explicit pressure update without requiring an iterative nonlinear solve at every time step.</w:t>
      </w:r>
    </w:p>
    <w:p w14:paraId="7913B3C6" w14:textId="77777777" w:rsidR="000F504F" w:rsidRDefault="00000000">
      <w:pPr>
        <w:pStyle w:val="Heading2"/>
      </w:pPr>
      <w:bookmarkStart w:id="26" w:name="equation-of-state-and-mixture-properties"/>
      <w:bookmarkStart w:id="27" w:name="_Toc231205069"/>
      <w:bookmarkEnd w:id="24"/>
      <w:r>
        <w:lastRenderedPageBreak/>
        <w:t>2.6 Equation of State and Mixture Properties</w:t>
      </w:r>
      <w:bookmarkEnd w:id="27"/>
    </w:p>
    <w:p w14:paraId="03E4BC6D" w14:textId="77777777" w:rsidR="000F504F" w:rsidRDefault="00000000">
      <w:pPr>
        <w:pStyle w:val="FirstParagraph"/>
      </w:pPr>
      <w:r>
        <w:t xml:space="preserve">Water and steam properties are evaluated using the IAPWS-IF97 formulation as implemented in the FLARE property interface. In single-phase liquid or vapor states, the property functions return </w:t>
      </w:r>
      <m:oMath>
        <m:r>
          <w:rPr>
            <w:rFonts w:ascii="Cambria Math" w:hAnsi="Cambria Math"/>
          </w:rPr>
          <m:t>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density, viscosity, thermal conductivity, and specific heat directly. In saturated conditions, equilibrium quality is evaluated as</w:t>
      </w:r>
    </w:p>
    <w:p w14:paraId="791D610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num>
            <m:den>
              <m:sSub>
                <m:sSubPr>
                  <m:ctrlPr>
                    <w:rPr>
                      <w:rFonts w:ascii="Cambria Math" w:hAnsi="Cambria Math"/>
                    </w:rPr>
                  </m:ctrlPr>
                </m:sSubPr>
                <m:e>
                  <m:r>
                    <w:rPr>
                      <w:rFonts w:ascii="Cambria Math" w:hAnsi="Cambria Math"/>
                    </w:rPr>
                    <m:t>h</m:t>
                  </m:r>
                </m:e>
                <m:sub>
                  <m:r>
                    <w:rPr>
                      <w:rFonts w:ascii="Cambria Math" w:hAnsi="Cambria Math"/>
                    </w:rPr>
                    <m:t>g</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den>
          </m:f>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num>
            <m:den>
              <m:sSub>
                <m:sSubPr>
                  <m:ctrlPr>
                    <w:rPr>
                      <w:rFonts w:ascii="Cambria Math" w:hAnsi="Cambria Math"/>
                    </w:rPr>
                  </m:ctrlPr>
                </m:sSubPr>
                <m:e>
                  <m:r>
                    <w:rPr>
                      <w:rFonts w:ascii="Cambria Math" w:hAnsi="Cambria Math"/>
                    </w:rPr>
                    <m:t>h</m:t>
                  </m:r>
                </m:e>
                <m:sub>
                  <m:r>
                    <w:rPr>
                      <w:rFonts w:ascii="Cambria Math" w:hAnsi="Cambria Math"/>
                    </w:rPr>
                    <m:t>fg</m:t>
                  </m:r>
                </m:sub>
              </m:sSub>
            </m:den>
          </m:f>
          <m:r>
            <m:rPr>
              <m:sty m:val="p"/>
            </m:rPr>
            <w:rPr>
              <w:rFonts w:ascii="Cambria Math" w:hAnsi="Cambria Math"/>
            </w:rPr>
            <m:t>,</m:t>
          </m:r>
          <m:r>
            <w:rPr>
              <w:rFonts w:ascii="Cambria Math" w:hAnsi="Cambria Math"/>
            </w:rPr>
            <m:t>  0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2.18</m:t>
              </m:r>
            </m:e>
          </m:d>
        </m:oMath>
      </m:oMathPara>
    </w:p>
    <w:p w14:paraId="772176E1" w14:textId="77777777" w:rsidR="000F504F" w:rsidRDefault="00000000">
      <w:pPr>
        <w:pStyle w:val="FirstParagraph"/>
      </w:pPr>
      <w:r>
        <w:t>The saturated mixture specific volume is</w:t>
      </w:r>
    </w:p>
    <w:p w14:paraId="59DA8E72"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2.19</m:t>
              </m:r>
            </m:e>
          </m:d>
        </m:oMath>
      </m:oMathPara>
    </w:p>
    <w:p w14:paraId="30979D3B" w14:textId="77777777" w:rsidR="000F504F" w:rsidRDefault="00000000">
      <w:pPr>
        <w:pStyle w:val="FirstParagraph"/>
      </w:pPr>
      <w:r>
        <w:t>Similarly, the mixture internal energy is</w:t>
      </w:r>
    </w:p>
    <w:p w14:paraId="4377B6E7" w14:textId="77777777" w:rsidR="000F504F" w:rsidRDefault="00000000">
      <w:pPr>
        <w:pStyle w:val="BodyText"/>
      </w:pPr>
      <m:oMathPara>
        <m:oMathParaPr>
          <m:jc m:val="center"/>
        </m:oMathParaPr>
        <m:oMath>
          <m:r>
            <w:rPr>
              <w:rFonts w:ascii="Cambria Math" w:hAnsi="Cambria Math"/>
            </w:rPr>
            <m:t>e</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2.20</m:t>
              </m:r>
            </m:e>
          </m:d>
        </m:oMath>
      </m:oMathPara>
    </w:p>
    <w:p w14:paraId="62B086EB" w14:textId="77777777" w:rsidR="000F504F" w:rsidRDefault="00000000">
      <w:pPr>
        <w:pStyle w:val="FirstParagraph"/>
      </w:pPr>
      <w:r>
        <w:t xml:space="preserve">In practice, FLARE uses tabulated property calls and finite-difference derivatives rather than relying exclusively on closed-form saturation derivatives. For a generic property </w:t>
      </w:r>
      <m:oMath>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the finite-difference approximations are</w:t>
      </w:r>
    </w:p>
    <w:p w14:paraId="2934DEC2" w14:textId="77777777" w:rsidR="000F504F" w:rsidRDefault="00000000">
      <w:pPr>
        <w:pStyle w:val="BodyText"/>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P</m:t>
                      </m:r>
                    </m:den>
                  </m:f>
                </m:e>
              </m:d>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num>
            <m:den>
              <m:r>
                <w:rPr>
                  <w:rFonts w:ascii="Cambria Math" w:hAnsi="Cambria Math"/>
                </w:rPr>
                <m:t>2δP</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2.21</m:t>
              </m:r>
            </m:e>
          </m:d>
        </m:oMath>
      </m:oMathPara>
    </w:p>
    <w:p w14:paraId="6C5275D7" w14:textId="77777777" w:rsidR="000F504F" w:rsidRDefault="00000000">
      <w:pPr>
        <w:pStyle w:val="FirstParagraph"/>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h</m:t>
                      </m:r>
                    </m:den>
                  </m:f>
                </m:e>
              </m:d>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num>
            <m:den>
              <m:r>
                <w:rPr>
                  <w:rFonts w:ascii="Cambria Math" w:hAnsi="Cambria Math"/>
                </w:rPr>
                <m:t>2δh</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2.22</m:t>
              </m:r>
            </m:e>
          </m:d>
        </m:oMath>
      </m:oMathPara>
    </w:p>
    <w:p w14:paraId="327FB03E" w14:textId="77777777" w:rsidR="000F504F" w:rsidRDefault="00000000">
      <w:pPr>
        <w:pStyle w:val="FirstParagraph"/>
      </w:pPr>
      <w:r>
        <w:t>Near saturation boundaries, derivative evaluation is guarded to avoid invalid property calls and discontinuous state jumps.</w:t>
      </w:r>
    </w:p>
    <w:p w14:paraId="67990D2B" w14:textId="77777777" w:rsidR="000F504F" w:rsidRDefault="00000000">
      <w:pPr>
        <w:pStyle w:val="Heading2"/>
      </w:pPr>
      <w:bookmarkStart w:id="28" w:name="break-flow-model"/>
      <w:bookmarkStart w:id="29" w:name="_Toc231205070"/>
      <w:bookmarkEnd w:id="26"/>
      <w:r>
        <w:t>2.7 Break Flow Model</w:t>
      </w:r>
      <w:bookmarkEnd w:id="29"/>
    </w:p>
    <w:p w14:paraId="759B11DF" w14:textId="77777777" w:rsidR="000F504F" w:rsidRDefault="00000000">
      <w:pPr>
        <w:pStyle w:val="FirstParagraph"/>
      </w:pPr>
      <w:r>
        <w:t xml:space="preserve">For a circular break of equivalent diameter </w:t>
      </w:r>
      <m:oMath>
        <m:sSub>
          <m:sSubPr>
            <m:ctrlPr>
              <w:rPr>
                <w:rFonts w:ascii="Cambria Math" w:hAnsi="Cambria Math"/>
              </w:rPr>
            </m:ctrlPr>
          </m:sSubPr>
          <m:e>
            <m:r>
              <w:rPr>
                <w:rFonts w:ascii="Cambria Math" w:hAnsi="Cambria Math"/>
              </w:rPr>
              <m:t>D</m:t>
            </m:r>
          </m:e>
          <m:sub>
            <m:r>
              <w:rPr>
                <w:rFonts w:ascii="Cambria Math" w:hAnsi="Cambria Math"/>
              </w:rPr>
              <m:t>b</m:t>
            </m:r>
          </m:sub>
        </m:sSub>
      </m:oMath>
      <w:r>
        <w:t>, the break area is</w:t>
      </w:r>
    </w:p>
    <w:p w14:paraId="59097D6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2</m:t>
                  </m:r>
                </m:sup>
              </m:sSubSup>
            </m:num>
            <m:den>
              <m:r>
                <w:rPr>
                  <w:rFonts w:ascii="Cambria Math" w:hAnsi="Cambria Math"/>
                </w:rPr>
                <m:t>4</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2.23</m:t>
              </m:r>
            </m:e>
          </m:d>
        </m:oMath>
      </m:oMathPara>
    </w:p>
    <w:p w14:paraId="5C1C3606" w14:textId="77777777" w:rsidR="000F504F" w:rsidRDefault="00000000">
      <w:pPr>
        <w:pStyle w:val="FirstParagraph"/>
      </w:pPr>
      <w:r>
        <w:t>The break mass flow rate is</w:t>
      </w:r>
    </w:p>
    <w:p w14:paraId="415176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2.24</m:t>
              </m:r>
            </m:e>
          </m:d>
        </m:oMath>
      </m:oMathPara>
    </w:p>
    <w:p w14:paraId="6D2B6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is the discharge coefficient and </w:t>
      </w:r>
      <m:oMath>
        <m:r>
          <w:rPr>
            <w:rFonts w:ascii="Cambria Math" w:hAnsi="Cambria Math"/>
          </w:rPr>
          <m:t>G</m:t>
        </m:r>
      </m:oMath>
      <w:r>
        <w:t xml:space="preserve"> is the predicted critical or subcritical mass flux. For strongly subcooled liquid discharge, FLARE uses a Bernoulli-type limiting model:</w:t>
      </w:r>
    </w:p>
    <w:p w14:paraId="3626D6B4"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sub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2.25</m:t>
              </m:r>
            </m:e>
          </m:d>
        </m:oMath>
      </m:oMathPara>
    </w:p>
    <w:p w14:paraId="0B078AF0" w14:textId="77777777" w:rsidR="000F504F" w:rsidRDefault="00000000">
      <w:pPr>
        <w:pStyle w:val="FirstParagraph"/>
      </w:pPr>
      <w:r>
        <w:t xml:space="preserve">For saturated or flashing conditions, FLARE evaluates a Moody-type equilibrium critical-flow model. The critical mass flux is determined by searching over the throat pressure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and selecting the maximum value:</w:t>
      </w:r>
    </w:p>
    <w:p w14:paraId="3B69E0F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crit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P</m:t>
                  </m:r>
                </m:e>
                <m:sub>
                  <m:r>
                    <w:rPr>
                      <w:rFonts w:ascii="Cambria Math" w:hAnsi="Cambria Math"/>
                    </w:rPr>
                    <m:t>c</m:t>
                  </m:r>
                </m:sub>
              </m:sSub>
            </m:lim>
          </m:limLow>
          <m:d>
            <m:dPr>
              <m:begChr m:val="["/>
              <m:endChr m:val="]"/>
              <m:ctrlPr>
                <w:rPr>
                  <w:rFonts w:ascii="Cambria Math" w:hAnsi="Cambria Math"/>
                </w:rPr>
              </m:ctrlPr>
            </m:dPr>
            <m:e>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S</m:t>
                  </m:r>
                </m:e>
              </m:d>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back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2.26</m:t>
              </m:r>
            </m:e>
          </m:d>
        </m:oMath>
      </m:oMathPara>
    </w:p>
    <w:p w14:paraId="67E86461" w14:textId="77777777" w:rsidR="000F504F" w:rsidRDefault="00000000">
      <w:pPr>
        <w:pStyle w:val="FirstParagraph"/>
      </w:pPr>
      <w:r>
        <w:t>The upstream stagnation enthalpy is treated as approximately conserved between the upstream control volume and the throat:</w:t>
      </w:r>
    </w:p>
    <w:p w14:paraId="595FD8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m:t>
                  </m:r>
                </m:sub>
                <m:sup>
                  <m:r>
                    <w:rPr>
                      <w:rFonts w:ascii="Cambria Math" w:hAnsi="Cambria Math"/>
                    </w:rPr>
                    <m:t>2</m:t>
                  </m:r>
                </m:sup>
              </m:sSubSup>
            </m:num>
            <m:den>
              <m:r>
                <w:rPr>
                  <w:rFonts w:ascii="Cambria Math" w:hAnsi="Cambria Math"/>
                </w:rPr>
                <m:t>2</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2.27</m:t>
              </m:r>
            </m:e>
          </m:d>
        </m:oMath>
      </m:oMathPara>
    </w:p>
    <w:p w14:paraId="4D09F1DF" w14:textId="77777777" w:rsidR="000F504F" w:rsidRDefault="00000000">
      <w:pPr>
        <w:pStyle w:val="FirstParagraph"/>
      </w:pPr>
      <w:r>
        <w:lastRenderedPageBreak/>
        <w:t>The equilibrium throat quality is</w:t>
      </w:r>
    </w:p>
    <w:p w14:paraId="1190C8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num>
            <m:den>
              <m:sSub>
                <m:sSubPr>
                  <m:ctrlPr>
                    <w:rPr>
                      <w:rFonts w:ascii="Cambria Math" w:hAnsi="Cambria Math"/>
                    </w:rPr>
                  </m:ctrlPr>
                </m:sSubPr>
                <m:e>
                  <m:r>
                    <w:rPr>
                      <w:rFonts w:ascii="Cambria Math" w:hAnsi="Cambria Math"/>
                    </w:rPr>
                    <m:t>h</m:t>
                  </m:r>
                </m:e>
                <m:sub>
                  <m:r>
                    <w:rPr>
                      <w:rFonts w:ascii="Cambria Math" w:hAnsi="Cambria Math"/>
                    </w:rPr>
                    <m:t>fg</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2.28</m:t>
              </m:r>
            </m:e>
          </m:d>
        </m:oMath>
      </m:oMathPara>
    </w:p>
    <w:p w14:paraId="7A681A08" w14:textId="77777777" w:rsidR="000F504F" w:rsidRDefault="00000000">
      <w:pPr>
        <w:pStyle w:val="FirstParagraph"/>
      </w:pPr>
      <w:r>
        <w:t>FLARE supports three slip options:</w:t>
      </w:r>
    </w:p>
    <w:p w14:paraId="06BB8EB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HEM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Moody</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Fauske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2.29</m:t>
              </m:r>
            </m:e>
          </m:d>
        </m:oMath>
      </m:oMathPara>
    </w:p>
    <w:p w14:paraId="645E7B83" w14:textId="77777777" w:rsidR="000F504F" w:rsidRDefault="00000000">
      <w:pPr>
        <w:pStyle w:val="FirstParagraph"/>
      </w:pPr>
      <w:r>
        <w:t>If the containment or back pressure becomes sufficiently high relative to RCS pressure, the break is transitioned to a subcritical orifice model. The pressure ratio is</w:t>
      </w:r>
    </w:p>
    <w:p w14:paraId="17B52E8D" w14:textId="77777777" w:rsidR="000F504F" w:rsidRDefault="00000000">
      <w:pPr>
        <w:pStyle w:val="BodyText"/>
      </w:pPr>
      <m:oMathPara>
        <m:oMathParaPr>
          <m:jc m:val="center"/>
        </m:oMathParaPr>
        <m:oMath>
          <m:r>
            <w:rPr>
              <w:rFonts w:ascii="Cambria Math" w:hAnsi="Cambria Math"/>
            </w:rPr>
            <m:t>Π</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back</m:t>
                  </m:r>
                </m:sub>
              </m:sSub>
            </m:num>
            <m:den>
              <m:sSub>
                <m:sSubPr>
                  <m:ctrlPr>
                    <w:rPr>
                      <w:rFonts w:ascii="Cambria Math" w:hAnsi="Cambria Math"/>
                    </w:rPr>
                  </m:ctrlPr>
                </m:sSubPr>
                <m:e>
                  <m:r>
                    <w:rPr>
                      <w:rFonts w:ascii="Cambria Math" w:hAnsi="Cambria Math"/>
                    </w:rPr>
                    <m:t>P</m:t>
                  </m:r>
                </m:e>
                <m:sub>
                  <m:r>
                    <w:rPr>
                      <w:rFonts w:ascii="Cambria Math" w:hAnsi="Cambria Math"/>
                    </w:rPr>
                    <m:t>RCS</m:t>
                  </m:r>
                </m:sub>
              </m:sSub>
            </m:den>
          </m:f>
          <m:r>
            <m:rPr>
              <m:sty m:val="p"/>
            </m:rPr>
            <w:rPr>
              <w:rFonts w:ascii="Cambria Math" w:hAnsi="Cambria Math"/>
            </w:rPr>
            <m:t>,</m:t>
          </m:r>
          <m:r>
            <w:rPr>
              <w:rFonts w:ascii="Cambria Math" w:hAnsi="Cambria Math"/>
            </w:rPr>
            <m:t>  Π</m:t>
          </m:r>
          <m:r>
            <m:rPr>
              <m:sty m:val="p"/>
            </m:rPr>
            <w:rPr>
              <w:rFonts w:ascii="Cambria Math" w:hAnsi="Cambria Math"/>
            </w:rPr>
            <m:t>&gt;</m:t>
          </m:r>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⇒subcritical flow.</m:t>
          </m:r>
          <m:r>
            <w:rPr>
              <w:rFonts w:ascii="Cambria Math" w:hAnsi="Cambria Math"/>
            </w:rPr>
            <m:t>  </m:t>
          </m:r>
          <m:d>
            <m:dPr>
              <m:ctrlPr>
                <w:rPr>
                  <w:rFonts w:ascii="Cambria Math" w:hAnsi="Cambria Math"/>
                </w:rPr>
              </m:ctrlPr>
            </m:dPr>
            <m:e>
              <m:r>
                <w:rPr>
                  <w:rFonts w:ascii="Cambria Math" w:hAnsi="Cambria Math"/>
                </w:rPr>
                <m:t>2.30</m:t>
              </m:r>
            </m:e>
          </m:d>
        </m:oMath>
      </m:oMathPara>
    </w:p>
    <w:p w14:paraId="1CC7A886" w14:textId="77777777" w:rsidR="000F504F" w:rsidRDefault="00000000">
      <w:pPr>
        <w:pStyle w:val="FirstParagraph"/>
      </w:pPr>
      <w:r>
        <w:t xml:space="preserve">The default value </w:t>
      </w:r>
      <m:oMath>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m:t>
        </m:r>
        <m:r>
          <w:rPr>
            <w:rFonts w:ascii="Cambria Math" w:hAnsi="Cambria Math"/>
          </w:rPr>
          <m:t>0.55</m:t>
        </m:r>
      </m:oMath>
      <w:r>
        <w:t xml:space="preserve"> is a user-controllable screening parameter rather than a universal physical constant.</w:t>
      </w:r>
    </w:p>
    <w:p w14:paraId="3298D33B" w14:textId="77777777" w:rsidR="000F504F" w:rsidRDefault="00000000">
      <w:pPr>
        <w:pStyle w:val="Heading2"/>
      </w:pPr>
      <w:bookmarkStart w:id="30" w:name="porv-steam-generator-and-pump-models"/>
      <w:bookmarkStart w:id="31" w:name="_Toc231205071"/>
      <w:bookmarkEnd w:id="28"/>
      <w:r>
        <w:t>2.8 PORV, Steam Generator, and Pump Models</w:t>
      </w:r>
      <w:bookmarkEnd w:id="31"/>
    </w:p>
    <w:p w14:paraId="2BEC3AE7" w14:textId="77777777" w:rsidR="000F504F" w:rsidRDefault="00000000">
      <w:pPr>
        <w:pStyle w:val="FirstParagraph"/>
      </w:pPr>
      <w:r>
        <w:t xml:space="preserve">The PORV model consists of a pressure-dependent state machine and a flow model. The state variable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represents the fractional valve opening, with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r>
          <w:rPr>
            <w:rFonts w:ascii="Cambria Math" w:hAnsi="Cambria Math"/>
          </w:rPr>
          <m:t>1</m:t>
        </m:r>
      </m:oMath>
      <w:r>
        <w:t>. During an opening stroke,</w:t>
      </w:r>
    </w:p>
    <w:p w14:paraId="209C79C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open</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2.31</m:t>
              </m:r>
            </m:e>
          </m:d>
        </m:oMath>
      </m:oMathPara>
    </w:p>
    <w:p w14:paraId="2DF964B2" w14:textId="77777777" w:rsidR="000F504F" w:rsidRDefault="00000000">
      <w:pPr>
        <w:pStyle w:val="FirstParagraph"/>
      </w:pPr>
      <w:r>
        <w:t>and during a closing stroke,</w:t>
      </w:r>
    </w:p>
    <w:p w14:paraId="5398D57B"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close</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2.32</m:t>
              </m:r>
            </m:e>
          </m:d>
        </m:oMath>
      </m:oMathPara>
    </w:p>
    <w:p w14:paraId="2942C134" w14:textId="77777777" w:rsidR="000F504F" w:rsidRDefault="00000000">
      <w:pPr>
        <w:pStyle w:val="FirstParagraph"/>
      </w:pPr>
      <w:r>
        <w:t xml:space="preserve">The effective valve area is </w:t>
      </w:r>
      <m:oMath>
        <m:sSub>
          <m:sSubPr>
            <m:ctrlPr>
              <w:rPr>
                <w:rFonts w:ascii="Cambria Math" w:hAnsi="Cambria Math"/>
              </w:rPr>
            </m:ctrlPr>
          </m:sSubPr>
          <m:e>
            <m:r>
              <w:rPr>
                <w:rFonts w:ascii="Cambria Math" w:hAnsi="Cambria Math"/>
              </w:rPr>
              <m:t>A</m:t>
            </m:r>
          </m:e>
          <m:sub>
            <m:r>
              <w:rPr>
                <w:rFonts w:ascii="Cambria Math" w:hAnsi="Cambria Math"/>
              </w:rPr>
              <m:t>PORV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sSub>
          <m:sSubPr>
            <m:ctrlPr>
              <w:rPr>
                <w:rFonts w:ascii="Cambria Math" w:hAnsi="Cambria Math"/>
              </w:rPr>
            </m:ctrlPr>
          </m:sSubPr>
          <m:e>
            <m:r>
              <w:rPr>
                <w:rFonts w:ascii="Cambria Math" w:hAnsi="Cambria Math"/>
              </w:rPr>
              <m:t>A</m:t>
            </m:r>
          </m:e>
          <m:sub>
            <m:r>
              <w:rPr>
                <w:rFonts w:ascii="Cambria Math" w:hAnsi="Cambria Math"/>
              </w:rPr>
              <m:t>PORV</m:t>
            </m:r>
            <m:r>
              <m:rPr>
                <m:sty m:val="p"/>
              </m:rPr>
              <w:rPr>
                <w:rFonts w:ascii="Cambria Math" w:hAnsi="Cambria Math"/>
              </w:rPr>
              <m:t>,</m:t>
            </m:r>
            <m:r>
              <w:rPr>
                <w:rFonts w:ascii="Cambria Math" w:hAnsi="Cambria Math"/>
              </w:rPr>
              <m:t>max</m:t>
            </m:r>
          </m:sub>
        </m:sSub>
      </m:oMath>
      <w:r>
        <w:t xml:space="preserve"> and the discharge enthalpy is normally the RCS stagnation enthalpy.</w:t>
      </w:r>
    </w:p>
    <w:p w14:paraId="00FAA27D" w14:textId="77777777" w:rsidR="000F504F" w:rsidRDefault="00000000">
      <w:pPr>
        <w:pStyle w:val="BodyText"/>
      </w:pPr>
      <w:r>
        <w:t>The steam generator model is a lumped heat-exchanger model:</w:t>
      </w:r>
    </w:p>
    <w:p w14:paraId="2A384A8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2.33</m:t>
              </m:r>
            </m:e>
          </m:d>
        </m:oMath>
      </m:oMathPara>
    </w:p>
    <w:p w14:paraId="4C903B4B" w14:textId="77777777" w:rsidR="000F504F" w:rsidRDefault="00000000">
      <w:pPr>
        <w:pStyle w:val="FirstParagraph"/>
      </w:pPr>
      <w:r>
        <w:t>The effective heat-transfer conductance scales with primary flow:</w:t>
      </w:r>
    </w:p>
    <w:p w14:paraId="543F8333" w14:textId="77777777" w:rsidR="000F504F" w:rsidRDefault="00000000">
      <w:pPr>
        <w:pStyle w:val="BodyText"/>
      </w:pPr>
      <m:oMathPara>
        <m:oMathParaPr>
          <m:jc m:val="center"/>
        </m:oMathPara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rated</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2.34</m:t>
              </m:r>
            </m:e>
          </m:d>
        </m:oMath>
      </m:oMathPara>
    </w:p>
    <w:p w14:paraId="239920AF" w14:textId="77777777" w:rsidR="000F504F" w:rsidRDefault="00000000">
      <w:pPr>
        <w:pStyle w:val="FirstParagraph"/>
      </w:pPr>
      <w:r>
        <w:t>A primary-flow capacity diagnostic is calculated as</w:t>
      </w:r>
    </w:p>
    <w:p w14:paraId="4487954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flow</m:t>
              </m:r>
              <m:r>
                <m:rPr>
                  <m:sty m:val="p"/>
                </m:rPr>
                <w:rPr>
                  <w:rFonts w:ascii="Cambria Math" w:hAnsi="Cambria Math"/>
                </w:rPr>
                <m:t>-</m:t>
              </m:r>
              <m:r>
                <w:rPr>
                  <w:rFonts w:ascii="Cambria Math" w:hAnsi="Cambria Math"/>
                </w:rPr>
                <m:t>cap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pri</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2.35</m:t>
              </m:r>
            </m:e>
          </m:d>
        </m:oMath>
      </m:oMathPara>
    </w:p>
    <w:p w14:paraId="20772F2C" w14:textId="77777777" w:rsidR="000F504F" w:rsidRDefault="00000000">
      <w:pPr>
        <w:pStyle w:val="FirstParagraph"/>
      </w:pPr>
      <w:r>
        <w:t>RCP coastdown is represented by a first-order decay in normalized pump speed:</w:t>
      </w:r>
    </w:p>
    <w:p w14:paraId="1759650E" w14:textId="77777777" w:rsidR="000F504F" w:rsidRDefault="00000000">
      <w:pPr>
        <w:pStyle w:val="BodyText"/>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trip</m:t>
                      </m:r>
                    </m:sub>
                  </m:sSub>
                </m:num>
                <m:den>
                  <m:sSub>
                    <m:sSubPr>
                      <m:ctrlPr>
                        <w:rPr>
                          <w:rFonts w:ascii="Cambria Math" w:hAnsi="Cambria Math"/>
                        </w:rPr>
                      </m:ctrlPr>
                    </m:sSubPr>
                    <m:e>
                      <m:r>
                        <w:rPr>
                          <w:rFonts w:ascii="Cambria Math" w:hAnsi="Cambria Math"/>
                        </w:rPr>
                        <m:t>τ</m:t>
                      </m:r>
                    </m:e>
                    <m:sub>
                      <m:r>
                        <w:rPr>
                          <w:rFonts w:ascii="Cambria Math" w:hAnsi="Cambria Math"/>
                        </w:rPr>
                        <m:t>p</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
            <m:dPr>
              <m:ctrlPr>
                <w:rPr>
                  <w:rFonts w:ascii="Cambria Math" w:hAnsi="Cambria Math"/>
                </w:rPr>
              </m:ctrlPr>
            </m:dPr>
            <m:e>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0</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2.36</m:t>
              </m:r>
            </m:e>
          </m:d>
        </m:oMath>
      </m:oMathPara>
    </w:p>
    <w:p w14:paraId="5B869B28" w14:textId="77777777" w:rsidR="000F504F" w:rsidRDefault="00000000">
      <w:pPr>
        <w:pStyle w:val="FirstParagraph"/>
      </w:pPr>
      <w:r>
        <w:t>The model does not solve a full pump/system hydraulic curve balance. It provides a reasonable coastdown forcing function for the heat-transfer and steam-generator models.</w:t>
      </w:r>
    </w:p>
    <w:p w14:paraId="55FB3BE6" w14:textId="77777777" w:rsidR="000F504F" w:rsidRDefault="00000000">
      <w:pPr>
        <w:pStyle w:val="Heading2"/>
      </w:pPr>
      <w:bookmarkStart w:id="32" w:name="X206a9360c161cb874d257f4064acb73f666c8d8"/>
      <w:bookmarkStart w:id="33" w:name="_Toc231205072"/>
      <w:bookmarkEnd w:id="30"/>
      <w:r>
        <w:lastRenderedPageBreak/>
        <w:t>2.9 Collapsed Level and Inventory Diagnostics</w:t>
      </w:r>
      <w:bookmarkEnd w:id="33"/>
    </w:p>
    <w:p w14:paraId="2235D5C0" w14:textId="77777777" w:rsidR="000F504F" w:rsidRDefault="00000000">
      <w:pPr>
        <w:pStyle w:val="FirstParagraph"/>
      </w:pPr>
      <w:r>
        <w:t>The collapsed liquid level is a diagnostic measure of inventory. The liquid volume is estimated from the mass and equilibrium quality:</w:t>
      </w:r>
    </w:p>
    <w:p w14:paraId="0655EF8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r>
                <w:rPr>
                  <w:rFonts w:ascii="Cambria Math" w:hAnsi="Cambria Math"/>
                </w:rPr>
                <m:t>M</m:t>
              </m:r>
            </m:num>
            <m:den>
              <m:sSub>
                <m:sSubPr>
                  <m:ctrlPr>
                    <w:rPr>
                      <w:rFonts w:ascii="Cambria Math" w:hAnsi="Cambria Math"/>
                    </w:rPr>
                  </m:ctrlPr>
                </m:sSubPr>
                <m:e>
                  <m:r>
                    <w:rPr>
                      <w:rFonts w:ascii="Cambria Math" w:hAnsi="Cambria Math"/>
                    </w:rPr>
                    <m:t>ρ</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2.37</m:t>
              </m:r>
            </m:e>
          </m:d>
        </m:oMath>
      </m:oMathPara>
    </w:p>
    <w:p w14:paraId="29D21004" w14:textId="77777777" w:rsidR="000F504F" w:rsidRDefault="00000000">
      <w:pPr>
        <w:pStyle w:val="FirstParagraph"/>
      </w:pPr>
      <w:r>
        <w:t>The collapsed level in the vessel is then</w:t>
      </w:r>
    </w:p>
    <w:p w14:paraId="7ABD2F5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vessel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vessel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2.38</m:t>
              </m:r>
            </m:e>
          </m:d>
        </m:oMath>
      </m:oMathPara>
    </w:p>
    <w:p w14:paraId="46CEC852" w14:textId="77777777" w:rsidR="000F504F" w:rsidRDefault="00000000">
      <w:pPr>
        <w:pStyle w:val="FirstParagraph"/>
      </w:pPr>
      <w:r>
        <w:t>subject to the lower and upper geometric bounds specified by the input model. This diagnostic is useful for identifying core uncovery, reflood, and dry-core transitions, but it should not be interpreted as a spatially resolved vessel level.</w:t>
      </w:r>
    </w:p>
    <w:p w14:paraId="05E7BAD9" w14:textId="77777777" w:rsidR="000F504F" w:rsidRDefault="00000000">
      <w:pPr>
        <w:pStyle w:val="Heading1"/>
      </w:pPr>
      <w:bookmarkStart w:id="34" w:name="chapter-3-accumulator-and-eccs-models"/>
      <w:bookmarkStart w:id="35" w:name="_Toc231205073"/>
      <w:bookmarkEnd w:id="14"/>
      <w:bookmarkEnd w:id="32"/>
      <w:r>
        <w:t>Chapter 3 — Accumulator and ECCS Models</w:t>
      </w:r>
      <w:bookmarkEnd w:id="35"/>
    </w:p>
    <w:p w14:paraId="25F7CE22" w14:textId="77777777" w:rsidR="000F504F" w:rsidRDefault="00000000">
      <w:pPr>
        <w:pStyle w:val="Heading2"/>
      </w:pPr>
      <w:bookmarkStart w:id="36" w:name="accumulator-thermodynamic-model"/>
      <w:bookmarkStart w:id="37" w:name="_Toc231205074"/>
      <w:r>
        <w:t>3.1 Accumulator Thermodynamic Model</w:t>
      </w:r>
      <w:bookmarkEnd w:id="37"/>
    </w:p>
    <w:p w14:paraId="2EABA3C7" w14:textId="77777777" w:rsidR="000F504F" w:rsidRDefault="00000000">
      <w:pPr>
        <w:pStyle w:val="FirstParagraph"/>
      </w:pPr>
      <w:r>
        <w:t>The accumulator is represented as a liquid water volume pressurized by a nitrogen gas space. The gas pressure follows a polytropic expansion law:</w:t>
      </w:r>
    </w:p>
    <w:p w14:paraId="09B6D05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sSubSup>
            <m:sSubSupPr>
              <m:ctrlPr>
                <w:rPr>
                  <w:rFonts w:ascii="Cambria Math" w:hAnsi="Cambria Math"/>
                </w:rPr>
              </m:ctrlPr>
            </m:sSubSupPr>
            <m:e>
              <m:r>
                <w:rPr>
                  <w:rFonts w:ascii="Cambria Math" w:hAnsi="Cambria Math"/>
                </w:rPr>
                <m:t>V</m:t>
              </m:r>
            </m:e>
            <m:sub>
              <m:r>
                <w:rPr>
                  <w:rFonts w:ascii="Cambria Math" w:hAnsi="Cambria Math"/>
                </w:rPr>
                <m:t>g</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m:t>
              </m:r>
            </m:e>
          </m:d>
        </m:oMath>
      </m:oMathPara>
    </w:p>
    <w:p w14:paraId="4562E17C" w14:textId="77777777" w:rsidR="000F504F" w:rsidRDefault="00000000">
      <w:pPr>
        <w:pStyle w:val="FirstParagraph"/>
      </w:pPr>
      <w:r>
        <w:t xml:space="preserve">If the initial gas pressure and gas volume are </w:t>
      </w:r>
      <m:oMath>
        <m:sSub>
          <m:sSubPr>
            <m:ctrlPr>
              <w:rPr>
                <w:rFonts w:ascii="Cambria Math" w:hAnsi="Cambria Math"/>
              </w:rPr>
            </m:ctrlPr>
          </m:sSubPr>
          <m:e>
            <m:r>
              <w:rPr>
                <w:rFonts w:ascii="Cambria Math" w:hAnsi="Cambria Math"/>
              </w:rPr>
              <m:t>P</m:t>
            </m:r>
          </m:e>
          <m:sub>
            <m:r>
              <w:rPr>
                <w:rFonts w:ascii="Cambria Math" w:hAnsi="Cambria Math"/>
              </w:rPr>
              <m:t>g0</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g0</m:t>
            </m:r>
          </m:sub>
        </m:sSub>
      </m:oMath>
      <w:r>
        <w:t>, then</w:t>
      </w:r>
    </w:p>
    <w:p w14:paraId="7D712A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g0</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3.2</m:t>
              </m:r>
            </m:e>
          </m:d>
        </m:oMath>
      </m:oMathPara>
    </w:p>
    <w:p w14:paraId="7965985E" w14:textId="77777777" w:rsidR="000F504F" w:rsidRDefault="00000000">
      <w:pPr>
        <w:pStyle w:val="FirstParagraph"/>
      </w:pPr>
      <w:r>
        <w:t>As water leaves the accumulator, the gas volume increases:</w:t>
      </w:r>
    </w:p>
    <w:p w14:paraId="499341E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3.3</m:t>
              </m:r>
            </m:e>
          </m:d>
        </m:oMath>
      </m:oMathPara>
    </w:p>
    <w:p w14:paraId="315479E9" w14:textId="77777777" w:rsidR="000F504F" w:rsidRDefault="00000000">
      <w:pPr>
        <w:pStyle w:val="FirstParagraph"/>
      </w:pPr>
      <w:r>
        <w:t>Accumulator injection is enabled when</w:t>
      </w:r>
    </w:p>
    <w:p w14:paraId="10D5B990"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&gt;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3.4</m:t>
              </m:r>
            </m:e>
          </m:d>
        </m:oMath>
      </m:oMathPara>
    </w:p>
    <w:p w14:paraId="723C7B96" w14:textId="77777777" w:rsidR="000F504F" w:rsidRDefault="00000000">
      <w:pPr>
        <w:pStyle w:val="FirstParagraph"/>
      </w:pPr>
      <w:r>
        <w:t>The accumulator discharge flow is calculated as an orifice-like hydraulic flow:</w:t>
      </w:r>
    </w:p>
    <w:p w14:paraId="155E2520"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r>
                <m:rPr>
                  <m:sty m:val="p"/>
                </m:rPr>
                <w:rPr>
                  <w:rFonts w:ascii="Cambria Math" w:hAnsi="Cambria Math"/>
                </w:rPr>
                <m:t>,</m:t>
              </m:r>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acc</m:t>
              </m:r>
              <m:r>
                <m:rPr>
                  <m:sty m:val="p"/>
                </m:rPr>
                <w:rPr>
                  <w:rFonts w:ascii="Cambria Math" w:hAnsi="Cambria Math"/>
                </w:rPr>
                <m:t>,</m:t>
              </m:r>
              <m:r>
                <w:rPr>
                  <w:rFonts w:ascii="Cambria Math" w:hAnsi="Cambria Math"/>
                </w:rPr>
                <m:t>line</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3.5</m:t>
              </m:r>
            </m:e>
          </m:d>
        </m:oMath>
      </m:oMathPara>
    </w:p>
    <w:p w14:paraId="57C30B60" w14:textId="77777777" w:rsidR="000F504F" w:rsidRDefault="00000000">
      <w:pPr>
        <w:pStyle w:val="FirstParagraph"/>
      </w:pPr>
      <w:r>
        <w:t>The water inventory update is</w:t>
      </w:r>
    </w:p>
    <w:p w14:paraId="7098380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w</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num>
            <m:den>
              <m:sSub>
                <m:sSubPr>
                  <m:ctrlPr>
                    <w:rPr>
                      <w:rFonts w:ascii="Cambria Math" w:hAnsi="Cambria Math"/>
                    </w:rPr>
                  </m:ctrlPr>
                </m:sSubPr>
                <m:e>
                  <m:r>
                    <w:rPr>
                      <w:rFonts w:ascii="Cambria Math" w:hAnsi="Cambria Math"/>
                    </w:rPr>
                    <m:t>ρ</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3.6</m:t>
              </m:r>
            </m:e>
          </m:d>
        </m:oMath>
      </m:oMathPara>
    </w:p>
    <w:p w14:paraId="1AAAD37E" w14:textId="77777777" w:rsidR="000F504F" w:rsidRDefault="00000000">
      <w:pPr>
        <w:pStyle w:val="FirstParagraph"/>
      </w:pPr>
      <w:r>
        <w:t xml:space="preserve">When </w:t>
      </w:r>
      <m:oMath>
        <m:sSub>
          <m:sSubPr>
            <m:ctrlPr>
              <w:rPr>
                <w:rFonts w:ascii="Cambria Math" w:hAnsi="Cambria Math"/>
              </w:rPr>
            </m:ctrlPr>
          </m:sSubPr>
          <m:e>
            <m:r>
              <w:rPr>
                <w:rFonts w:ascii="Cambria Math" w:hAnsi="Cambria Math"/>
              </w:rPr>
              <m:t>V</m:t>
            </m:r>
          </m:e>
          <m:sub>
            <m:r>
              <w:rPr>
                <w:rFonts w:ascii="Cambria Math" w:hAnsi="Cambria Math"/>
              </w:rPr>
              <m:t>w</m:t>
            </m:r>
          </m:sub>
        </m:sSub>
      </m:oMath>
      <w:r>
        <w:t xml:space="preserve"> reaches the specified unusable or depleted volume, injection is terminated. The accumulator enthalpy is calculated from the specified accumulator water temperature and appears in the RCS energy equation through the term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RCS</m:t>
                </m:r>
              </m:sub>
            </m:sSub>
          </m:e>
        </m:d>
      </m:oMath>
      <w:r>
        <w:t>.</w:t>
      </w:r>
    </w:p>
    <w:p w14:paraId="268045FE" w14:textId="77777777" w:rsidR="000F504F" w:rsidRDefault="00000000">
      <w:pPr>
        <w:pStyle w:val="Heading2"/>
      </w:pPr>
      <w:bookmarkStart w:id="38" w:name="pumped-safety-injection"/>
      <w:bookmarkStart w:id="39" w:name="_Toc231205075"/>
      <w:bookmarkEnd w:id="36"/>
      <w:r>
        <w:lastRenderedPageBreak/>
        <w:t>3.2 Pumped Safety Injection</w:t>
      </w:r>
      <w:bookmarkEnd w:id="39"/>
    </w:p>
    <w:p w14:paraId="2209E41D" w14:textId="77777777" w:rsidR="000F504F" w:rsidRDefault="00000000">
      <w:pPr>
        <w:pStyle w:val="FirstParagraph"/>
      </w:pPr>
      <w:r>
        <w:t xml:space="preserve">High-pressure and low-pressure safety injection are modeled as engineered safety feature pumps with pressure-dependent flow degradation. For a pump train </w:t>
      </w:r>
      <m:oMath>
        <m:r>
          <w:rPr>
            <w:rFonts w:ascii="Cambria Math" w:hAnsi="Cambria Math"/>
          </w:rPr>
          <m:t>i</m:t>
        </m:r>
      </m:oMath>
      <w:r>
        <w:t xml:space="preserve">, the rated flow is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oMath>
      <w:r>
        <w:t xml:space="preserve"> at favorable backpressure and the shutoff pressure is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oMath>
      <w:r>
        <w:t>. The available flow is</w:t>
      </w:r>
    </w:p>
    <w:p w14:paraId="7080E0E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3.7</m:t>
              </m:r>
            </m:e>
          </m:d>
        </m:oMath>
      </m:oMathPara>
    </w:p>
    <w:p w14:paraId="1B412336" w14:textId="77777777" w:rsidR="000F504F" w:rsidRDefault="00000000">
      <w:pPr>
        <w:pStyle w:val="FirstParagraph"/>
      </w:pPr>
      <w:r>
        <w:t>The pump is available only after ESFAS actuation and any specified injection delay:</w:t>
      </w:r>
    </w:p>
    <w:p w14:paraId="2CF09D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SI</m:t>
              </m:r>
              <m:r>
                <m:rPr>
                  <m:sty m:val="p"/>
                </m:rPr>
                <w:rPr>
                  <w:rFonts w:ascii="Cambria Math" w:hAnsi="Cambria Math"/>
                </w:rPr>
                <m:t>,</m:t>
              </m:r>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3.8</m:t>
              </m:r>
            </m:e>
          </m:d>
        </m:oMath>
      </m:oMathPara>
    </w:p>
    <w:p w14:paraId="25C675D6" w14:textId="77777777" w:rsidR="000F504F" w:rsidRDefault="00000000">
      <w:pPr>
        <w:pStyle w:val="FirstParagraph"/>
      </w:pPr>
      <w:r>
        <w:t>The total pumped injection is</w:t>
      </w:r>
    </w:p>
    <w:p w14:paraId="49A3525B"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pumped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HPSI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LPSI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3.9</m:t>
              </m:r>
            </m:e>
          </m:d>
        </m:oMath>
      </m:oMathPara>
    </w:p>
    <w:p w14:paraId="199B4F11" w14:textId="77777777" w:rsidR="000F504F" w:rsidRDefault="00000000">
      <w:pPr>
        <w:pStyle w:val="Heading2"/>
      </w:pPr>
      <w:bookmarkStart w:id="40" w:name="cvcs-makeup-and-letdown"/>
      <w:bookmarkStart w:id="41" w:name="_Toc231205076"/>
      <w:bookmarkEnd w:id="38"/>
      <w:r>
        <w:t>3.3 CVCS Makeup and Letdown</w:t>
      </w:r>
      <w:bookmarkEnd w:id="41"/>
    </w:p>
    <w:p w14:paraId="76350921" w14:textId="77777777" w:rsidR="000F504F" w:rsidRDefault="00000000">
      <w:pPr>
        <w:pStyle w:val="FirstParagraph"/>
      </w:pPr>
      <w:r>
        <w:t>The Chemical and Volume Control System is represented by independent makeup and letdown terms:</w:t>
      </w:r>
    </w:p>
    <w:p w14:paraId="6BAC1B8A"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CVCS</m:t>
              </m:r>
              <m:r>
                <m:rPr>
                  <m:sty m:val="p"/>
                </m:rPr>
                <w:rPr>
                  <w:rFonts w:ascii="Cambria Math" w:hAnsi="Cambria Math"/>
                </w:rPr>
                <m:t>,</m:t>
              </m:r>
              <m:r>
                <w:rPr>
                  <w:rFonts w:ascii="Cambria Math" w:hAnsi="Cambria Math"/>
                </w:rPr>
                <m:t>net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3.10</m:t>
              </m:r>
            </m:e>
          </m:d>
        </m:oMath>
      </m:oMathPara>
    </w:p>
    <w:p w14:paraId="44A97458" w14:textId="77777777" w:rsidR="000F504F" w:rsidRDefault="00000000">
      <w:pPr>
        <w:pStyle w:val="FirstParagraph"/>
      </w:pPr>
      <w:r>
        <w:t xml:space="preserve">For steady-state initialization or benign transients, balanced operation is represented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The net CVCS term contributes to the RCS mass balance and, through its inlet enthalpy, to the energy balance.</w:t>
      </w:r>
    </w:p>
    <w:p w14:paraId="33E12D82" w14:textId="77777777" w:rsidR="000F504F" w:rsidRDefault="00000000">
      <w:pPr>
        <w:pStyle w:val="Heading1"/>
      </w:pPr>
      <w:bookmarkStart w:id="42" w:name="chapter-4-core-and-fuel-models"/>
      <w:bookmarkStart w:id="43" w:name="_Toc231205077"/>
      <w:bookmarkEnd w:id="34"/>
      <w:bookmarkEnd w:id="40"/>
      <w:r>
        <w:t>Chapter 4 — Core and Fuel Models</w:t>
      </w:r>
      <w:bookmarkEnd w:id="43"/>
    </w:p>
    <w:p w14:paraId="609BB063" w14:textId="77777777" w:rsidR="000F504F" w:rsidRDefault="00000000">
      <w:pPr>
        <w:pStyle w:val="Heading2"/>
      </w:pPr>
      <w:bookmarkStart w:id="44" w:name="rod-bundle-geometry"/>
      <w:bookmarkStart w:id="45" w:name="_Toc231205078"/>
      <w:r>
        <w:t>4.1 Rod-Bundle Geometry</w:t>
      </w:r>
      <w:bookmarkEnd w:id="45"/>
    </w:p>
    <w:p w14:paraId="4FCAAFD6" w14:textId="77777777" w:rsidR="000F504F" w:rsidRDefault="00000000">
      <w:pPr>
        <w:pStyle w:val="FirstParagraph"/>
      </w:pPr>
      <w:r>
        <w:t xml:space="preserve">The core is represented by an equivalent heated rod bundle. The user specifies the number of pins </w:t>
      </w:r>
      <m:oMath>
        <m:sSub>
          <m:sSubPr>
            <m:ctrlPr>
              <w:rPr>
                <w:rFonts w:ascii="Cambria Math" w:hAnsi="Cambria Math"/>
              </w:rPr>
            </m:ctrlPr>
          </m:sSubPr>
          <m:e>
            <m:r>
              <w:rPr>
                <w:rFonts w:ascii="Cambria Math" w:hAnsi="Cambria Math"/>
              </w:rPr>
              <m:t>N</m:t>
            </m:r>
          </m:e>
          <m:sub>
            <m:r>
              <w:rPr>
                <w:rFonts w:ascii="Cambria Math" w:hAnsi="Cambria Math"/>
              </w:rPr>
              <m:t>pin</m:t>
            </m:r>
          </m:sub>
        </m:sSub>
      </m:oMath>
      <w:r>
        <w:t xml:space="preserve">, outer pin diameter </w:t>
      </w:r>
      <m:oMath>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rod pitch </w:t>
      </w:r>
      <m:oMath>
        <m:r>
          <w:rPr>
            <w:rFonts w:ascii="Cambria Math" w:hAnsi="Cambria Math"/>
          </w:rPr>
          <m:t>p</m:t>
        </m:r>
      </m:oMath>
      <w:r>
        <w:t xml:space="preserve">, heated length </w:t>
      </w:r>
      <m:oMath>
        <m:sSub>
          <m:sSubPr>
            <m:ctrlPr>
              <w:rPr>
                <w:rFonts w:ascii="Cambria Math" w:hAnsi="Cambria Math"/>
              </w:rPr>
            </m:ctrlPr>
          </m:sSubPr>
          <m:e>
            <m:r>
              <w:rPr>
                <w:rFonts w:ascii="Cambria Math" w:hAnsi="Cambria Math"/>
              </w:rPr>
              <m:t>L</m:t>
            </m:r>
          </m:e>
          <m:sub>
            <m:r>
              <w:rPr>
                <w:rFonts w:ascii="Cambria Math" w:hAnsi="Cambria Math"/>
              </w:rPr>
              <m:t>h</m:t>
            </m:r>
          </m:sub>
        </m:sSub>
      </m:oMath>
      <w:r>
        <w:t xml:space="preserve">, cladding thickness </w:t>
      </w:r>
      <m:oMath>
        <m:sSub>
          <m:sSubPr>
            <m:ctrlPr>
              <w:rPr>
                <w:rFonts w:ascii="Cambria Math" w:hAnsi="Cambria Math"/>
              </w:rPr>
            </m:ctrlPr>
          </m:sSubPr>
          <m:e>
            <m:r>
              <w:rPr>
                <w:rFonts w:ascii="Cambria Math" w:hAnsi="Cambria Math"/>
              </w:rPr>
              <m:t>δ</m:t>
            </m:r>
          </m:e>
          <m:sub>
            <m:r>
              <w:rPr>
                <w:rFonts w:ascii="Cambria Math" w:hAnsi="Cambria Math"/>
              </w:rPr>
              <m:t>c</m:t>
            </m:r>
          </m:sub>
        </m:sSub>
      </m:oMath>
      <w:r>
        <w:t xml:space="preserve">,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axial peaking factor </w:t>
      </w:r>
      <m:oMath>
        <m:sSub>
          <m:sSubPr>
            <m:ctrlPr>
              <w:rPr>
                <w:rFonts w:ascii="Cambria Math" w:hAnsi="Cambria Math"/>
              </w:rPr>
            </m:ctrlPr>
          </m:sSubPr>
          <m:e>
            <m:r>
              <w:rPr>
                <w:rFonts w:ascii="Cambria Math" w:hAnsi="Cambria Math"/>
              </w:rPr>
              <m:t>F</m:t>
            </m:r>
          </m:e>
          <m:sub>
            <m:r>
              <w:rPr>
                <w:rFonts w:ascii="Cambria Math" w:hAnsi="Cambria Math"/>
              </w:rPr>
              <m:t>z</m:t>
            </m:r>
          </m:sub>
        </m:sSub>
      </m:oMath>
      <w:r>
        <w:t>. The heated surface area is</w:t>
      </w:r>
    </w:p>
    <w:p w14:paraId="2DC897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sSub>
            <m:sSubPr>
              <m:ctrlPr>
                <w:rPr>
                  <w:rFonts w:ascii="Cambria Math" w:hAnsi="Cambria Math"/>
                </w:rPr>
              </m:ctrlPr>
            </m:sSubPr>
            <m:e>
              <m:r>
                <w:rPr>
                  <w:rFonts w:ascii="Cambria Math" w:hAnsi="Cambria Math"/>
                </w:rPr>
                <m:t>L</m:t>
              </m:r>
            </m:e>
            <m:sub>
              <m:r>
                <w:rPr>
                  <w:rFonts w:ascii="Cambria Math" w:hAnsi="Cambria Math"/>
                </w:rPr>
                <m:t>h</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m:t>
              </m:r>
            </m:e>
          </m:d>
        </m:oMath>
      </m:oMathPara>
    </w:p>
    <w:p w14:paraId="0375A039" w14:textId="77777777" w:rsidR="000F504F" w:rsidRDefault="00000000">
      <w:pPr>
        <w:pStyle w:val="FirstParagraph"/>
      </w:pPr>
      <w:r>
        <w:t>The equivalent flow area for a square-pitch array is approximated as</w:t>
      </w:r>
    </w:p>
    <w:p w14:paraId="5290560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flow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o</m:t>
                      </m:r>
                    </m:sub>
                    <m:sup>
                      <m:r>
                        <w:rPr>
                          <w:rFonts w:ascii="Cambria Math" w:hAnsi="Cambria Math"/>
                        </w:rPr>
                        <m:t>2</m:t>
                      </m:r>
                    </m:sup>
                  </m:sSubSup>
                </m:num>
                <m:den>
                  <m:r>
                    <w:rPr>
                      <w:rFonts w:ascii="Cambria Math" w:hAnsi="Cambria Math"/>
                    </w:rPr>
                    <m:t>4</m:t>
                  </m:r>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m:t>
              </m:r>
            </m:e>
          </m:d>
        </m:oMath>
      </m:oMathPara>
    </w:p>
    <w:p w14:paraId="0640B0D9" w14:textId="77777777" w:rsidR="000F504F" w:rsidRDefault="00000000">
      <w:pPr>
        <w:pStyle w:val="FirstParagraph"/>
      </w:pPr>
      <w:r>
        <w:t xml:space="preserve">The wetted perimeter is </w:t>
      </w:r>
      <m:oMath>
        <m:sSub>
          <m:sSubPr>
            <m:ctrlPr>
              <w:rPr>
                <w:rFonts w:ascii="Cambria Math" w:hAnsi="Cambria Math"/>
              </w:rPr>
            </m:ctrlPr>
          </m:sSubPr>
          <m:e>
            <m:r>
              <w:rPr>
                <w:rFonts w:ascii="Cambria Math" w:hAnsi="Cambria Math"/>
              </w:rPr>
              <m:t>P</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and the hydraulic diameter is</w:t>
      </w:r>
    </w:p>
    <w:p w14:paraId="7ACD1CB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flow</m:t>
                  </m:r>
                </m:sub>
              </m:sSub>
            </m:num>
            <m:den>
              <m:sSub>
                <m:sSubPr>
                  <m:ctrlPr>
                    <w:rPr>
                      <w:rFonts w:ascii="Cambria Math" w:hAnsi="Cambria Math"/>
                    </w:rPr>
                  </m:ctrlPr>
                </m:sSubPr>
                <m:e>
                  <m:r>
                    <w:rPr>
                      <w:rFonts w:ascii="Cambria Math" w:hAnsi="Cambria Math"/>
                    </w:rPr>
                    <m:t>P</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m:t>
              </m:r>
            </m:e>
          </m:d>
        </m:oMath>
      </m:oMathPara>
    </w:p>
    <w:p w14:paraId="29D2A46B" w14:textId="77777777" w:rsidR="000F504F" w:rsidRDefault="00000000">
      <w:pPr>
        <w:pStyle w:val="FirstParagraph"/>
      </w:pPr>
      <w:r>
        <w:t>The average heat flux is</w:t>
      </w:r>
    </w:p>
    <w:p w14:paraId="10FA68ED"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core</m:t>
                  </m:r>
                </m:sub>
              </m:sSub>
            </m:num>
            <m:den>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4.4</m:t>
              </m:r>
            </m:e>
          </m:d>
        </m:oMath>
      </m:oMathPara>
    </w:p>
    <w:p w14:paraId="71980D95" w14:textId="77777777" w:rsidR="000F504F" w:rsidRDefault="00000000">
      <w:pPr>
        <w:pStyle w:val="FirstParagraph"/>
      </w:pPr>
      <w:r>
        <w:t>The hot-channel heat flux is</w:t>
      </w:r>
    </w:p>
    <w:p w14:paraId="714E03E3"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4.5</m:t>
              </m:r>
            </m:e>
          </m:d>
        </m:oMath>
      </m:oMathPara>
    </w:p>
    <w:p w14:paraId="58F817EB" w14:textId="77777777" w:rsidR="000F504F" w:rsidRDefault="00000000">
      <w:pPr>
        <w:pStyle w:val="Heading2"/>
      </w:pPr>
      <w:bookmarkStart w:id="46" w:name="fuel-rod-heat-structure"/>
      <w:bookmarkStart w:id="47" w:name="_Toc231205079"/>
      <w:bookmarkEnd w:id="44"/>
      <w:r>
        <w:lastRenderedPageBreak/>
        <w:t>4.2 Fuel-Rod Heat Structure</w:t>
      </w:r>
      <w:bookmarkEnd w:id="47"/>
    </w:p>
    <w:p w14:paraId="40BA8756" w14:textId="77777777" w:rsidR="000F504F" w:rsidRDefault="00000000">
      <w:pPr>
        <w:pStyle w:val="FirstParagraph"/>
      </w:pPr>
      <w:r>
        <w:t>The heat-structure model estimates the radial temperature response of the fuel pellet, gap, and cladding. The full one-dimensional cylindrical conduction equation is</w:t>
      </w:r>
    </w:p>
    <w:p w14:paraId="4EE6B679" w14:textId="77777777" w:rsidR="000F504F" w:rsidRDefault="00000000">
      <w:pPr>
        <w:pStyle w:val="BodyText"/>
      </w:pPr>
      <m:oMathPara>
        <m:oMathParaPr>
          <m:jc m:val="center"/>
        </m:oMathParaPr>
        <m:oMath>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r</m:t>
              </m:r>
            </m:den>
          </m:f>
          <m:d>
            <m:dPr>
              <m:ctrlPr>
                <w:rPr>
                  <w:rFonts w:ascii="Cambria Math" w:hAnsi="Cambria Math"/>
                </w:rPr>
              </m:ctrlPr>
            </m:dPr>
            <m:e>
              <m:r>
                <w:rPr>
                  <w:rFonts w:ascii="Cambria Math" w:hAnsi="Cambria Math"/>
                </w:rPr>
                <m:t>kr</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4.6</m:t>
              </m:r>
            </m:e>
          </m:d>
        </m:oMath>
      </m:oMathPara>
    </w:p>
    <w:p w14:paraId="03F31DB2" w14:textId="77777777" w:rsidR="000F504F" w:rsidRDefault="00000000">
      <w:pPr>
        <w:pStyle w:val="FirstParagraph"/>
      </w:pPr>
      <w:r>
        <w:t>For the fuel pellet, the volumetric heat generation is approximated as uniform within the equivalent hot pin:</w:t>
      </w:r>
    </w:p>
    <w:p w14:paraId="20C6F20F"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fuel</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hot</m:t>
                  </m:r>
                </m:sub>
              </m:sSub>
            </m:num>
            <m:den>
              <m:sSub>
                <m:sSubPr>
                  <m:ctrlPr>
                    <w:rPr>
                      <w:rFonts w:ascii="Cambria Math" w:hAnsi="Cambria Math"/>
                    </w:rPr>
                  </m:ctrlPr>
                </m:sSubPr>
                <m:e>
                  <m:r>
                    <w:rPr>
                      <w:rFonts w:ascii="Cambria Math" w:hAnsi="Cambria Math"/>
                    </w:rPr>
                    <m:t>N</m:t>
                  </m:r>
                </m:e>
                <m:sub>
                  <m:r>
                    <w:rPr>
                      <w:rFonts w:ascii="Cambria Math" w:hAnsi="Cambria Math"/>
                    </w:rPr>
                    <m:t>hot</m:t>
                  </m:r>
                </m:sub>
              </m:sSub>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f</m:t>
                  </m:r>
                </m:sub>
                <m:sup>
                  <m:r>
                    <w:rPr>
                      <w:rFonts w:ascii="Cambria Math" w:hAnsi="Cambria Math"/>
                    </w:rPr>
                    <m:t>2</m:t>
                  </m:r>
                </m:sup>
              </m:sSubSup>
              <m:sSub>
                <m:sSubPr>
                  <m:ctrlPr>
                    <w:rPr>
                      <w:rFonts w:ascii="Cambria Math" w:hAnsi="Cambria Math"/>
                    </w:rPr>
                  </m:ctrlPr>
                </m:sSubPr>
                <m:e>
                  <m:r>
                    <w:rPr>
                      <w:rFonts w:ascii="Cambria Math" w:hAnsi="Cambria Math"/>
                    </w:rPr>
                    <m:t>L</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4.7</m:t>
              </m:r>
            </m:e>
          </m:d>
        </m:oMath>
      </m:oMathPara>
    </w:p>
    <w:p w14:paraId="0B40EC5D" w14:textId="77777777" w:rsidR="000F504F" w:rsidRDefault="00000000">
      <w:pPr>
        <w:pStyle w:val="FirstParagraph"/>
      </w:pPr>
      <w:r>
        <w:t>At the fuel centerline, symmetry requires</w:t>
      </w:r>
    </w:p>
    <w:p w14:paraId="54B86721" w14:textId="77777777" w:rsidR="000F504F" w:rsidRDefault="00000000">
      <w:pPr>
        <w:pStyle w:val="BodyText"/>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4.8</m:t>
              </m:r>
            </m:e>
          </m:d>
        </m:oMath>
      </m:oMathPara>
    </w:p>
    <w:p w14:paraId="4159316F" w14:textId="77777777" w:rsidR="000F504F" w:rsidRDefault="00000000">
      <w:pPr>
        <w:pStyle w:val="FirstParagraph"/>
      </w:pPr>
      <w:r>
        <w:t>At the fuel outer radius, the gap conductance condition is</w:t>
      </w:r>
    </w:p>
    <w:p w14:paraId="15CA3E00"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f</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4.9</m:t>
              </m:r>
            </m:e>
          </m:d>
        </m:oMath>
      </m:oMathPara>
    </w:p>
    <w:p w14:paraId="0AB95534" w14:textId="77777777" w:rsidR="000F504F" w:rsidRDefault="00000000">
      <w:pPr>
        <w:pStyle w:val="FirstParagraph"/>
      </w:pPr>
      <w:r>
        <w:t>At the cladding outer surface, convection to the coolant is</w:t>
      </w:r>
    </w:p>
    <w:p w14:paraId="03065F25"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o</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4.10</m:t>
              </m:r>
            </m:e>
          </m:d>
        </m:oMath>
      </m:oMathPara>
    </w:p>
    <w:p w14:paraId="267CCB36" w14:textId="77777777" w:rsidR="000F504F" w:rsidRDefault="00000000">
      <w:pPr>
        <w:pStyle w:val="FirstParagraph"/>
      </w:pPr>
      <w:r>
        <w:t>In reduced-order operation, FLARE may collapse the detailed radial model into an equivalent thermal-resistance network:</w:t>
      </w:r>
    </w:p>
    <w:p w14:paraId="1C8C960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fuel</m:t>
              </m:r>
              <m:r>
                <m:rPr>
                  <m:sty m:val="p"/>
                </m:rPr>
                <w:rPr>
                  <w:rFonts w:ascii="Cambria Math" w:hAnsi="Cambria Math"/>
                </w:rPr>
                <m:t>,</m:t>
              </m:r>
              <m:r>
                <w:rPr>
                  <w:rFonts w:ascii="Cambria Math" w:hAnsi="Cambria Math"/>
                </w:rPr>
                <m:t>center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conv</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4.11</m:t>
              </m:r>
            </m:e>
          </m:d>
        </m:oMath>
      </m:oMathPara>
    </w:p>
    <w:p w14:paraId="5863AED4" w14:textId="77777777" w:rsidR="000F504F" w:rsidRDefault="00000000">
      <w:pPr>
        <w:pStyle w:val="FirstParagraph"/>
      </w:pPr>
      <w:r>
        <w:t>For a solid cylindrical fuel pellet with uniform heat generation, the approximate centerline-to-surface resistance is</w:t>
      </w:r>
    </w:p>
    <w:p w14:paraId="0336EEA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r>
                <w:rPr>
                  <w:rFonts w:ascii="Cambria Math" w:hAnsi="Cambria Math"/>
                </w:rPr>
                <m:t>4</m:t>
              </m:r>
              <m:sSub>
                <m:sSubPr>
                  <m:ctrlPr>
                    <w:rPr>
                      <w:rFonts w:ascii="Cambria Math" w:hAnsi="Cambria Math"/>
                    </w:rPr>
                  </m:ctrlPr>
                </m:sSubPr>
                <m:e>
                  <m:r>
                    <w:rPr>
                      <w:rFonts w:ascii="Cambria Math" w:hAnsi="Cambria Math"/>
                    </w:rPr>
                    <m:t>k</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4.12</m:t>
              </m:r>
            </m:e>
          </m:d>
        </m:oMath>
      </m:oMathPara>
    </w:p>
    <w:p w14:paraId="6D6D7ABD" w14:textId="77777777" w:rsidR="000F504F" w:rsidRDefault="00000000">
      <w:pPr>
        <w:pStyle w:val="FirstParagraph"/>
      </w:pPr>
      <w:r>
        <w:t>The gap, cladding, and convection resistances per unit surface area are</w:t>
      </w:r>
    </w:p>
    <w:p w14:paraId="1C0AA63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gap</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num>
            <m:den>
              <m:sSub>
                <m:sSubPr>
                  <m:ctrlPr>
                    <w:rPr>
                      <w:rFonts w:ascii="Cambria Math" w:hAnsi="Cambria Math"/>
                    </w:rPr>
                  </m:ctrlPr>
                </m:sSubPr>
                <m:e>
                  <m:r>
                    <w:rPr>
                      <w:rFonts w:ascii="Cambria Math" w:hAnsi="Cambria Math"/>
                    </w:rPr>
                    <m:t>k</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conv</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c</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4.13</m:t>
              </m:r>
            </m:e>
          </m:d>
        </m:oMath>
      </m:oMathPara>
    </w:p>
    <w:p w14:paraId="5F9758A1" w14:textId="77777777" w:rsidR="000F504F" w:rsidRDefault="00000000">
      <w:pPr>
        <w:pStyle w:val="FirstParagraph"/>
      </w:pPr>
      <w:r>
        <w:t>The heat-structure time response is represented by energy storage terms for the fuel and cladding:</w:t>
      </w:r>
    </w:p>
    <w:p w14:paraId="4C3011B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f</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gen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c</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r>
                <m:rPr>
                  <m:sty m:val="p"/>
                </m:rPr>
                <w:rPr>
                  <w:rFonts w:ascii="Cambria Math" w:hAnsi="Cambria Math"/>
                </w:rPr>
                <m:t>→</m:t>
              </m:r>
              <m:r>
                <w:rPr>
                  <w:rFonts w:ascii="Cambria Math" w:hAnsi="Cambria Math"/>
                </w:rPr>
                <m:t>cool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rad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ox</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4.14</m:t>
              </m:r>
            </m:e>
          </m:d>
        </m:oMath>
      </m:oMathPara>
    </w:p>
    <w:p w14:paraId="6B24BBFF" w14:textId="77777777" w:rsidR="000F504F" w:rsidRDefault="00000000">
      <w:pPr>
        <w:pStyle w:val="Heading2"/>
      </w:pPr>
      <w:bookmarkStart w:id="48" w:name="convective-heat-transfer"/>
      <w:bookmarkStart w:id="49" w:name="_Toc231205080"/>
      <w:bookmarkEnd w:id="46"/>
      <w:r>
        <w:t>4.3 Convective Heat Transfer</w:t>
      </w:r>
      <w:bookmarkEnd w:id="49"/>
    </w:p>
    <w:p w14:paraId="7B4D2503" w14:textId="77777777" w:rsidR="000F504F" w:rsidRDefault="00000000">
      <w:pPr>
        <w:pStyle w:val="FirstParagraph"/>
      </w:pPr>
      <w:r>
        <w:t>The primary forced-convection heat-transfer coefficient is calculated from the Dittus-Boelter correlation:</w:t>
      </w:r>
    </w:p>
    <w:p w14:paraId="5991DC33"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r>
            <w:rPr>
              <w:rFonts w:ascii="Cambria Math" w:hAnsi="Cambria Math"/>
            </w:rPr>
            <m:t>0.023R</m:t>
          </m:r>
          <m:sSup>
            <m:sSupPr>
              <m:ctrlPr>
                <w:rPr>
                  <w:rFonts w:ascii="Cambria Math" w:hAnsi="Cambria Math"/>
                </w:rPr>
              </m:ctrlPr>
            </m:sSupPr>
            <m:e>
              <m:r>
                <w:rPr>
                  <w:rFonts w:ascii="Cambria Math" w:hAnsi="Cambria Math"/>
                </w:rPr>
                <m:t>e</m:t>
              </m:r>
            </m:e>
            <m:sup>
              <m:r>
                <w:rPr>
                  <w:rFonts w:ascii="Cambria Math" w:hAnsi="Cambria Math"/>
                </w:rPr>
                <m:t>0.8</m:t>
              </m:r>
            </m:sup>
          </m:sSup>
          <m:r>
            <w:rPr>
              <w:rFonts w:ascii="Cambria Math" w:hAnsi="Cambria Math"/>
            </w:rPr>
            <m:t>P</m:t>
          </m:r>
          <m:sSup>
            <m:sSupPr>
              <m:ctrlPr>
                <w:rPr>
                  <w:rFonts w:ascii="Cambria Math" w:hAnsi="Cambria Math"/>
                </w:rPr>
              </m:ctrlPr>
            </m:sSupPr>
            <m:e>
              <m:r>
                <w:rPr>
                  <w:rFonts w:ascii="Cambria Math" w:hAnsi="Cambria Math"/>
                </w:rPr>
                <m:t>r</m:t>
              </m:r>
            </m:e>
            <m:sup>
              <m:r>
                <w:rPr>
                  <w:rFonts w:ascii="Cambria Math" w:hAnsi="Cambria Math"/>
                </w:rPr>
                <m:t>0.4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4.15</m:t>
              </m:r>
            </m:e>
          </m:d>
        </m:oMath>
      </m:oMathPara>
    </w:p>
    <w:p w14:paraId="4BB970F6" w14:textId="77777777" w:rsidR="000F504F" w:rsidRDefault="00000000">
      <w:pPr>
        <w:pStyle w:val="FirstParagraph"/>
      </w:pPr>
      <w:r>
        <w:t>The Reynolds and Prandtl numbers are</w:t>
      </w:r>
    </w:p>
    <w:p w14:paraId="242F5E71" w14:textId="77777777" w:rsidR="000F504F" w:rsidRDefault="00000000">
      <w:pPr>
        <w:pStyle w:val="BodyText"/>
      </w:pPr>
      <m:oMathPara>
        <m:oMathParaPr>
          <m:jc m:val="center"/>
        </m:oMathParaPr>
        <m:oMath>
          <m:r>
            <w:rPr>
              <w:rFonts w:ascii="Cambria Math" w:hAnsi="Cambria Math"/>
            </w:rPr>
            <w:lastRenderedPageBreak/>
            <m:t>Re</m:t>
          </m:r>
          <m:r>
            <m:rPr>
              <m:sty m:val="p"/>
            </m:rPr>
            <w:rPr>
              <w:rFonts w:ascii="Cambria Math" w:hAnsi="Cambria Math"/>
            </w:rPr>
            <m:t>=</m:t>
          </m:r>
          <m:f>
            <m:fPr>
              <m:ctrlPr>
                <w:rPr>
                  <w:rFonts w:ascii="Cambria Math" w:hAnsi="Cambria Math"/>
                </w:rPr>
              </m:ctrlPr>
            </m:fPr>
            <m:num>
              <m:r>
                <w:rPr>
                  <w:rFonts w:ascii="Cambria Math" w:hAnsi="Cambria Math"/>
                </w:rPr>
                <m:t>ρu</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rPr>
              <w:rFonts w:ascii="Cambria Math" w:hAnsi="Cambria Math"/>
            </w:rPr>
            <m:t>,</m:t>
          </m:r>
          <m:r>
            <w:rPr>
              <w:rFonts w:ascii="Cambria Math" w:hAnsi="Cambria Math"/>
            </w:rPr>
            <m:t>  Pr</m:t>
          </m:r>
          <m:r>
            <m:rPr>
              <m:sty m:val="p"/>
            </m:rPr>
            <w:rPr>
              <w:rFonts w:ascii="Cambria Math" w:hAnsi="Cambria Math"/>
            </w:rPr>
            <m:t>=</m:t>
          </m:r>
          <m:f>
            <m:fPr>
              <m:ctrlPr>
                <w:rPr>
                  <w:rFonts w:ascii="Cambria Math" w:hAnsi="Cambria Math"/>
                </w:rPr>
              </m:ctrlPr>
            </m:fPr>
            <m:num>
              <m:r>
                <w:rPr>
                  <w:rFonts w:ascii="Cambria Math" w:hAnsi="Cambria Math"/>
                </w:rPr>
                <m:t>μ</m:t>
              </m:r>
              <m:sSub>
                <m:sSubPr>
                  <m:ctrlPr>
                    <w:rPr>
                      <w:rFonts w:ascii="Cambria Math" w:hAnsi="Cambria Math"/>
                    </w:rPr>
                  </m:ctrlPr>
                </m:sSubPr>
                <m:e>
                  <m:r>
                    <w:rPr>
                      <w:rFonts w:ascii="Cambria Math" w:hAnsi="Cambria Math"/>
                    </w:rPr>
                    <m:t>c</m:t>
                  </m:r>
                </m:e>
                <m:sub>
                  <m:r>
                    <w:rPr>
                      <w:rFonts w:ascii="Cambria Math" w:hAnsi="Cambria Math"/>
                    </w:rPr>
                    <m:t>p</m:t>
                  </m:r>
                </m:sub>
              </m:sSub>
            </m:num>
            <m:den>
              <m:r>
                <w:rPr>
                  <w:rFonts w:ascii="Cambria Math" w:hAnsi="Cambria Math"/>
                </w:rPr>
                <m:t>k</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4.16</m:t>
              </m:r>
            </m:e>
          </m:d>
        </m:oMath>
      </m:oMathPara>
    </w:p>
    <w:p w14:paraId="4846DD0F" w14:textId="77777777" w:rsidR="000F504F" w:rsidRDefault="00000000">
      <w:pPr>
        <w:pStyle w:val="FirstParagraph"/>
      </w:pPr>
      <w:r>
        <w:t>The heat-transfer coefficient is</w:t>
      </w:r>
    </w:p>
    <w:p w14:paraId="619B514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f>
            <m:fPr>
              <m:ctrlPr>
                <w:rPr>
                  <w:rFonts w:ascii="Cambria Math" w:hAnsi="Cambria Math"/>
                </w:rPr>
              </m:ctrlPr>
            </m:fPr>
            <m:num>
              <m:r>
                <w:rPr>
                  <w:rFonts w:ascii="Cambria Math" w:hAnsi="Cambria Math"/>
                </w:rPr>
                <m:t>Nu k</m:t>
              </m:r>
            </m:num>
            <m:den>
              <m:sSub>
                <m:sSubPr>
                  <m:ctrlPr>
                    <w:rPr>
                      <w:rFonts w:ascii="Cambria Math" w:hAnsi="Cambria Math"/>
                    </w:rPr>
                  </m:ctrlPr>
                </m:sSubPr>
                <m:e>
                  <m:r>
                    <w:rPr>
                      <w:rFonts w:ascii="Cambria Math" w:hAnsi="Cambria Math"/>
                    </w:rPr>
                    <m:t>D</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4.17</m:t>
              </m:r>
            </m:e>
          </m:d>
        </m:oMath>
      </m:oMathPara>
    </w:p>
    <w:p w14:paraId="1E89FFEA" w14:textId="77777777" w:rsidR="000F504F" w:rsidRDefault="00000000">
      <w:pPr>
        <w:pStyle w:val="FirstParagraph"/>
      </w:pPr>
      <w:r>
        <w:t xml:space="preserve">For liquid-phase core heat transfer, FLARE removes the laminar fallback that would otherwise set </w:t>
      </w:r>
      <m:oMath>
        <m:r>
          <w:rPr>
            <w:rFonts w:ascii="Cambria Math" w:hAnsi="Cambria Math"/>
          </w:rPr>
          <m:t>Nu</m:t>
        </m:r>
        <m:r>
          <m:rPr>
            <m:sty m:val="p"/>
          </m:rPr>
          <w:rPr>
            <w:rFonts w:ascii="Cambria Math" w:hAnsi="Cambria Math"/>
          </w:rPr>
          <m:t>=</m:t>
        </m:r>
        <m:r>
          <w:rPr>
            <w:rFonts w:ascii="Cambria Math" w:hAnsi="Cambria Math"/>
          </w:rPr>
          <m:t>3.66</m:t>
        </m:r>
      </m:oMath>
      <w:r>
        <w:t xml:space="preserve"> for low Reynolds number. In this reduced-order model, retaining the turbulent extrapolation during pump coastdown prevents the natural-convection model from becoming spuriously dominant while forced circulation remains present. For steam post-CHF cooling, however, the laminar fallback is retained because near-zero steam velocity makes the turbulent extrapolation physically unreliable.</w:t>
      </w:r>
    </w:p>
    <w:p w14:paraId="2F2B75CC" w14:textId="77777777" w:rsidR="000F504F" w:rsidRDefault="00000000">
      <w:pPr>
        <w:pStyle w:val="BodyText"/>
      </w:pPr>
      <w:r>
        <w:t>When forced flow is unavailable or degraded, FLARE evaluates the Churchill-Chu natural-convection correlation for a vertical surface:</w:t>
      </w:r>
    </w:p>
    <w:p w14:paraId="3152D905"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0.825</m:t>
                  </m:r>
                  <m:r>
                    <m:rPr>
                      <m:sty m:val="p"/>
                    </m:rPr>
                    <w:rPr>
                      <w:rFonts w:ascii="Cambria Math" w:hAnsi="Cambria Math"/>
                    </w:rPr>
                    <m:t>+</m:t>
                  </m:r>
                  <m:f>
                    <m:fPr>
                      <m:ctrlPr>
                        <w:rPr>
                          <w:rFonts w:ascii="Cambria Math" w:hAnsi="Cambria Math"/>
                        </w:rPr>
                      </m:ctrlPr>
                    </m:fPr>
                    <m:num>
                      <m:r>
                        <w:rPr>
                          <w:rFonts w:ascii="Cambria Math" w:hAnsi="Cambria Math"/>
                        </w:rPr>
                        <m:t>0.387R</m:t>
                      </m:r>
                      <m:sSup>
                        <m:sSupPr>
                          <m:ctrlPr>
                            <w:rPr>
                              <w:rFonts w:ascii="Cambria Math" w:hAnsi="Cambria Math"/>
                            </w:rPr>
                          </m:ctrlPr>
                        </m:sSupPr>
                        <m:e>
                          <m:r>
                            <w:rPr>
                              <w:rFonts w:ascii="Cambria Math" w:hAnsi="Cambria Math"/>
                            </w:rPr>
                            <m:t>a</m:t>
                          </m:r>
                        </m:e>
                        <m:sup>
                          <m:r>
                            <w:rPr>
                              <w:rFonts w:ascii="Cambria Math" w:hAnsi="Cambria Math"/>
                            </w:rPr>
                            <m:t>1</m:t>
                          </m:r>
                          <m:r>
                            <m:rPr>
                              <m:sty m:val="p"/>
                            </m:rPr>
                            <w:rPr>
                              <w:rFonts w:ascii="Cambria Math" w:hAnsi="Cambria Math"/>
                            </w:rPr>
                            <m:t>/</m:t>
                          </m:r>
                          <m:r>
                            <w:rPr>
                              <w:rFonts w:ascii="Cambria Math" w:hAnsi="Cambria Math"/>
                            </w:rPr>
                            <m:t>6</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0.492</m:t>
                                      </m:r>
                                      <m:r>
                                        <m:rPr>
                                          <m:sty m:val="p"/>
                                        </m:rPr>
                                        <w:rPr>
                                          <w:rFonts w:ascii="Cambria Math" w:hAnsi="Cambria Math"/>
                                        </w:rPr>
                                        <m:t>/</m:t>
                                      </m:r>
                                      <m:r>
                                        <w:rPr>
                                          <w:rFonts w:ascii="Cambria Math" w:hAnsi="Cambria Math"/>
                                        </w:rPr>
                                        <m:t>Pr</m:t>
                                      </m:r>
                                    </m:e>
                                  </m:d>
                                </m:e>
                                <m:sup>
                                  <m:r>
                                    <w:rPr>
                                      <w:rFonts w:ascii="Cambria Math" w:hAnsi="Cambria Math"/>
                                    </w:rPr>
                                    <m:t>9</m:t>
                                  </m:r>
                                  <m:r>
                                    <m:rPr>
                                      <m:sty m:val="p"/>
                                    </m:rPr>
                                    <w:rPr>
                                      <w:rFonts w:ascii="Cambria Math" w:hAnsi="Cambria Math"/>
                                    </w:rPr>
                                    <m:t>/</m:t>
                                  </m:r>
                                  <m:r>
                                    <w:rPr>
                                      <w:rFonts w:ascii="Cambria Math" w:hAnsi="Cambria Math"/>
                                    </w:rPr>
                                    <m:t>16</m:t>
                                  </m:r>
                                </m:sup>
                              </m:sSup>
                            </m:e>
                          </m:d>
                        </m:e>
                        <m:sup>
                          <m:r>
                            <w:rPr>
                              <w:rFonts w:ascii="Cambria Math" w:hAnsi="Cambria Math"/>
                            </w:rPr>
                            <m:t>8</m:t>
                          </m:r>
                          <m:r>
                            <m:rPr>
                              <m:sty m:val="p"/>
                            </m:rPr>
                            <w:rPr>
                              <w:rFonts w:ascii="Cambria Math" w:hAnsi="Cambria Math"/>
                            </w:rPr>
                            <m:t>/</m:t>
                          </m:r>
                          <m:r>
                            <w:rPr>
                              <w:rFonts w:ascii="Cambria Math" w:hAnsi="Cambria Math"/>
                            </w:rPr>
                            <m:t>27</m:t>
                          </m:r>
                        </m:sup>
                      </m:sSup>
                    </m:den>
                  </m:f>
                </m:e>
              </m:d>
            </m:e>
            <m:sup>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4.18</m:t>
              </m:r>
            </m:e>
          </m:d>
        </m:oMath>
      </m:oMathPara>
    </w:p>
    <w:p w14:paraId="525C5A59" w14:textId="77777777" w:rsidR="000F504F" w:rsidRDefault="00000000">
      <w:pPr>
        <w:pStyle w:val="FirstParagraph"/>
      </w:pPr>
      <w:r>
        <w:t>The Rayleigh number is</w:t>
      </w:r>
    </w:p>
    <w:p w14:paraId="3C02F7C0" w14:textId="77777777" w:rsidR="000F504F" w:rsidRDefault="00000000">
      <w:pPr>
        <w:pStyle w:val="BodyText"/>
      </w:pPr>
      <m:oMathPara>
        <m:oMathParaPr>
          <m:jc m:val="center"/>
        </m:oMathParaPr>
        <m:oMath>
          <m:r>
            <w:rPr>
              <w:rFonts w:ascii="Cambria Math" w:hAnsi="Cambria Math"/>
            </w:rPr>
            <m:t>Ra</m:t>
          </m:r>
          <m:r>
            <m:rPr>
              <m:sty m:val="p"/>
            </m:rPr>
            <w:rPr>
              <w:rFonts w:ascii="Cambria Math" w:hAnsi="Cambria Math"/>
            </w:rPr>
            <m:t>=</m:t>
          </m:r>
          <m:r>
            <w:rPr>
              <w:rFonts w:ascii="Cambria Math" w:hAnsi="Cambria Math"/>
            </w:rPr>
            <m:t>GrPr</m:t>
          </m:r>
          <m:r>
            <m:rPr>
              <m:sty m:val="p"/>
            </m:rPr>
            <w:rPr>
              <w:rFonts w:ascii="Cambria Math" w:hAnsi="Cambria Math"/>
            </w:rPr>
            <m:t>=</m:t>
          </m:r>
          <m:f>
            <m:fPr>
              <m:ctrlPr>
                <w:rPr>
                  <w:rFonts w:ascii="Cambria Math" w:hAnsi="Cambria Math"/>
                </w:rPr>
              </m:ctrlPr>
            </m:fPr>
            <m:num>
              <m:r>
                <w:rPr>
                  <w:rFonts w:ascii="Cambria Math" w:hAnsi="Cambria Math"/>
                </w:rPr>
                <m:t>gβ</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e>
              </m:d>
              <m:sSup>
                <m:sSupPr>
                  <m:ctrlPr>
                    <w:rPr>
                      <w:rFonts w:ascii="Cambria Math" w:hAnsi="Cambria Math"/>
                    </w:rPr>
                  </m:ctrlPr>
                </m:sSupPr>
                <m:e>
                  <m:r>
                    <w:rPr>
                      <w:rFonts w:ascii="Cambria Math" w:hAnsi="Cambria Math"/>
                    </w:rPr>
                    <m:t>L</m:t>
                  </m:r>
                </m:e>
                <m:sup>
                  <m:r>
                    <w:rPr>
                      <w:rFonts w:ascii="Cambria Math" w:hAnsi="Cambria Math"/>
                    </w:rPr>
                    <m:t>3</m:t>
                  </m:r>
                </m:sup>
              </m:sSup>
            </m:num>
            <m:den>
              <m:sSup>
                <m:sSupPr>
                  <m:ctrlPr>
                    <w:rPr>
                      <w:rFonts w:ascii="Cambria Math" w:hAnsi="Cambria Math"/>
                    </w:rPr>
                  </m:ctrlPr>
                </m:sSupPr>
                <m:e>
                  <m:r>
                    <w:rPr>
                      <w:rFonts w:ascii="Cambria Math" w:hAnsi="Cambria Math"/>
                    </w:rPr>
                    <m:t>ν</m:t>
                  </m:r>
                </m:e>
                <m:sup>
                  <m:r>
                    <w:rPr>
                      <w:rFonts w:ascii="Cambria Math" w:hAnsi="Cambria Math"/>
                    </w:rPr>
                    <m:t>2</m:t>
                  </m:r>
                </m:sup>
              </m:sSup>
            </m:den>
          </m:f>
          <m:r>
            <w:rPr>
              <w:rFonts w:ascii="Cambria Math" w:hAnsi="Cambria Math"/>
            </w:rPr>
            <m:t>Pr</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4.19</m:t>
              </m:r>
            </m:e>
          </m:d>
        </m:oMath>
      </m:oMathPara>
    </w:p>
    <w:p w14:paraId="58E75E69" w14:textId="77777777" w:rsidR="000F504F" w:rsidRDefault="00000000">
      <w:pPr>
        <w:pStyle w:val="FirstParagraph"/>
      </w:pPr>
      <w:r>
        <w:t>The controlling pre-CHF heat-transfer coefficient is</w:t>
      </w:r>
    </w:p>
    <w:p w14:paraId="3F1DBDE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NC</m:t>
                  </m:r>
                </m:sub>
              </m:sSub>
            </m:e>
          </m:d>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HTC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4.20</m:t>
              </m:r>
            </m:e>
          </m:d>
        </m:oMath>
      </m:oMathPara>
    </w:p>
    <w:p w14:paraId="730C40DA" w14:textId="77777777" w:rsidR="000F504F" w:rsidRDefault="00000000">
      <w:pPr>
        <w:pStyle w:val="Heading2"/>
      </w:pPr>
      <w:bookmarkStart w:id="50" w:name="X0be47a52883232881027ec9b72052b3867c9c54"/>
      <w:bookmarkStart w:id="51" w:name="_Toc231205081"/>
      <w:bookmarkEnd w:id="48"/>
      <w:r>
        <w:t>4.4 Critical Heat Flux, Post-CHF Cooling, and Dry Core</w:t>
      </w:r>
      <w:bookmarkEnd w:id="51"/>
    </w:p>
    <w:p w14:paraId="3820F2E4" w14:textId="77777777" w:rsidR="000F504F" w:rsidRDefault="00000000">
      <w:pPr>
        <w:pStyle w:val="FirstParagraph"/>
      </w:pPr>
      <w:r>
        <w:t>Critical heat flux is evaluated to determine departure from nucleate boiling. The departure from nucleate boiling ratio is</w:t>
      </w:r>
    </w:p>
    <w:p w14:paraId="6312ECDE"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CHF</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4.21</m:t>
              </m:r>
            </m:e>
          </m:d>
        </m:oMath>
      </m:oMathPara>
    </w:p>
    <w:p w14:paraId="6815EAE5" w14:textId="77777777" w:rsidR="000F504F" w:rsidRDefault="00000000">
      <w:pPr>
        <w:pStyle w:val="FirstParagraph"/>
      </w:pPr>
      <w:r>
        <w:t>For numerical robustness, CHF is not evaluated below a minimum mass flux:</w:t>
      </w:r>
    </w:p>
    <w:p w14:paraId="2BE142C3" w14:textId="77777777" w:rsidR="000F504F" w:rsidRDefault="00000000">
      <w:pPr>
        <w:pStyle w:val="BodyText"/>
      </w:pPr>
      <m:oMathPara>
        <m:oMathParaPr>
          <m:jc m:val="center"/>
        </m:oMathParaPr>
        <m:oMath>
          <m:r>
            <w:rPr>
              <w:rFonts w:ascii="Cambria Math" w:hAnsi="Cambria Math"/>
            </w:rPr>
            <m:t>G</m:t>
          </m:r>
          <m:r>
            <m:rPr>
              <m:sty m:val="p"/>
            </m:rPr>
            <w:rPr>
              <w:rFonts w:ascii="Cambria Math" w:hAnsi="Cambria Math"/>
            </w:rPr>
            <m:t>&lt;</m:t>
          </m:r>
          <m:sSub>
            <m:sSubPr>
              <m:ctrlPr>
                <w:rPr>
                  <w:rFonts w:ascii="Cambria Math" w:hAnsi="Cambria Math"/>
                </w:rPr>
              </m:ctrlPr>
            </m:sSubPr>
            <m:e>
              <m:r>
                <w:rPr>
                  <w:rFonts w:ascii="Cambria Math" w:hAnsi="Cambria Math"/>
                </w:rPr>
                <m:t>G</m:t>
              </m:r>
            </m:e>
            <m:sub>
              <m:r>
                <w:rPr>
                  <w:rFonts w:ascii="Cambria Math" w:hAnsi="Cambria Math"/>
                </w:rPr>
                <m:t>min</m:t>
              </m:r>
            </m:sub>
          </m:sSub>
          <m:r>
            <w:rPr>
              <w:rFonts w:ascii="Cambria Math" w:hAnsi="Cambria Math"/>
            </w:rPr>
            <m:t> </m:t>
          </m:r>
          <m:r>
            <m:rPr>
              <m:sty m:val="p"/>
            </m:rPr>
            <w:rPr>
              <w:rFonts w:ascii="Cambria Math" w:hAnsi="Cambria Math"/>
            </w:rPr>
            <m:t>⇒</m:t>
          </m:r>
          <m:r>
            <w:rPr>
              <w:rFonts w:ascii="Cambria Math" w:hAnsi="Cambria Math"/>
            </w:rPr>
            <m:t> DNBR</m:t>
          </m:r>
          <m:r>
            <m:rPr>
              <m:sty m:val="p"/>
            </m:rPr>
            <w:rPr>
              <w:rFonts w:ascii="Cambria Math" w:hAnsi="Cambria Math"/>
            </w:rPr>
            <m:t>=NaN.</m:t>
          </m:r>
          <m:r>
            <w:rPr>
              <w:rFonts w:ascii="Cambria Math" w:hAnsi="Cambria Math"/>
            </w:rPr>
            <m:t>  </m:t>
          </m:r>
          <m:d>
            <m:dPr>
              <m:ctrlPr>
                <w:rPr>
                  <w:rFonts w:ascii="Cambria Math" w:hAnsi="Cambria Math"/>
                </w:rPr>
              </m:ctrlPr>
            </m:dPr>
            <m:e>
              <m:r>
                <w:rPr>
                  <w:rFonts w:ascii="Cambria Math" w:hAnsi="Cambria Math"/>
                </w:rPr>
                <m:t>4.22</m:t>
              </m:r>
            </m:e>
          </m:d>
        </m:oMath>
      </m:oMathPara>
    </w:p>
    <w:p w14:paraId="7BCAF812" w14:textId="77777777" w:rsidR="000F504F" w:rsidRDefault="00000000">
      <w:pPr>
        <w:pStyle w:val="FirstParagraph"/>
      </w:pPr>
      <w:r>
        <w:t>Film boiling is triggered when</w:t>
      </w:r>
    </w:p>
    <w:p w14:paraId="349BC473"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&lt;</m:t>
          </m:r>
          <m:r>
            <w:rPr>
              <w:rFonts w:ascii="Cambria Math" w:hAnsi="Cambria Math"/>
            </w:rPr>
            <m:t>1 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r>
            <m:rPr>
              <m:sty m:val="p"/>
            </m:rPr>
            <w:rPr>
              <w:rFonts w:ascii="Cambria Math" w:hAnsi="Cambria Math"/>
            </w:rPr>
            <m:t>&gt;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Leid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4.23</m:t>
              </m:r>
            </m:e>
          </m:d>
        </m:oMath>
      </m:oMathPara>
    </w:p>
    <w:p w14:paraId="56CC37A2" w14:textId="77777777" w:rsidR="000F504F" w:rsidRDefault="00000000">
      <w:pPr>
        <w:pStyle w:val="FirstParagraph"/>
      </w:pPr>
      <w:r>
        <w:t>A simplified Bromley-type film-boiling model may be represented as</w:t>
      </w:r>
    </w:p>
    <w:p w14:paraId="737F231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FB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v</m:t>
                          </m:r>
                        </m:sub>
                        <m:sup>
                          <m:r>
                            <w:rPr>
                              <w:rFonts w:ascii="Cambria Math" w:hAnsi="Cambria Math"/>
                            </w:rPr>
                            <m:t>3</m:t>
                          </m:r>
                        </m:sup>
                      </m:sSubSup>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e>
                      </m:d>
                      <m:r>
                        <w:rPr>
                          <w:rFonts w:ascii="Cambria Math" w:hAnsi="Cambria Math"/>
                        </w:rPr>
                        <m:t>g</m:t>
                      </m:r>
                      <m:sSubSup>
                        <m:sSubSupPr>
                          <m:ctrlPr>
                            <w:rPr>
                              <w:rFonts w:ascii="Cambria Math" w:hAnsi="Cambria Math"/>
                            </w:rPr>
                          </m:ctrlPr>
                        </m:sSubSupPr>
                        <m:e>
                          <m:r>
                            <w:rPr>
                              <w:rFonts w:ascii="Cambria Math" w:hAnsi="Cambria Math"/>
                            </w:rPr>
                            <m:t>h</m:t>
                          </m:r>
                        </m:e>
                        <m:sub>
                          <m:r>
                            <w:rPr>
                              <w:rFonts w:ascii="Cambria Math" w:hAnsi="Cambria Math"/>
                            </w:rPr>
                            <m:t>fg</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μ</m:t>
                          </m:r>
                        </m:e>
                        <m:sub>
                          <m:r>
                            <w:rPr>
                              <w:rFonts w:ascii="Cambria Math" w:hAnsi="Cambria Math"/>
                            </w:rPr>
                            <m:t>v</m:t>
                          </m:r>
                        </m:sub>
                      </m:sSub>
                      <m:sSub>
                        <m:sSubPr>
                          <m:ctrlPr>
                            <w:rPr>
                              <w:rFonts w:ascii="Cambria Math" w:hAnsi="Cambria Math"/>
                            </w:rPr>
                          </m:ctrlPr>
                        </m:sSubPr>
                        <m:e>
                          <m:r>
                            <w:rPr>
                              <w:rFonts w:ascii="Cambria Math" w:hAnsi="Cambria Math"/>
                            </w:rPr>
                            <m:t>D</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e>
                      </m:d>
                    </m:den>
                  </m:f>
                </m:e>
              </m:d>
            </m:e>
            <m:sup>
              <m:r>
                <w:rPr>
                  <w:rFonts w:ascii="Cambria Math" w:hAnsi="Cambria Math"/>
                </w:rPr>
                <m:t>1</m:t>
              </m:r>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4.24</m:t>
              </m:r>
            </m:e>
          </m:d>
        </m:oMath>
      </m:oMathPara>
    </w:p>
    <w:p w14:paraId="6F72BA2B" w14:textId="77777777" w:rsidR="000F504F" w:rsidRDefault="00000000">
      <w:pPr>
        <w:pStyle w:val="FirstParagraph"/>
      </w:pPr>
      <w:r>
        <w:t>In steam cooling, a separate steam Dittus-Boelter model is evaluated using saturated-vapor properties:</w:t>
      </w:r>
    </w:p>
    <w:p w14:paraId="1F5CEB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steam</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50</m:t>
              </m:r>
              <m:r>
                <m:rPr>
                  <m:sty m:val="p"/>
                </m:rPr>
                <w:rPr>
                  <w:rFonts w:ascii="Cambria Math" w:hAnsi="Cambria Math"/>
                </w:rPr>
                <m:t>,</m:t>
              </m:r>
              <m:f>
                <m:fPr>
                  <m:ctrlPr>
                    <w:rPr>
                      <w:rFonts w:ascii="Cambria Math" w:hAnsi="Cambria Math"/>
                    </w:rPr>
                  </m:ctrlPr>
                </m:fPr>
                <m:num>
                  <m:r>
                    <w:rPr>
                      <w:rFonts w:ascii="Cambria Math" w:hAnsi="Cambria Math"/>
                    </w:rPr>
                    <m:t>0.023R</m:t>
                  </m:r>
                  <m:sSubSup>
                    <m:sSubSupPr>
                      <m:ctrlPr>
                        <w:rPr>
                          <w:rFonts w:ascii="Cambria Math" w:hAnsi="Cambria Math"/>
                        </w:rPr>
                      </m:ctrlPr>
                    </m:sSubSupPr>
                    <m:e>
                      <m:r>
                        <w:rPr>
                          <w:rFonts w:ascii="Cambria Math" w:hAnsi="Cambria Math"/>
                        </w:rPr>
                        <m:t>e</m:t>
                      </m:r>
                    </m:e>
                    <m:sub>
                      <m:r>
                        <w:rPr>
                          <w:rFonts w:ascii="Cambria Math" w:hAnsi="Cambria Math"/>
                        </w:rPr>
                        <m:t>v</m:t>
                      </m:r>
                    </m:sub>
                    <m:sup>
                      <m:r>
                        <w:rPr>
                          <w:rFonts w:ascii="Cambria Math" w:hAnsi="Cambria Math"/>
                        </w:rPr>
                        <m:t>0.8</m:t>
                      </m:r>
                    </m:sup>
                  </m:sSubSup>
                  <m:r>
                    <w:rPr>
                      <w:rFonts w:ascii="Cambria Math" w:hAnsi="Cambria Math"/>
                    </w:rPr>
                    <m:t>P</m:t>
                  </m:r>
                  <m:sSubSup>
                    <m:sSubSupPr>
                      <m:ctrlPr>
                        <w:rPr>
                          <w:rFonts w:ascii="Cambria Math" w:hAnsi="Cambria Math"/>
                        </w:rPr>
                      </m:ctrlPr>
                    </m:sSubSupPr>
                    <m:e>
                      <m:r>
                        <w:rPr>
                          <w:rFonts w:ascii="Cambria Math" w:hAnsi="Cambria Math"/>
                        </w:rPr>
                        <m:t>r</m:t>
                      </m:r>
                    </m:e>
                    <m:sub>
                      <m:r>
                        <w:rPr>
                          <w:rFonts w:ascii="Cambria Math" w:hAnsi="Cambria Math"/>
                        </w:rPr>
                        <m:t>v</m:t>
                      </m:r>
                    </m:sub>
                    <m:sup>
                      <m:r>
                        <w:rPr>
                          <w:rFonts w:ascii="Cambria Math" w:hAnsi="Cambria Math"/>
                        </w:rPr>
                        <m:t>0.4</m:t>
                      </m:r>
                    </m:sup>
                  </m:sSubSup>
                  <m:sSub>
                    <m:sSubPr>
                      <m:ctrlPr>
                        <w:rPr>
                          <w:rFonts w:ascii="Cambria Math" w:hAnsi="Cambria Math"/>
                        </w:rPr>
                      </m:ctrlPr>
                    </m:sSubPr>
                    <m:e>
                      <m:r>
                        <w:rPr>
                          <w:rFonts w:ascii="Cambria Math" w:hAnsi="Cambria Math"/>
                        </w:rPr>
                        <m:t>k</m:t>
                      </m:r>
                    </m:e>
                    <m:sub>
                      <m:r>
                        <w:rPr>
                          <w:rFonts w:ascii="Cambria Math" w:hAnsi="Cambria Math"/>
                        </w:rPr>
                        <m:t>v</m:t>
                      </m:r>
                    </m:sub>
                  </m:sSub>
                </m:num>
                <m:den>
                  <m:sSub>
                    <m:sSubPr>
                      <m:ctrlPr>
                        <w:rPr>
                          <w:rFonts w:ascii="Cambria Math" w:hAnsi="Cambria Math"/>
                        </w:rPr>
                      </m:ctrlPr>
                    </m:sSubPr>
                    <m:e>
                      <m:r>
                        <w:rPr>
                          <w:rFonts w:ascii="Cambria Math" w:hAnsi="Cambria Math"/>
                        </w:rPr>
                        <m:t>D</m:t>
                      </m:r>
                    </m:e>
                    <m:sub>
                      <m:r>
                        <w:rPr>
                          <w:rFonts w:ascii="Cambria Math" w:hAnsi="Cambria Math"/>
                        </w:rPr>
                        <m:t>h</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4.25</m:t>
              </m:r>
            </m:e>
          </m:d>
        </m:oMath>
      </m:oMathPara>
    </w:p>
    <w:p w14:paraId="4AB3F214" w14:textId="77777777" w:rsidR="000F504F" w:rsidRDefault="00000000">
      <w:pPr>
        <w:pStyle w:val="FirstParagraph"/>
      </w:pPr>
      <w:r>
        <w:t>When the collapsed vessel level falls below the dry-core trigger elevation, FLARE transitions to a dry-core heat-transfer model:</w:t>
      </w:r>
    </w:p>
    <w:p w14:paraId="745AB47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dry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gas</m:t>
              </m:r>
            </m:sub>
          </m:sSub>
          <m:r>
            <m:rPr>
              <m:sty m:val="p"/>
            </m:rPr>
            <w:rPr>
              <w:rFonts w:ascii="Cambria Math" w:hAnsi="Cambria Math"/>
            </w:rPr>
            <m:t>+</m:t>
          </m:r>
          <m:r>
            <w:rPr>
              <w:rFonts w:ascii="Cambria Math" w:hAnsi="Cambria Math"/>
            </w:rPr>
            <m:t>εσ</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clad</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gas</m:t>
                  </m:r>
                </m:sub>
                <m:sup>
                  <m:r>
                    <w:rPr>
                      <w:rFonts w:ascii="Cambria Math" w:hAnsi="Cambria Math"/>
                    </w:rPr>
                    <m:t>4</m:t>
                  </m:r>
                </m:sup>
              </m:sSubSup>
            </m:num>
            <m:den>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gas</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4.26</m:t>
              </m:r>
            </m:e>
          </m:d>
        </m:oMath>
      </m:oMathPara>
    </w:p>
    <w:p w14:paraId="56CB2DB3" w14:textId="77777777" w:rsidR="000F504F" w:rsidRDefault="00000000">
      <w:pPr>
        <w:pStyle w:val="FirstParagraph"/>
      </w:pPr>
      <w:r>
        <w:t>This treatment is intentionally approximate. It prevents unrealistic continued nucleate-boiling cooling after core uncovery and provides a conservative trend for source-term and severe-event screening.</w:t>
      </w:r>
    </w:p>
    <w:p w14:paraId="4BA50378" w14:textId="77777777" w:rsidR="000F504F" w:rsidRDefault="00000000">
      <w:pPr>
        <w:pStyle w:val="Heading2"/>
      </w:pPr>
      <w:bookmarkStart w:id="52" w:name="X8d32b98e8bfaf4972aeebfd1bb01f1f77228db4"/>
      <w:bookmarkStart w:id="53" w:name="_Toc231205082"/>
      <w:bookmarkEnd w:id="50"/>
      <w:r>
        <w:t>4.5 Zirconium Oxidation and Hydrogen Generation</w:t>
      </w:r>
      <w:bookmarkEnd w:id="53"/>
    </w:p>
    <w:p w14:paraId="1482EB76" w14:textId="77777777" w:rsidR="000F504F" w:rsidRDefault="00000000">
      <w:pPr>
        <w:pStyle w:val="FirstParagraph"/>
      </w:pPr>
      <w:r>
        <w:t>The Baker-Just oxidation correlation is integrated for the hot pin and for a core-wide rod population estimated to exceed the oxidation threshold. The parabolic law is</w:t>
      </w:r>
    </w:p>
    <w:p w14:paraId="7D8FD1A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BJ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clad</m:t>
                      </m:r>
                    </m:sub>
                  </m:sSub>
                </m:e>
              </m:d>
            </m:num>
            <m:den>
              <m:r>
                <w:rPr>
                  <w:rFonts w:ascii="Cambria Math" w:hAnsi="Cambria Math"/>
                </w:rPr>
                <m:t>W</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4.27</m:t>
              </m:r>
            </m:e>
          </m:d>
        </m:oMath>
      </m:oMathPara>
    </w:p>
    <w:p w14:paraId="116BC273" w14:textId="77777777" w:rsidR="000F504F" w:rsidRDefault="00000000">
      <w:pPr>
        <w:pStyle w:val="FirstParagraph"/>
      </w:pPr>
      <w:r>
        <w:t xml:space="preserve">where </w:t>
      </w:r>
      <m:oMath>
        <m:r>
          <w:rPr>
            <w:rFonts w:ascii="Cambria Math" w:hAnsi="Cambria Math"/>
          </w:rPr>
          <m:t>W</m:t>
        </m:r>
      </m:oMath>
      <w:r>
        <w:t xml:space="preserve"> is the oxide areal weight gain. The equivalent cladding reacted fraction is calculated as</w:t>
      </w:r>
    </w:p>
    <w:p w14:paraId="6E0F7F21" w14:textId="77777777" w:rsidR="000F504F" w:rsidRDefault="00000000">
      <w:pPr>
        <w:pStyle w:val="BodyText"/>
      </w:pPr>
      <m:oMathPara>
        <m:oMathParaPr>
          <m:jc m:val="center"/>
        </m:oMathParaPr>
        <m:oMath>
          <m:r>
            <w:rPr>
              <w:rFonts w:ascii="Cambria Math" w:hAnsi="Cambria Math"/>
            </w:rPr>
            <m:t>ECR</m:t>
          </m:r>
          <m:r>
            <m:rPr>
              <m:sty m:val="p"/>
            </m:rPr>
            <w:rPr>
              <w:rFonts w:ascii="Cambria Math" w:hAnsi="Cambria Math"/>
            </w:rPr>
            <m:t>=</m:t>
          </m:r>
          <m:r>
            <w:rPr>
              <w:rFonts w:ascii="Cambria Math" w:hAnsi="Cambria Math"/>
            </w:rPr>
            <m:t>100</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oxidized</m:t>
                  </m:r>
                </m:sub>
              </m:sSub>
            </m:num>
            <m:den>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initial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4.28</m:t>
              </m:r>
            </m:e>
          </m:d>
        </m:oMath>
      </m:oMathPara>
    </w:p>
    <w:p w14:paraId="638D0E85" w14:textId="77777777" w:rsidR="000F504F" w:rsidRDefault="00000000">
      <w:pPr>
        <w:pStyle w:val="FirstParagraph"/>
      </w:pPr>
      <w:r>
        <w:t>The hydrogen generation is based on the zirconium-steam reaction</w:t>
      </w:r>
    </w:p>
    <w:p w14:paraId="3572F622" w14:textId="77777777" w:rsidR="000F504F" w:rsidRDefault="00000000">
      <w:pPr>
        <w:pStyle w:val="BodyText"/>
      </w:pPr>
      <m:oMathPara>
        <m:oMathParaPr>
          <m:jc m:val="center"/>
        </m:oMathParaPr>
        <m:oMath>
          <m:r>
            <w:rPr>
              <w:rFonts w:ascii="Cambria Math" w:hAnsi="Cambria Math"/>
            </w:rPr>
            <m:t>Zr</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m:rPr>
              <m:sty m:val="p"/>
            </m:rPr>
            <w:rPr>
              <w:rFonts w:ascii="Cambria Math" w:hAnsi="Cambria Math"/>
            </w:rPr>
            <m:t>→</m:t>
          </m:r>
          <m:r>
            <w:rPr>
              <w:rFonts w:ascii="Cambria Math" w:hAnsi="Cambria Math"/>
            </w:rPr>
            <m:t>Zr</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4.29</m:t>
              </m:r>
            </m:e>
          </m:d>
        </m:oMath>
      </m:oMathPara>
    </w:p>
    <w:p w14:paraId="16594CD2" w14:textId="77777777" w:rsidR="000F504F" w:rsidRDefault="00000000">
      <w:pPr>
        <w:pStyle w:val="FirstParagraph"/>
      </w:pPr>
      <w:r>
        <w:t xml:space="preserve">For a reacted zirconium mass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oMath>
      <w:r>
        <w:t>,</w:t>
      </w:r>
    </w:p>
    <w:p w14:paraId="7AE4DF4A"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Zr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4.30</m:t>
              </m:r>
            </m:e>
          </m:d>
        </m:oMath>
      </m:oMathPara>
    </w:p>
    <w:p w14:paraId="39571344" w14:textId="77777777" w:rsidR="000F504F" w:rsidRDefault="00000000">
      <w:pPr>
        <w:pStyle w:val="FirstParagraph"/>
      </w:pPr>
      <w:r>
        <w:t>Core-wide hydrogen generation is then</w:t>
      </w:r>
    </w:p>
    <w:p w14:paraId="5C8AFB6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core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4.31</m:t>
              </m:r>
            </m:e>
          </m:d>
        </m:oMath>
      </m:oMathPara>
    </w:p>
    <w:p w14:paraId="5ADCA218" w14:textId="77777777" w:rsidR="000F504F" w:rsidRDefault="00000000">
      <w:pPr>
        <w:pStyle w:val="FirstParagraph"/>
      </w:pPr>
      <w:r>
        <w:t>where the summation is over the estimated population of rods above the oxidation temperature threshold.</w:t>
      </w:r>
    </w:p>
    <w:p w14:paraId="5D436B94" w14:textId="77777777" w:rsidR="000F504F" w:rsidRDefault="00000000">
      <w:pPr>
        <w:pStyle w:val="Heading1"/>
      </w:pPr>
      <w:bookmarkStart w:id="54" w:name="X742c788e657a63b053148fd56bd5b1c99ba030a"/>
      <w:bookmarkStart w:id="55" w:name="_Toc231205083"/>
      <w:bookmarkEnd w:id="42"/>
      <w:bookmarkEnd w:id="52"/>
      <w:r>
        <w:t>Chapter 5 — Point Kinetics and Reactivity Models</w:t>
      </w:r>
      <w:bookmarkEnd w:id="55"/>
    </w:p>
    <w:p w14:paraId="7E82E614" w14:textId="77777777" w:rsidR="000F504F" w:rsidRDefault="00000000">
      <w:pPr>
        <w:pStyle w:val="Heading2"/>
      </w:pPr>
      <w:bookmarkStart w:id="56" w:name="point-kinetics-equations"/>
      <w:bookmarkStart w:id="57" w:name="_Toc231205084"/>
      <w:r>
        <w:t>5.1 Point-Kinetics Equations</w:t>
      </w:r>
      <w:bookmarkEnd w:id="57"/>
    </w:p>
    <w:p w14:paraId="7EC17AE2" w14:textId="77777777" w:rsidR="000F504F" w:rsidRDefault="00000000">
      <w:pPr>
        <w:pStyle w:val="FirstParagraph"/>
      </w:pPr>
      <w:r>
        <w:t xml:space="preserve">The reactor power calculation uses point kinetics. The neutron population amplitude, expressed through relative power </w:t>
      </w:r>
      <m:oMath>
        <m:sSub>
          <m:sSubPr>
            <m:ctrlPr>
              <w:rPr>
                <w:rFonts w:ascii="Cambria Math" w:hAnsi="Cambria Math"/>
              </w:rPr>
            </m:ctrlPr>
          </m:sSubPr>
          <m:e>
            <m:r>
              <w:rPr>
                <w:rFonts w:ascii="Cambria Math" w:hAnsi="Cambria Math"/>
              </w:rPr>
              <m:t>P</m:t>
            </m:r>
          </m:e>
          <m:sub>
            <m:r>
              <w:rPr>
                <w:rFonts w:ascii="Cambria Math" w:hAnsi="Cambria Math"/>
              </w:rPr>
              <m:t>n</m:t>
            </m:r>
          </m:sub>
        </m:sSub>
      </m:oMath>
      <w:r>
        <w:t>, satisfies</w:t>
      </w:r>
    </w:p>
    <w:p w14:paraId="5F942669"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n</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m:t>
              </m:r>
            </m:e>
          </m:d>
        </m:oMath>
      </m:oMathPara>
    </w:p>
    <w:p w14:paraId="51928327" w14:textId="77777777" w:rsidR="000F504F" w:rsidRDefault="00000000">
      <w:pPr>
        <w:pStyle w:val="FirstParagraph"/>
      </w:pPr>
      <w:r>
        <w:t>The delayed-neutron precursor groups satisfy</w:t>
      </w:r>
    </w:p>
    <w:p w14:paraId="7CBE566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i</m:t>
                  </m:r>
                </m:sub>
              </m:sSub>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5.2</m:t>
              </m:r>
            </m:e>
          </m:d>
        </m:oMath>
      </m:oMathPara>
    </w:p>
    <w:p w14:paraId="2D062C40" w14:textId="77777777" w:rsidR="000F504F" w:rsidRDefault="00000000">
      <w:pPr>
        <w:pStyle w:val="FirstParagraph"/>
      </w:pPr>
      <w:r>
        <w:t xml:space="preserve">Here </w:t>
      </w:r>
      <m:oMath>
        <m:r>
          <w:rPr>
            <w:rFonts w:ascii="Cambria Math" w:hAnsi="Cambria Math"/>
          </w:rPr>
          <m:t>ρ</m:t>
        </m:r>
      </m:oMath>
      <w:r>
        <w:t xml:space="preserve"> is reactivity, </w:t>
      </w:r>
      <m:oMath>
        <m:r>
          <w:rPr>
            <w:rFonts w:ascii="Cambria Math" w:hAnsi="Cambria Math"/>
          </w:rPr>
          <m:t>β</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i</m:t>
                </m:r>
              </m:sub>
            </m:sSub>
          </m:e>
        </m:nary>
      </m:oMath>
      <w:r>
        <w:t xml:space="preserve"> is the effective delayed-neutron fraction, </w:t>
      </w:r>
      <m:oMath>
        <m:r>
          <w:rPr>
            <w:rFonts w:ascii="Cambria Math" w:hAnsi="Cambria Math"/>
          </w:rPr>
          <m:t>Λ</m:t>
        </m:r>
      </m:oMath>
      <w:r>
        <w:t xml:space="preserve"> is prompt neutron generation time,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are precursor decay constants,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are normalized precursor concentrations. The thermal power is</w:t>
      </w:r>
    </w:p>
    <w:p w14:paraId="60DC63F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sSub>
            <m:sSubPr>
              <m:ctrlPr>
                <w:rPr>
                  <w:rFonts w:ascii="Cambria Math" w:hAnsi="Cambria Math"/>
                </w:rPr>
              </m:ctrlPr>
            </m:sSubPr>
            <m:e>
              <m:r>
                <w:rPr>
                  <w:rFonts w:ascii="Cambria Math" w:hAnsi="Cambria Math"/>
                </w:rPr>
                <m:t>Q</m:t>
              </m:r>
            </m:e>
            <m:sub>
              <m:r>
                <w:rPr>
                  <w:rFonts w:ascii="Cambria Math" w:hAnsi="Cambria Math"/>
                </w:rPr>
                <m:t>rated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5.3</m:t>
              </m:r>
            </m:e>
          </m:d>
        </m:oMath>
      </m:oMathPara>
    </w:p>
    <w:p w14:paraId="01F32CCF" w14:textId="77777777" w:rsidR="000F504F" w:rsidRDefault="00000000">
      <w:pPr>
        <w:pStyle w:val="Heading2"/>
      </w:pPr>
      <w:bookmarkStart w:id="58" w:name="reactivity-feedback"/>
      <w:bookmarkStart w:id="59" w:name="_Toc231205085"/>
      <w:bookmarkEnd w:id="56"/>
      <w:r>
        <w:lastRenderedPageBreak/>
        <w:t>5.2 Reactivity Feedback</w:t>
      </w:r>
      <w:bookmarkEnd w:id="59"/>
    </w:p>
    <w:p w14:paraId="690AB845" w14:textId="77777777" w:rsidR="000F504F" w:rsidRDefault="00000000">
      <w:pPr>
        <w:pStyle w:val="FirstParagraph"/>
      </w:pPr>
      <w:r>
        <w:t>The total reactivity is the sum of externally specified reactivity, Doppler feedback, moderator temperature feedback, void feedback, and scram worth:</w:t>
      </w:r>
    </w:p>
    <w:p w14:paraId="5B4C1C50" w14:textId="77777777" w:rsidR="000F504F" w:rsidRDefault="00000000">
      <w:pPr>
        <w:pStyle w:val="BodyText"/>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ext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5.4</m:t>
              </m:r>
            </m:e>
          </m:d>
        </m:oMath>
      </m:oMathPara>
    </w:p>
    <w:p w14:paraId="11E71377" w14:textId="77777777" w:rsidR="000F504F" w:rsidRDefault="00000000">
      <w:pPr>
        <w:pStyle w:val="FirstParagraph"/>
      </w:pPr>
      <w:r>
        <w:t>The Doppler term is</w:t>
      </w:r>
    </w:p>
    <w:p w14:paraId="68E26D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5.5</m:t>
              </m:r>
            </m:e>
          </m:d>
        </m:oMath>
      </m:oMathPara>
    </w:p>
    <w:p w14:paraId="517CC915" w14:textId="77777777" w:rsidR="000F504F" w:rsidRDefault="00000000">
      <w:pPr>
        <w:pStyle w:val="FirstParagraph"/>
      </w:pPr>
      <w:r>
        <w:t>The moderator temperature and void terms are</w:t>
      </w:r>
    </w:p>
    <w:p w14:paraId="3B3AFEE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sub>
          </m:sSub>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5.6</m:t>
              </m:r>
            </m:e>
          </m:d>
        </m:oMath>
      </m:oMathPara>
    </w:p>
    <w:p w14:paraId="61528AD6" w14:textId="77777777" w:rsidR="000F504F" w:rsidRDefault="00000000">
      <w:pPr>
        <w:pStyle w:val="FirstParagraph"/>
      </w:pPr>
      <w:r>
        <w:t xml:space="preserve">When coefficients are entered in pcm, the conversion is </w:t>
      </w:r>
      <m:oMath>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pcm</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Scram insertion is modeled as a ramp:</w:t>
      </w:r>
    </w:p>
    <w:p w14:paraId="36A50B2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τ</m:t>
                            </m:r>
                          </m:e>
                          <m:sub>
                            <m:r>
                              <w:rPr>
                                <w:rFonts w:ascii="Cambria Math" w:hAnsi="Cambria Math"/>
                              </w:rPr>
                              <m:t>rod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5.7</m:t>
              </m:r>
            </m:e>
          </m:d>
        </m:oMath>
      </m:oMathPara>
    </w:p>
    <w:p w14:paraId="74AAE2F0" w14:textId="77777777" w:rsidR="000F504F" w:rsidRDefault="00000000">
      <w:pPr>
        <w:pStyle w:val="Heading2"/>
      </w:pPr>
      <w:bookmarkStart w:id="60" w:name="Xb5391a529b5a3b2f3522d1cfea140719cf12853"/>
      <w:bookmarkStart w:id="61" w:name="_Toc231205086"/>
      <w:bookmarkEnd w:id="58"/>
      <w:r>
        <w:t>5.3 Prompt Jump, Prompt Criticality, and Decay Heat</w:t>
      </w:r>
      <w:bookmarkEnd w:id="61"/>
    </w:p>
    <w:p w14:paraId="5AD0FB5C" w14:textId="77777777" w:rsidR="000F504F" w:rsidRDefault="00000000">
      <w:pPr>
        <w:pStyle w:val="FirstParagraph"/>
      </w:pPr>
      <w:r>
        <w:t>For rapid reactivity insertions below prompt critical, the prompt neutron population adjusts on a time scale much shorter than the thermal-hydraulic response. The prompt jump approximation relates the post-jump and pre-jump powers by</w:t>
      </w:r>
    </w:p>
    <w:p w14:paraId="1E47E119" w14:textId="77777777" w:rsidR="000F504F"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P</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P</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num>
            <m:den>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5.8</m:t>
              </m:r>
            </m:e>
          </m:d>
        </m:oMath>
      </m:oMathPara>
    </w:p>
    <w:p w14:paraId="46934C68" w14:textId="77777777" w:rsidR="000F504F" w:rsidRDefault="00000000">
      <w:pPr>
        <w:pStyle w:val="FirstParagraph"/>
      </w:pPr>
      <w:r>
        <w:t xml:space="preserve">For prompt-critical excursions, FLARE can apply a Nordheim-Fuchs screening estimate. If the reactivity insertion is </w:t>
      </w:r>
      <m:oMath>
        <m:sSub>
          <m:sSubPr>
            <m:ctrlPr>
              <w:rPr>
                <w:rFonts w:ascii="Cambria Math" w:hAnsi="Cambria Math"/>
              </w:rPr>
            </m:ctrlPr>
          </m:sSubPr>
          <m:e>
            <m:r>
              <w:rPr>
                <w:rFonts w:ascii="Cambria Math" w:hAnsi="Cambria Math"/>
              </w:rPr>
              <m:t>ρ</m:t>
            </m:r>
          </m:e>
          <m:sub>
            <m:r>
              <w:rPr>
                <w:rFonts w:ascii="Cambria Math" w:hAnsi="Cambria Math"/>
              </w:rPr>
              <m:t>0</m:t>
            </m:r>
          </m:sub>
        </m:sSub>
      </m:oMath>
      <w:r>
        <w:t xml:space="preserve"> and the effective feedback coefficient is </w:t>
      </w:r>
      <m:oMath>
        <m:sSub>
          <m:sSubPr>
            <m:ctrlPr>
              <w:rPr>
                <w:rFonts w:ascii="Cambria Math" w:hAnsi="Cambria Math"/>
              </w:rPr>
            </m:ctrlPr>
          </m:sSubPr>
          <m:e>
            <m:r>
              <w:rPr>
                <w:rFonts w:ascii="Cambria Math" w:hAnsi="Cambria Math"/>
              </w:rPr>
              <m:t>α</m:t>
            </m:r>
          </m:e>
          <m:sub>
            <m:r>
              <w:rPr>
                <w:rFonts w:ascii="Cambria Math" w:hAnsi="Cambria Math"/>
              </w:rPr>
              <m:t>T</m:t>
            </m:r>
          </m:sub>
        </m:sSub>
      </m:oMath>
      <w:r>
        <w:t>, the approximate energy deposition required to return to prompt critical is</w:t>
      </w:r>
    </w:p>
    <w:p w14:paraId="1BE700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burst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r>
                <w:rPr>
                  <w:rFonts w:ascii="Cambria Math" w:hAnsi="Cambria Math"/>
                </w:rPr>
                <m:t>β</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T</m:t>
                      </m:r>
                    </m:sub>
                  </m:sSub>
                </m:e>
              </m:d>
            </m:den>
          </m:f>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eff</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5.9</m:t>
              </m:r>
            </m:e>
          </m:d>
        </m:oMath>
      </m:oMathPara>
    </w:p>
    <w:p w14:paraId="0817B70F" w14:textId="77777777" w:rsidR="000F504F" w:rsidRDefault="00000000">
      <w:pPr>
        <w:pStyle w:val="FirstParagraph"/>
      </w:pPr>
      <w:r>
        <w:t>After shutdown, the total core heat is the sum of fission power and decay heat:</w:t>
      </w:r>
    </w:p>
    <w:p w14:paraId="10D67F7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decay</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5.10</m:t>
              </m:r>
            </m:e>
          </m:d>
        </m:oMath>
      </m:oMathPara>
    </w:p>
    <w:p w14:paraId="0FE49083" w14:textId="77777777" w:rsidR="000F504F" w:rsidRDefault="00000000">
      <w:pPr>
        <w:pStyle w:val="FirstParagraph"/>
      </w:pPr>
      <w:r>
        <w:t>The ANS-5.1-1979 decay-heat model can be represented as a summation of exponentials:</w:t>
      </w:r>
    </w:p>
    <w:p w14:paraId="4E889F5F"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5.11</m:t>
              </m:r>
            </m:e>
          </m:d>
        </m:oMath>
      </m:oMathPara>
    </w:p>
    <w:p w14:paraId="6A56D8AD" w14:textId="77777777" w:rsidR="000F504F" w:rsidRDefault="00000000">
      <w:pPr>
        <w:pStyle w:val="FirstParagraph"/>
      </w:pPr>
      <w:r>
        <w:t xml:space="preserve">For finite prior irradiation time </w:t>
      </w:r>
      <m:oMath>
        <m:sSub>
          <m:sSubPr>
            <m:ctrlPr>
              <w:rPr>
                <w:rFonts w:ascii="Cambria Math" w:hAnsi="Cambria Math"/>
              </w:rPr>
            </m:ctrlPr>
          </m:sSubPr>
          <m:e>
            <m:r>
              <w:rPr>
                <w:rFonts w:ascii="Cambria Math" w:hAnsi="Cambria Math"/>
              </w:rPr>
              <m:t>T</m:t>
            </m:r>
          </m:e>
          <m:sub>
            <m:r>
              <w:rPr>
                <w:rFonts w:ascii="Cambria Math" w:hAnsi="Cambria Math"/>
              </w:rPr>
              <m:t>irr</m:t>
            </m:r>
          </m:sub>
        </m:sSub>
      </m:oMath>
      <w:r>
        <w:t>, the buildup correction is</w:t>
      </w:r>
    </w:p>
    <w:p w14:paraId="20C34489"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irr</m:t>
                      </m:r>
                    </m:sub>
                  </m:sSub>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d>
            <m:dPr>
              <m:begChr m:val="["/>
              <m:endChr m:val="]"/>
              <m:ctrlPr>
                <w:rPr>
                  <w:rFonts w:ascii="Cambria Math" w:hAnsi="Cambria Math"/>
                </w:rPr>
              </m:ctrlPr>
            </m:dPr>
            <m:e>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irr</m:t>
                      </m:r>
                    </m:sub>
                  </m:sSub>
                </m:e>
              </m:d>
            </m:e>
          </m:d>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5.12</m:t>
              </m:r>
            </m:e>
          </m:d>
        </m:oMath>
      </m:oMathPara>
    </w:p>
    <w:p w14:paraId="7E28ED85" w14:textId="77777777" w:rsidR="000F504F" w:rsidRDefault="00000000">
      <w:pPr>
        <w:pStyle w:val="Heading1"/>
      </w:pPr>
      <w:bookmarkStart w:id="62" w:name="X2548acd0f883b7361aa3e1d7db5b7a1179d2a72"/>
      <w:bookmarkStart w:id="63" w:name="_Toc231205087"/>
      <w:bookmarkEnd w:id="54"/>
      <w:bookmarkEnd w:id="60"/>
      <w:r>
        <w:lastRenderedPageBreak/>
        <w:t>Chapter 6 — Trip and Protection System Models</w:t>
      </w:r>
      <w:bookmarkEnd w:id="63"/>
    </w:p>
    <w:p w14:paraId="032CF889" w14:textId="77777777" w:rsidR="000F504F" w:rsidRDefault="00000000">
      <w:pPr>
        <w:pStyle w:val="Heading2"/>
      </w:pPr>
      <w:bookmarkStart w:id="64" w:name="trip-logic"/>
      <w:bookmarkStart w:id="65" w:name="_Toc231205088"/>
      <w:r>
        <w:t>6.1 Trip Logic</w:t>
      </w:r>
      <w:bookmarkEnd w:id="65"/>
    </w:p>
    <w:p w14:paraId="6F4764ED" w14:textId="77777777" w:rsidR="000F504F" w:rsidRDefault="00000000">
      <w:pPr>
        <w:pStyle w:val="FirstParagraph"/>
      </w:pPr>
      <w:r>
        <w:t>A reactor trip is initiated when any enabled trip condition becomes true. The trip state is latched:</w:t>
      </w:r>
    </w:p>
    <w:p w14:paraId="20F7CB0B"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high flux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low flow</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high Tclad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6.1</m:t>
              </m:r>
            </m:e>
          </m:d>
        </m:oMath>
      </m:oMathPara>
    </w:p>
    <w:p w14:paraId="5D35219D" w14:textId="77777777" w:rsidR="000F504F" w:rsidRDefault="00000000">
      <w:pPr>
        <w:pStyle w:val="FirstParagraph"/>
      </w:pPr>
      <w:r>
        <w:t>Once latched, the trip state remains active. Scram insertion then follows the rod-worth ramp in Eq. (5.7).</w:t>
      </w:r>
    </w:p>
    <w:p w14:paraId="5A575BDA" w14:textId="77777777" w:rsidR="000F504F" w:rsidRDefault="00000000">
      <w:pPr>
        <w:pStyle w:val="Heading2"/>
      </w:pPr>
      <w:bookmarkStart w:id="66" w:name="esfas-actuation"/>
      <w:bookmarkStart w:id="67" w:name="_Toc231205089"/>
      <w:bookmarkEnd w:id="64"/>
      <w:r>
        <w:t>6.2 ESFAS Actuation</w:t>
      </w:r>
      <w:bookmarkEnd w:id="67"/>
    </w:p>
    <w:p w14:paraId="646B8F89" w14:textId="77777777" w:rsidR="000F504F" w:rsidRDefault="00000000">
      <w:pPr>
        <w:pStyle w:val="FirstParagraph"/>
      </w:pPr>
      <w:r>
        <w:t>Safety injection is actuated when the engineered safety features actuation signal is generated:</w:t>
      </w:r>
    </w:p>
    <w:p w14:paraId="0D6E76B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high containment P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manual SI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6.2</m:t>
              </m:r>
            </m:e>
          </m:d>
        </m:oMath>
      </m:oMathPara>
    </w:p>
    <w:p w14:paraId="61CC9B80" w14:textId="77777777" w:rsidR="000F504F" w:rsidRDefault="00000000">
      <w:pPr>
        <w:pStyle w:val="FirstParagraph"/>
      </w:pPr>
      <w:r>
        <w:t>The availability of each injection source is calculated from the actuation time plus any specified delay. This allows FLARE to represent simplified diesel-generator sequencing, valve-opening delays, or pump-start delays without detailed electrical-system modeling.</w:t>
      </w:r>
    </w:p>
    <w:p w14:paraId="01765B9D" w14:textId="77777777" w:rsidR="000F504F" w:rsidRDefault="00000000">
      <w:pPr>
        <w:pStyle w:val="Heading2"/>
      </w:pPr>
      <w:bookmarkStart w:id="68" w:name="numerical-latching-and-event-reporting"/>
      <w:bookmarkStart w:id="69" w:name="_Toc231205090"/>
      <w:bookmarkEnd w:id="66"/>
      <w:r>
        <w:t>6.3 Numerical Latching and Event Reporting</w:t>
      </w:r>
      <w:bookmarkEnd w:id="69"/>
    </w:p>
    <w:p w14:paraId="34A54EE8" w14:textId="77777777" w:rsidR="000F504F" w:rsidRDefault="00000000">
      <w:pPr>
        <w:pStyle w:val="FirstParagraph"/>
      </w:pPr>
      <w:r>
        <w:t xml:space="preserve">Trips, SI actuation, PORV opening, accumulator start, and containment spray actuation are recorded as sequence-of-events quantities. A latch variable </w:t>
      </w:r>
      <m:oMath>
        <m:r>
          <w:rPr>
            <w:rFonts w:ascii="Cambria Math" w:hAnsi="Cambria Math"/>
          </w:rPr>
          <m:t>L</m:t>
        </m:r>
      </m:oMath>
      <w:r>
        <w:t xml:space="preserve"> is updated as</w:t>
      </w:r>
    </w:p>
    <w:p w14:paraId="44D0EEF4"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L</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=max</m:t>
          </m:r>
          <m:d>
            <m:dPr>
              <m:ctrlPr>
                <w:rPr>
                  <w:rFonts w:ascii="Cambria Math" w:hAnsi="Cambria Math"/>
                </w:rPr>
              </m:ctrlPr>
            </m:dPr>
            <m:e>
              <m:sSup>
                <m:sSupPr>
                  <m:ctrlPr>
                    <w:rPr>
                      <w:rFonts w:ascii="Cambria Math" w:hAnsi="Cambria Math"/>
                    </w:rPr>
                  </m:ctrlPr>
                </m:sSupPr>
                <m:e>
                  <m:r>
                    <w:rPr>
                      <w:rFonts w:ascii="Cambria Math" w:hAnsi="Cambria Math"/>
                    </w:rPr>
                    <m:t>L</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n</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6.3</m:t>
              </m:r>
            </m:e>
          </m:d>
        </m:oMath>
      </m:oMathPara>
    </w:p>
    <w:p w14:paraId="1E6BCF5C" w14:textId="77777777" w:rsidR="000F504F" w:rsidRDefault="00000000">
      <w:pPr>
        <w:pStyle w:val="FirstParagraph"/>
      </w:pPr>
      <w:r>
        <w:t xml:space="preserve">The first time at which </w:t>
      </w:r>
      <m:oMath>
        <m:sSup>
          <m:sSupPr>
            <m:ctrlPr>
              <w:rPr>
                <w:rFonts w:ascii="Cambria Math" w:hAnsi="Cambria Math"/>
              </w:rPr>
            </m:ctrlPr>
          </m:sSupPr>
          <m:e>
            <m:r>
              <w:rPr>
                <w:rFonts w:ascii="Cambria Math" w:hAnsi="Cambria Math"/>
              </w:rPr>
              <m:t>I</m:t>
            </m:r>
          </m:e>
          <m:sup>
            <m:r>
              <w:rPr>
                <w:rFonts w:ascii="Cambria Math" w:hAnsi="Cambria Math"/>
              </w:rPr>
              <m:t>n</m:t>
            </m:r>
          </m:sup>
        </m:sSup>
        <m:r>
          <m:rPr>
            <m:sty m:val="p"/>
          </m:rPr>
          <w:rPr>
            <w:rFonts w:ascii="Cambria Math" w:hAnsi="Cambria Math"/>
          </w:rPr>
          <m:t>=</m:t>
        </m:r>
        <m:r>
          <w:rPr>
            <w:rFonts w:ascii="Cambria Math" w:hAnsi="Cambria Math"/>
          </w:rPr>
          <m:t>1</m:t>
        </m:r>
      </m:oMath>
      <w:r>
        <w:t xml:space="preserve"> is stored as the event time. This logic prevents repeated reporting of cycling signals and supports the event narrative and batch-report generation.</w:t>
      </w:r>
    </w:p>
    <w:p w14:paraId="28FECDF2" w14:textId="77777777" w:rsidR="000F504F" w:rsidRDefault="00000000">
      <w:pPr>
        <w:pStyle w:val="Heading1"/>
      </w:pPr>
      <w:bookmarkStart w:id="70" w:name="Xa806b677b7919ee38308ef4bbc4d6572273b0a5"/>
      <w:bookmarkStart w:id="71" w:name="_Toc231205091"/>
      <w:bookmarkEnd w:id="62"/>
      <w:bookmarkEnd w:id="68"/>
      <w:r>
        <w:t>Chapter 7 — Input Format, Parameters, and Output Variables</w:t>
      </w:r>
      <w:bookmarkEnd w:id="71"/>
    </w:p>
    <w:p w14:paraId="522F885E" w14:textId="77777777" w:rsidR="000F504F" w:rsidRDefault="00000000">
      <w:pPr>
        <w:pStyle w:val="Heading2"/>
      </w:pPr>
      <w:bookmarkStart w:id="72" w:name="input-workbook-structure"/>
      <w:bookmarkStart w:id="73" w:name="_Toc231205092"/>
      <w:r>
        <w:t>7.1 Input Workbook Structure</w:t>
      </w:r>
      <w:bookmarkEnd w:id="73"/>
    </w:p>
    <w:p w14:paraId="048F549F" w14:textId="77777777" w:rsidR="000F504F" w:rsidRDefault="00000000">
      <w:pPr>
        <w:pStyle w:val="FirstParagraph"/>
      </w:pPr>
      <w:r>
        <w:t xml:space="preserve">The FLARE input file is an Excel workbook named according to the pattern </w:t>
      </w:r>
      <w:r>
        <w:rPr>
          <w:rStyle w:val="VerbatimChar"/>
        </w:rPr>
        <w:t>CaseName_in.xlsx</w:t>
      </w:r>
      <w:r>
        <w:t xml:space="preserve">. The RCS simulation inputs are provided as key-value pairs in the primary input sheet. Section labels are used for human readability and for the Model Editor. An optional second sheet named </w:t>
      </w:r>
      <w:r>
        <w:rPr>
          <w:rStyle w:val="VerbatimChar"/>
        </w:rPr>
        <w:t>FLARECON</w:t>
      </w:r>
      <w:r>
        <w:t xml:space="preserve"> contains containment input parameters using the same key-value concept with separate containment section headers.</w:t>
      </w:r>
    </w:p>
    <w:p w14:paraId="09ADFC68" w14:textId="77777777" w:rsidR="000F504F" w:rsidRDefault="00000000">
      <w:pPr>
        <w:pStyle w:val="BodyText"/>
      </w:pPr>
      <w:r>
        <w:t>The calculation kernel treats the input workbook as a declarative model. Parameters should therefore be traceable to one of four categories: geometry, initial conditions, boundary conditions, or model-control flags. Maintaining this distinction reduces the risk that a numerical tuning factor will be mistaken for a physical plant parameter.</w:t>
      </w:r>
    </w:p>
    <w:p w14:paraId="72B8CE70" w14:textId="77777777" w:rsidR="000F504F" w:rsidRDefault="00000000">
      <w:pPr>
        <w:pStyle w:val="Heading2"/>
      </w:pPr>
      <w:bookmarkStart w:id="74" w:name="parameter-classes"/>
      <w:bookmarkStart w:id="75" w:name="_Toc231205093"/>
      <w:bookmarkEnd w:id="72"/>
      <w:r>
        <w:t>7.2 Parameter Classes</w:t>
      </w:r>
      <w:bookmarkEnd w:id="75"/>
    </w:p>
    <w:tbl>
      <w:tblPr>
        <w:tblStyle w:val="Table"/>
        <w:tblW w:w="5000" w:type="pct"/>
        <w:tblLayout w:type="fixed"/>
        <w:tblLook w:val="0020" w:firstRow="1" w:lastRow="0" w:firstColumn="0" w:lastColumn="0" w:noHBand="0" w:noVBand="0"/>
      </w:tblPr>
      <w:tblGrid>
        <w:gridCol w:w="3336"/>
        <w:gridCol w:w="3336"/>
        <w:gridCol w:w="3336"/>
      </w:tblGrid>
      <w:tr w:rsidR="000F504F" w14:paraId="3361D2E5"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6D4826B" w14:textId="77777777" w:rsidR="000F504F" w:rsidRDefault="00000000">
            <w:pPr>
              <w:pStyle w:val="Compact"/>
            </w:pPr>
            <w:r>
              <w:t>Parameter class</w:t>
            </w:r>
          </w:p>
        </w:tc>
        <w:tc>
          <w:tcPr>
            <w:tcW w:w="2640" w:type="dxa"/>
          </w:tcPr>
          <w:p w14:paraId="119C13B9" w14:textId="77777777" w:rsidR="000F504F" w:rsidRDefault="00000000">
            <w:pPr>
              <w:pStyle w:val="Compact"/>
            </w:pPr>
            <w:r>
              <w:t>Examples</w:t>
            </w:r>
          </w:p>
        </w:tc>
        <w:tc>
          <w:tcPr>
            <w:tcW w:w="2640" w:type="dxa"/>
          </w:tcPr>
          <w:p w14:paraId="2BAD534F" w14:textId="77777777" w:rsidR="000F504F" w:rsidRDefault="00000000">
            <w:pPr>
              <w:pStyle w:val="Compact"/>
            </w:pPr>
            <w:r>
              <w:t>Role in solution</w:t>
            </w:r>
          </w:p>
        </w:tc>
      </w:tr>
      <w:tr w:rsidR="000F504F" w14:paraId="7C39A37B" w14:textId="77777777">
        <w:tc>
          <w:tcPr>
            <w:tcW w:w="2640" w:type="dxa"/>
          </w:tcPr>
          <w:p w14:paraId="4AE462D3" w14:textId="77777777" w:rsidR="000F504F" w:rsidRDefault="00000000">
            <w:pPr>
              <w:pStyle w:val="Compact"/>
            </w:pPr>
            <w:r>
              <w:t>Geometry</w:t>
            </w:r>
          </w:p>
        </w:tc>
        <w:tc>
          <w:tcPr>
            <w:tcW w:w="2640" w:type="dxa"/>
          </w:tcPr>
          <w:p w14:paraId="36B00501" w14:textId="77777777" w:rsidR="000F504F" w:rsidRDefault="00000000">
            <w:pPr>
              <w:pStyle w:val="Compact"/>
            </w:pPr>
            <w:r>
              <w:t>vessel area, loop volume, heated length, pin diameter</w:t>
            </w:r>
          </w:p>
        </w:tc>
        <w:tc>
          <w:tcPr>
            <w:tcW w:w="2640" w:type="dxa"/>
          </w:tcPr>
          <w:p w14:paraId="19BCD4BA" w14:textId="77777777" w:rsidR="000F504F" w:rsidRDefault="00000000">
            <w:pPr>
              <w:pStyle w:val="Compact"/>
            </w:pPr>
            <w:r>
              <w:t>Defines storage volumes, flow areas, and heat-transfer areas.</w:t>
            </w:r>
          </w:p>
        </w:tc>
      </w:tr>
      <w:tr w:rsidR="000F504F" w14:paraId="0AEA1AC0" w14:textId="77777777">
        <w:tc>
          <w:tcPr>
            <w:tcW w:w="2640" w:type="dxa"/>
          </w:tcPr>
          <w:p w14:paraId="4A41A390" w14:textId="77777777" w:rsidR="000F504F" w:rsidRDefault="00000000">
            <w:pPr>
              <w:pStyle w:val="Compact"/>
            </w:pPr>
            <w:r>
              <w:t>Initial conditions</w:t>
            </w:r>
          </w:p>
        </w:tc>
        <w:tc>
          <w:tcPr>
            <w:tcW w:w="2640" w:type="dxa"/>
          </w:tcPr>
          <w:p w14:paraId="532CAB25" w14:textId="77777777" w:rsidR="000F504F" w:rsidRDefault="00000000">
            <w:pPr>
              <w:pStyle w:val="Compact"/>
            </w:pPr>
            <w:r>
              <w:t>RCS pressure, inlet/outlet temperature, accumulator pressure</w:t>
            </w:r>
          </w:p>
        </w:tc>
        <w:tc>
          <w:tcPr>
            <w:tcW w:w="2640" w:type="dxa"/>
          </w:tcPr>
          <w:p w14:paraId="73AE907E" w14:textId="77777777" w:rsidR="000F504F" w:rsidRDefault="00000000">
            <w:pPr>
              <w:pStyle w:val="Compact"/>
            </w:pPr>
            <w:r>
              <w:t>Defines the initial thermodynamic state.</w:t>
            </w:r>
          </w:p>
        </w:tc>
      </w:tr>
      <w:tr w:rsidR="000F504F" w14:paraId="6C6A35B0" w14:textId="77777777">
        <w:tc>
          <w:tcPr>
            <w:tcW w:w="2640" w:type="dxa"/>
          </w:tcPr>
          <w:p w14:paraId="5210FDA8" w14:textId="77777777" w:rsidR="000F504F" w:rsidRDefault="00000000">
            <w:pPr>
              <w:pStyle w:val="Compact"/>
            </w:pPr>
            <w:r>
              <w:t>Boundary conditions</w:t>
            </w:r>
          </w:p>
        </w:tc>
        <w:tc>
          <w:tcPr>
            <w:tcW w:w="2640" w:type="dxa"/>
          </w:tcPr>
          <w:p w14:paraId="70E001ED" w14:textId="77777777" w:rsidR="000F504F" w:rsidRDefault="00000000">
            <w:pPr>
              <w:pStyle w:val="Compact"/>
            </w:pPr>
            <w:r>
              <w:t xml:space="preserve">break diameter, injection </w:t>
            </w:r>
            <w:r>
              <w:lastRenderedPageBreak/>
              <w:t>temperature, SG secondary temperature</w:t>
            </w:r>
          </w:p>
        </w:tc>
        <w:tc>
          <w:tcPr>
            <w:tcW w:w="2640" w:type="dxa"/>
          </w:tcPr>
          <w:p w14:paraId="5CB6D084" w14:textId="77777777" w:rsidR="000F504F" w:rsidRDefault="00000000">
            <w:pPr>
              <w:pStyle w:val="Compact"/>
            </w:pPr>
            <w:r>
              <w:lastRenderedPageBreak/>
              <w:t xml:space="preserve">Defines mass and energy </w:t>
            </w:r>
            <w:r>
              <w:lastRenderedPageBreak/>
              <w:t>exchange with the environment.</w:t>
            </w:r>
          </w:p>
        </w:tc>
      </w:tr>
      <w:tr w:rsidR="000F504F" w14:paraId="39283566" w14:textId="77777777">
        <w:tc>
          <w:tcPr>
            <w:tcW w:w="2640" w:type="dxa"/>
          </w:tcPr>
          <w:p w14:paraId="419A83B1" w14:textId="77777777" w:rsidR="000F504F" w:rsidRDefault="00000000">
            <w:pPr>
              <w:pStyle w:val="Compact"/>
            </w:pPr>
            <w:r>
              <w:t>Model flags</w:t>
            </w:r>
          </w:p>
        </w:tc>
        <w:tc>
          <w:tcPr>
            <w:tcW w:w="2640" w:type="dxa"/>
          </w:tcPr>
          <w:p w14:paraId="5FBB06B9" w14:textId="77777777" w:rsidR="000F504F" w:rsidRDefault="00000000">
            <w:pPr>
              <w:pStyle w:val="Compact"/>
            </w:pPr>
            <w:r>
              <w:rPr>
                <w:rStyle w:val="VerbatimChar"/>
              </w:rPr>
              <w:t>sg_table_flag</w:t>
            </w:r>
            <w:r>
              <w:t xml:space="preserve">, </w:t>
            </w:r>
            <w:r>
              <w:rPr>
                <w:rStyle w:val="VerbatimChar"/>
              </w:rPr>
              <w:t>pja_flag</w:t>
            </w:r>
            <w:r>
              <w:t xml:space="preserve">, </w:t>
            </w:r>
            <w:r>
              <w:rPr>
                <w:rStyle w:val="VerbatimChar"/>
              </w:rPr>
              <w:t>full_power_flag</w:t>
            </w:r>
          </w:p>
        </w:tc>
        <w:tc>
          <w:tcPr>
            <w:tcW w:w="2640" w:type="dxa"/>
          </w:tcPr>
          <w:p w14:paraId="24FDD6DA" w14:textId="77777777" w:rsidR="000F504F" w:rsidRDefault="00000000">
            <w:pPr>
              <w:pStyle w:val="Compact"/>
            </w:pPr>
            <w:r>
              <w:t>Selects closure models or calculation modes.</w:t>
            </w:r>
          </w:p>
        </w:tc>
      </w:tr>
      <w:tr w:rsidR="000F504F" w14:paraId="04728AE4" w14:textId="77777777">
        <w:tc>
          <w:tcPr>
            <w:tcW w:w="2640" w:type="dxa"/>
          </w:tcPr>
          <w:p w14:paraId="5695597A" w14:textId="77777777" w:rsidR="000F504F" w:rsidRDefault="00000000">
            <w:pPr>
              <w:pStyle w:val="Compact"/>
            </w:pPr>
            <w:r>
              <w:t>Numerical controls</w:t>
            </w:r>
          </w:p>
        </w:tc>
        <w:tc>
          <w:tcPr>
            <w:tcW w:w="2640" w:type="dxa"/>
          </w:tcPr>
          <w:p w14:paraId="3A968BD7" w14:textId="77777777" w:rsidR="000F504F" w:rsidRDefault="00000000">
            <w:pPr>
              <w:pStyle w:val="Compact"/>
            </w:pPr>
            <w:r>
              <w:t>time step, end time, output frequency</w:t>
            </w:r>
          </w:p>
        </w:tc>
        <w:tc>
          <w:tcPr>
            <w:tcW w:w="2640" w:type="dxa"/>
          </w:tcPr>
          <w:p w14:paraId="3C7F8DDF" w14:textId="77777777" w:rsidR="000F504F" w:rsidRDefault="00000000">
            <w:pPr>
              <w:pStyle w:val="Compact"/>
            </w:pPr>
            <w:r>
              <w:t>Defines integration and reporting behavior.</w:t>
            </w:r>
          </w:p>
        </w:tc>
      </w:tr>
    </w:tbl>
    <w:p w14:paraId="39470F5D" w14:textId="77777777" w:rsidR="000F504F" w:rsidRDefault="00000000">
      <w:pPr>
        <w:pStyle w:val="Heading2"/>
      </w:pPr>
      <w:bookmarkStart w:id="76" w:name="output-files"/>
      <w:bookmarkStart w:id="77" w:name="_Toc231205094"/>
      <w:bookmarkEnd w:id="74"/>
      <w:r>
        <w:t>7.3 Output Files</w:t>
      </w:r>
      <w:bookmarkEnd w:id="77"/>
    </w:p>
    <w:p w14:paraId="76254803" w14:textId="77777777" w:rsidR="000F504F" w:rsidRDefault="00000000">
      <w:pPr>
        <w:pStyle w:val="FirstParagraph"/>
      </w:pPr>
      <w:r>
        <w:t xml:space="preserve">FLARE writes a detailed Excel workbook and a CSV file for post-processing. The CSV output is intentionally flat, with one row per time step and one column per reported quantity. FLARECON writes a separate </w:t>
      </w:r>
      <w:r>
        <w:rPr>
          <w:rStyle w:val="VerbatimChar"/>
        </w:rPr>
        <w:t>CaseName-CON.csv</w:t>
      </w:r>
      <w:r>
        <w:t xml:space="preserve"> file. The Plant Analyzer and AI event narrative system read these CSV files directly.</w:t>
      </w:r>
    </w:p>
    <w:p w14:paraId="0F488425" w14:textId="77777777" w:rsidR="000F504F" w:rsidRDefault="00000000">
      <w:pPr>
        <w:pStyle w:val="Heading1"/>
      </w:pPr>
      <w:bookmarkStart w:id="78" w:name="chapter-8-uncertainty-analysis"/>
      <w:bookmarkStart w:id="79" w:name="_Toc231205095"/>
      <w:bookmarkEnd w:id="70"/>
      <w:bookmarkEnd w:id="76"/>
      <w:r>
        <w:t>Chapter 8 — Uncertainty Analysis</w:t>
      </w:r>
      <w:bookmarkEnd w:id="79"/>
    </w:p>
    <w:p w14:paraId="6C022607" w14:textId="77777777" w:rsidR="000F504F" w:rsidRDefault="00000000">
      <w:pPr>
        <w:pStyle w:val="Heading2"/>
      </w:pPr>
      <w:bookmarkStart w:id="80" w:name="role-of-uncertainty-analysis-in-flare"/>
      <w:bookmarkStart w:id="81" w:name="_Toc231205096"/>
      <w:r>
        <w:t>8.1 Role of Uncertainty Analysis in FLARE</w:t>
      </w:r>
      <w:bookmarkEnd w:id="81"/>
    </w:p>
    <w:p w14:paraId="2979C94A" w14:textId="77777777" w:rsidR="000F504F" w:rsidRDefault="00000000">
      <w:pPr>
        <w:pStyle w:val="FirstParagraph"/>
      </w:pPr>
      <w:r>
        <w:t>The FLARE uncertainty analysis capability is intended to support best-estimate plus uncertainty (BEPU) scoping calculations. A BEPU calculation differs from a conservative bounding calculation in that the nominal model is intended to represent the expected physical response, while important uncertain inputs are sampled explicitly and propagated through the model. The result is not a single deterministic transient, but a population of calculated transients from which statements about figures of merit can be made.</w:t>
      </w:r>
    </w:p>
    <w:p w14:paraId="402BE157" w14:textId="77777777" w:rsidR="000F504F" w:rsidRDefault="00000000">
      <w:pPr>
        <w:pStyle w:val="BodyText"/>
      </w:pPr>
      <w:r>
        <w:t>Let the uncertain input vector be denoted by</w:t>
      </w:r>
    </w:p>
    <w:p w14:paraId="6E70AF0E" w14:textId="77777777" w:rsidR="000F504F" w:rsidRDefault="00000000">
      <w:pPr>
        <w:pStyle w:val="BodyText"/>
      </w:pPr>
      <m:oMathPara>
        <m:oMathParaPr>
          <m:jc m:val="center"/>
        </m:oMathParaP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m:t>
              </m:r>
            </m:e>
          </m:d>
        </m:oMath>
      </m:oMathPara>
    </w:p>
    <w:p w14:paraId="73F88DDD" w14:textId="77777777" w:rsidR="000F504F" w:rsidRDefault="00000000">
      <w:pPr>
        <w:pStyle w:val="FirstParagraph"/>
      </w:pPr>
      <w:r>
        <w:t>where each component represents a model parameter, initial condition, boundary condition, or correlation multiplier. For a scalar figure of merit such as peak cladding temperature, maximum hot-pin ECR, peak containment pressure, or EAB dose, the calculation can be written abstractly as</w:t>
      </w:r>
    </w:p>
    <w:p w14:paraId="21675923" w14:textId="77777777" w:rsidR="000F504F"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m:t>
              </m:r>
            </m:e>
          </m:d>
        </m:oMath>
      </m:oMathPara>
    </w:p>
    <w:p w14:paraId="14D36551" w14:textId="77777777" w:rsidR="000F504F" w:rsidRDefault="00000000">
      <w:pPr>
        <w:pStyle w:val="FirstParagraph"/>
      </w:pPr>
      <w:r>
        <w:t xml:space="preserve">A Monte Carlo uncertainty analysis performs </w:t>
      </w:r>
      <m:oMath>
        <m:r>
          <w:rPr>
            <w:rFonts w:ascii="Cambria Math" w:hAnsi="Cambria Math"/>
          </w:rPr>
          <m:t>N</m:t>
        </m:r>
      </m:oMath>
      <w:r>
        <w:t xml:space="preserve"> statistically independent calculations,</w:t>
      </w:r>
    </w:p>
    <w:p w14:paraId="0CE280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m:t>
              </m:r>
            </m:e>
          </m:d>
        </m:oMath>
      </m:oMathPara>
    </w:p>
    <w:p w14:paraId="6867E764" w14:textId="77777777" w:rsidR="000F504F"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t xml:space="preserve"> is sampled from the joint uncertainty model. The usual sample statistics are useful diagnostic quantities,</w:t>
      </w:r>
    </w:p>
    <w:p w14:paraId="7524D911" w14:textId="77777777" w:rsidR="000F504F" w:rsidRDefault="00000000">
      <w:pPr>
        <w:pStyle w:val="BodyText"/>
      </w:pPr>
      <m:oMathPara>
        <m:oMathParaPr>
          <m:jc m:val="center"/>
        </m:oMathParaP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8.4</m:t>
              </m:r>
            </m:e>
          </m:d>
        </m:oMath>
      </m:oMathPara>
    </w:p>
    <w:p w14:paraId="21A8570A" w14:textId="77777777" w:rsidR="000F504F" w:rsidRDefault="00000000">
      <w:pPr>
        <w:pStyle w:val="FirstParagraph"/>
      </w:pPr>
      <w:r>
        <w:t>and</w:t>
      </w:r>
    </w:p>
    <w:p w14:paraId="521FE9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8.5</m:t>
              </m:r>
            </m:e>
          </m:d>
        </m:oMath>
      </m:oMathPara>
    </w:p>
    <w:p w14:paraId="2D5A69FF" w14:textId="77777777" w:rsidR="000F504F" w:rsidRDefault="00000000">
      <w:pPr>
        <w:pStyle w:val="FirstParagraph"/>
      </w:pPr>
      <w:r>
        <w:lastRenderedPageBreak/>
        <w:t>However, for licensing-style BEPU calculations the mean and standard deviation are not the principal acceptance quantities. Regulatory acceptance questions are normally posed in terms of whether calculated safety metrics remain below prescribed limits with a high level of probability. For that purpose, FLARE emphasizes non-parametric order statistics, commonly referred to in the nuclear safety analysis community as the Wilks method.</w:t>
      </w:r>
    </w:p>
    <w:p w14:paraId="00A11868" w14:textId="77777777" w:rsidR="000F504F" w:rsidRDefault="00000000">
      <w:pPr>
        <w:pStyle w:val="Heading2"/>
      </w:pPr>
      <w:bookmarkStart w:id="82" w:name="sampling-of-input-uncertainties"/>
      <w:bookmarkStart w:id="83" w:name="_Toc231205097"/>
      <w:bookmarkEnd w:id="80"/>
      <w:r>
        <w:t>8.2 Sampling of Input Uncertainties</w:t>
      </w:r>
      <w:bookmarkEnd w:id="83"/>
    </w:p>
    <w:p w14:paraId="3F320D2C" w14:textId="77777777" w:rsidR="000F504F" w:rsidRDefault="00000000">
      <w:pPr>
        <w:pStyle w:val="FirstParagraph"/>
      </w:pPr>
      <w:r>
        <w:t xml:space="preserve">FLARE treats each sampled input as a realization of a prescribed distribution. For a uniform distribution on </w:t>
      </w:r>
      <m:oMath>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the sampled value is</w:t>
      </w:r>
    </w:p>
    <w:p w14:paraId="7E301E15"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w:rPr>
              <w:rFonts w:ascii="Cambria Math" w:hAnsi="Cambria Math"/>
            </w:rPr>
            <m:t>ξ</m:t>
          </m:r>
          <m:r>
            <m:rPr>
              <m:sty m:val="p"/>
            </m:rPr>
            <w:rPr>
              <w:rFonts w:ascii="Cambria Math" w:hAnsi="Cambria Math"/>
            </w:rPr>
            <m:t>,</m:t>
          </m:r>
          <m:r>
            <w:rPr>
              <w:rFonts w:ascii="Cambria Math" w:hAnsi="Cambria Math"/>
            </w:rPr>
            <m:t>  ξ</m:t>
          </m:r>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8.6</m:t>
              </m:r>
            </m:e>
          </m:d>
        </m:oMath>
      </m:oMathPara>
    </w:p>
    <w:p w14:paraId="16FF13C7" w14:textId="77777777" w:rsidR="000F504F" w:rsidRDefault="00000000">
      <w:pPr>
        <w:pStyle w:val="FirstParagraph"/>
      </w:pPr>
      <w:r>
        <w:t xml:space="preserve">For a normal distribution with mean </w:t>
      </w:r>
      <m:oMath>
        <m:r>
          <w:rPr>
            <w:rFonts w:ascii="Cambria Math" w:hAnsi="Cambria Math"/>
          </w:rPr>
          <m:t>μ</m:t>
        </m:r>
      </m:oMath>
      <w:r>
        <w:t xml:space="preserve"> and standard deviation </w:t>
      </w:r>
      <m:oMath>
        <m:r>
          <w:rPr>
            <w:rFonts w:ascii="Cambria Math" w:hAnsi="Cambria Math"/>
          </w:rPr>
          <m:t>σ</m:t>
        </m:r>
      </m:oMath>
      <w:r>
        <w:t>, the sampled value is</w:t>
      </w:r>
    </w:p>
    <w:p w14:paraId="52A66E6B"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σz</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8.7</m:t>
              </m:r>
            </m:e>
          </m:d>
        </m:oMath>
      </m:oMathPara>
    </w:p>
    <w:p w14:paraId="55E6D064" w14:textId="77777777" w:rsidR="000F504F" w:rsidRDefault="00000000">
      <w:pPr>
        <w:pStyle w:val="FirstParagraph"/>
      </w:pPr>
      <w:r>
        <w:t xml:space="preserve">The complete sampled input vector for case </w:t>
      </w:r>
      <m:oMath>
        <m:r>
          <w:rPr>
            <w:rFonts w:ascii="Cambria Math" w:hAnsi="Cambria Math"/>
          </w:rPr>
          <m:t>i</m:t>
        </m:r>
      </m:oMath>
      <w:r>
        <w:t xml:space="preserve"> is therefore</w:t>
      </w:r>
    </w:p>
    <w:p w14:paraId="12D57E26"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8.8</m:t>
              </m:r>
            </m:e>
          </m:d>
        </m:oMath>
      </m:oMathPara>
    </w:p>
    <w:p w14:paraId="235527E9" w14:textId="77777777" w:rsidR="000F504F" w:rsidRDefault="00000000">
      <w:pPr>
        <w:pStyle w:val="FirstParagraph"/>
      </w:pPr>
      <w:r>
        <w:t xml:space="preserve">For the Wilks method to have its stated non-parametric interpretation, the </w:t>
      </w:r>
      <m:oMath>
        <m:r>
          <w:rPr>
            <w:rFonts w:ascii="Cambria Math" w:hAnsi="Cambria Math"/>
          </w:rPr>
          <m:t>N</m:t>
        </m:r>
      </m:oMath>
      <w:r>
        <w:t xml:space="preserve"> output samples must be independent realizations drawn from the same parent population. In practical FLARE applications, this means that the sampling catalogue, input deck, model options, timestep controls, and post-processing definitions must remain fixed across all realizations of a given uncertainty analysis. Changing the model during the run invalidates the assumption that all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samples from the same output population.</w:t>
      </w:r>
    </w:p>
    <w:p w14:paraId="14E8E0A7" w14:textId="77777777" w:rsidR="000F504F" w:rsidRDefault="00000000">
      <w:pPr>
        <w:pStyle w:val="BodyText"/>
      </w:pPr>
      <w:r>
        <w:t>The uncertainty model should distinguish aleatory variation from epistemic uncertainty. Aleatory variability represents case-to-case variability that is naturally sampled. Epistemic uncertainty represents imperfect knowledge of model parameters, correlations, plant state, or model form. In BEPU practice, epistemic uncertainties are often represented by probability distributions for the purpose of propagation, but the credibility of the result depends on the technical basis for those distributions. A Wilks calculation is only as meaningful as the uncertainty model being sampled.</w:t>
      </w:r>
    </w:p>
    <w:p w14:paraId="44FF1353" w14:textId="77777777" w:rsidR="000F504F" w:rsidRDefault="00000000">
      <w:pPr>
        <w:pStyle w:val="Heading2"/>
      </w:pPr>
      <w:bookmarkStart w:id="84" w:name="X141fc3f8f6ba7e6d80e377549d38c14a72e7762"/>
      <w:bookmarkStart w:id="85" w:name="_Toc231205098"/>
      <w:bookmarkEnd w:id="82"/>
      <w:r>
        <w:t>8.3 Order Statistics and the One-Sided Tolerance Limit</w:t>
      </w:r>
      <w:bookmarkEnd w:id="85"/>
    </w:p>
    <w:p w14:paraId="08953AE3" w14:textId="77777777" w:rsidR="000F504F" w:rsidRDefault="00000000">
      <w:pPr>
        <w:pStyle w:val="FirstParagraph"/>
      </w:pPr>
      <w:r>
        <w:t xml:space="preserve">Let </w:t>
      </w:r>
      <m:oMath>
        <m:r>
          <w:rPr>
            <w:rFonts w:ascii="Cambria Math" w:hAnsi="Cambria Math"/>
          </w:rPr>
          <m:t>Y</m:t>
        </m:r>
      </m:oMath>
      <w:r>
        <w:t xml:space="preserve"> be a scalar output with unknown cumulative distribution function </w:t>
      </w:r>
      <m:oMath>
        <m:r>
          <w:rPr>
            <w:rFonts w:ascii="Cambria Math" w:hAnsi="Cambria Math"/>
          </w:rPr>
          <m:t>F</m:t>
        </m:r>
        <m:d>
          <m:dPr>
            <m:ctrlPr>
              <w:rPr>
                <w:rFonts w:ascii="Cambria Math" w:hAnsi="Cambria Math"/>
              </w:rPr>
            </m:ctrlPr>
          </m:dPr>
          <m:e>
            <m:r>
              <w:rPr>
                <w:rFonts w:ascii="Cambria Math" w:hAnsi="Cambria Math"/>
              </w:rPr>
              <m:t>y</m:t>
            </m:r>
          </m:e>
        </m:d>
      </m:oMath>
      <w:r>
        <w:t>. The Monte Carlo results are sorted from smallest to largest,</w:t>
      </w:r>
    </w:p>
    <w:p w14:paraId="6000C0D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8.9</m:t>
              </m:r>
            </m:e>
          </m:d>
        </m:oMath>
      </m:oMathPara>
    </w:p>
    <w:p w14:paraId="17F423E0" w14:textId="77777777" w:rsidR="000F504F" w:rsidRDefault="00000000">
      <w:pPr>
        <w:pStyle w:val="FirstParagraph"/>
      </w:pPr>
      <w:r>
        <w:t xml:space="preserve">The quantity </w:t>
      </w: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k</m:t>
                </m:r>
              </m:e>
            </m:d>
          </m:sub>
        </m:sSub>
      </m:oMath>
      <w:r>
        <w:t xml:space="preserve"> is the </w:t>
      </w:r>
      <m:oMath>
        <m:r>
          <w:rPr>
            <w:rFonts w:ascii="Cambria Math" w:hAnsi="Cambria Math"/>
          </w:rPr>
          <m:t>k</m:t>
        </m:r>
      </m:oMath>
      <w:r>
        <w:t xml:space="preserve">-th order statistic. For safety variables where larger values are more limiting, the upper tolerance limit is taken from the upper end of the sorted sample. It is convenient to define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where </w:t>
      </w:r>
      <m:oMath>
        <m:r>
          <w:rPr>
            <w:rFonts w:ascii="Cambria Math" w:hAnsi="Cambria Math"/>
          </w:rPr>
          <m:t>m</m:t>
        </m:r>
        <m:r>
          <m:rPr>
            <m:sty m:val="p"/>
          </m:rPr>
          <w:rPr>
            <w:rFonts w:ascii="Cambria Math" w:hAnsi="Cambria Math"/>
          </w:rPr>
          <m:t>=</m:t>
        </m:r>
        <m:r>
          <w:rPr>
            <w:rFonts w:ascii="Cambria Math" w:hAnsi="Cambria Math"/>
          </w:rPr>
          <m:t>1</m:t>
        </m:r>
      </m:oMath>
      <w:r>
        <w:t xml:space="preserve"> corresponds to the maximum value, </w:t>
      </w:r>
      <m:oMath>
        <m:r>
          <w:rPr>
            <w:rFonts w:ascii="Cambria Math" w:hAnsi="Cambria Math"/>
          </w:rPr>
          <m:t>m</m:t>
        </m:r>
        <m:r>
          <m:rPr>
            <m:sty m:val="p"/>
          </m:rPr>
          <w:rPr>
            <w:rFonts w:ascii="Cambria Math" w:hAnsi="Cambria Math"/>
          </w:rPr>
          <m:t>=</m:t>
        </m:r>
        <m:r>
          <w:rPr>
            <w:rFonts w:ascii="Cambria Math" w:hAnsi="Cambria Math"/>
          </w:rPr>
          <m:t>2</m:t>
        </m:r>
      </m:oMath>
      <w:r>
        <w:t xml:space="preserve"> corresponds to the second largest value, and so forth.</w:t>
      </w:r>
    </w:p>
    <w:p w14:paraId="0C10FB54" w14:textId="77777777" w:rsidR="000F504F" w:rsidRDefault="00000000">
      <w:pPr>
        <w:pStyle w:val="BodyText"/>
      </w:pPr>
      <w:r>
        <w:t xml:space="preserve">The coverage of a candidate tolerance limit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is the fraction of the parent population below that value:</w:t>
      </w:r>
    </w:p>
    <w:p w14:paraId="02868CC7" w14:textId="77777777" w:rsidR="000F504F" w:rsidRDefault="00000000">
      <w:pPr>
        <w:pStyle w:val="BodyText"/>
      </w:pPr>
      <m:oMathPara>
        <m:oMathParaPr>
          <m:jc m:val="center"/>
        </m:oMathParaPr>
        <m:oMath>
          <m:r>
            <w:rPr>
              <w:rFonts w:ascii="Cambria Math" w:hAnsi="Cambria Math"/>
            </w:rPr>
            <m:t>γ</m:t>
          </m:r>
          <m:r>
            <m:rPr>
              <m:sty m:val="p"/>
            </m:rPr>
            <w:rPr>
              <w:rFonts w:ascii="Cambria Math" w:hAnsi="Cambria Math"/>
            </w:rPr>
            <m:t>=</m:t>
          </m:r>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8.10</m:t>
              </m:r>
            </m:e>
          </m:d>
        </m:oMath>
      </m:oMathPara>
    </w:p>
    <w:p w14:paraId="7ED357CD" w14:textId="77777777" w:rsidR="000F504F" w:rsidRDefault="00000000">
      <w:pPr>
        <w:pStyle w:val="FirstParagraph"/>
      </w:pPr>
      <w:r>
        <w:t xml:space="preserve">A one-sided tolerance statement asks for the probability that the selected order statistic exceeds at least a specified coverage </w:t>
      </w:r>
      <m:oMath>
        <m:r>
          <w:rPr>
            <w:rFonts w:ascii="Cambria Math" w:hAnsi="Cambria Math"/>
          </w:rPr>
          <m:t>γ</m:t>
        </m:r>
      </m:oMath>
      <w:r>
        <w:t xml:space="preserve"> of the parent population:</w:t>
      </w:r>
    </w:p>
    <w:p w14:paraId="0CDC4572" w14:textId="77777777" w:rsidR="000F504F" w:rsidRDefault="00000000">
      <w:pPr>
        <w:pStyle w:val="BodyText"/>
      </w:pPr>
      <m:oMathPara>
        <m:oMathParaPr>
          <m:jc m:val="center"/>
        </m:oMathParaPr>
        <m:oMath>
          <m:r>
            <w:rPr>
              <w:rFonts w:ascii="Cambria Math" w:hAnsi="Cambria Math"/>
            </w:rPr>
            <m:t>P</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sub>
                  </m:sSub>
                </m:e>
              </m:d>
              <m:r>
                <m:rPr>
                  <m:sty m:val="p"/>
                </m:rPr>
                <w:rPr>
                  <w:rFonts w:ascii="Cambria Math" w:hAnsi="Cambria Math"/>
                </w:rPr>
                <m:t>&gt;</m:t>
              </m:r>
              <m:r>
                <w:rPr>
                  <w:rFonts w:ascii="Cambria Math" w:hAnsi="Cambria Math"/>
                </w:rPr>
                <m:t>γ</m:t>
              </m:r>
            </m:e>
          </m:d>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8.11</m:t>
              </m:r>
            </m:e>
          </m:d>
        </m:oMath>
      </m:oMathPara>
    </w:p>
    <w:p w14:paraId="7960D517" w14:textId="77777777" w:rsidR="000F504F" w:rsidRDefault="00000000">
      <w:pPr>
        <w:pStyle w:val="FirstParagraph"/>
      </w:pPr>
      <w:r>
        <w:t xml:space="preserve">Here </w:t>
      </w:r>
      <m:oMath>
        <m:r>
          <w:rPr>
            <w:rFonts w:ascii="Cambria Math" w:hAnsi="Cambria Math"/>
          </w:rPr>
          <m:t>γ</m:t>
        </m:r>
      </m:oMath>
      <w:r>
        <w:t xml:space="preserve"> is the population coverage and </w:t>
      </w:r>
      <m:oMath>
        <m:r>
          <w:rPr>
            <w:rFonts w:ascii="Cambria Math" w:hAnsi="Cambria Math"/>
          </w:rPr>
          <m:t>β</m:t>
        </m:r>
      </m:oMath>
      <w:r>
        <w:t xml:space="preserve"> is the confidence. The familiar ``95/95’’ statement means that at least 95 percent of the output population is bounded with 95 percent confidence.</w:t>
      </w:r>
    </w:p>
    <w:p w14:paraId="12DBD9C8" w14:textId="77777777" w:rsidR="000F504F" w:rsidRDefault="00000000">
      <w:pPr>
        <w:pStyle w:val="BodyText"/>
      </w:pPr>
      <w:r>
        <w:t xml:space="preserve">For the </w:t>
      </w:r>
      <m:oMath>
        <m:r>
          <w:rPr>
            <w:rFonts w:ascii="Cambria Math" w:hAnsi="Cambria Math"/>
          </w:rPr>
          <m:t>m</m:t>
        </m:r>
      </m:oMath>
      <w:r>
        <w:t xml:space="preserve">-th largest result from </w:t>
      </w:r>
      <m:oMath>
        <m:r>
          <w:rPr>
            <w:rFonts w:ascii="Cambria Math" w:hAnsi="Cambria Math"/>
          </w:rPr>
          <m:t>N</m:t>
        </m:r>
      </m:oMath>
      <w:r>
        <w:t xml:space="preserve"> independent samples, the confidence is</w:t>
      </w:r>
    </w:p>
    <w:p w14:paraId="173E7C0A" w14:textId="77777777" w:rsidR="000F504F" w:rsidRDefault="00000000">
      <w:pPr>
        <w:pStyle w:val="BodyText"/>
      </w:pPr>
      <m:oMathPara>
        <m:oMathParaPr>
          <m:jc m:val="center"/>
        </m:oMathParaPr>
        <m:oMath>
          <m:r>
            <w:rPr>
              <w:rFonts w:ascii="Cambria Math" w:hAnsi="Cambria Math"/>
            </w:rPr>
            <w:lastRenderedPageBreak/>
            <m:t>β</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r>
                <w:rPr>
                  <w:rFonts w:ascii="Cambria Math" w:hAnsi="Cambria Math"/>
                </w:rPr>
                <m:t>γ</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8.12</m:t>
              </m:r>
            </m:e>
          </m:d>
        </m:oMath>
      </m:oMathPara>
    </w:p>
    <w:p w14:paraId="53294FD1" w14:textId="77777777" w:rsidR="000F504F" w:rsidRDefault="00000000">
      <w:pPr>
        <w:pStyle w:val="FirstParagraph"/>
      </w:pPr>
      <w:r>
        <w:t>Equivalently, the confidence can be written in terms of the incomplete beta function ratio as</w:t>
      </w:r>
    </w:p>
    <w:p w14:paraId="72E7EA0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γ</m:t>
              </m:r>
            </m:sub>
          </m:sSub>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8.13</m:t>
              </m:r>
            </m:e>
          </m:d>
        </m:oMath>
      </m:oMathPara>
    </w:p>
    <w:p w14:paraId="4609037A" w14:textId="77777777" w:rsidR="000F504F" w:rsidRDefault="00000000">
      <w:pPr>
        <w:pStyle w:val="FirstParagraph"/>
      </w:pPr>
      <w:r>
        <w:t xml:space="preserve">Equations (8.12) and (8.13) are distribution-free. They do not require the analyst to know whether </w:t>
      </w:r>
      <m:oMath>
        <m:r>
          <w:rPr>
            <w:rFonts w:ascii="Cambria Math" w:hAnsi="Cambria Math"/>
          </w:rPr>
          <m:t>Y</m:t>
        </m:r>
      </m:oMath>
      <w:r>
        <w:t xml:space="preserve"> is normal, lognormal, skewed, bounded, or multimodal. The price paid for this generality is that the method requires independent random sampling and provides a tolerance statement rather than a fitted distribution.</w:t>
      </w:r>
    </w:p>
    <w:p w14:paraId="62D7345D" w14:textId="77777777" w:rsidR="000F504F" w:rsidRDefault="00000000">
      <w:pPr>
        <w:pStyle w:val="Heading2"/>
      </w:pPr>
      <w:bookmarkStart w:id="86" w:name="first-order-wilks-formula"/>
      <w:bookmarkStart w:id="87" w:name="_Toc231205099"/>
      <w:bookmarkEnd w:id="84"/>
      <w:r>
        <w:t>8.4 First-Order Wilks Formula</w:t>
      </w:r>
      <w:bookmarkEnd w:id="87"/>
    </w:p>
    <w:p w14:paraId="7500B3D7" w14:textId="77777777" w:rsidR="000F504F" w:rsidRDefault="00000000">
      <w:pPr>
        <w:pStyle w:val="FirstParagraph"/>
      </w:pPr>
      <w:r>
        <w:t xml:space="preserve">The most common nuclear-safety application is the first-order one-sided Wilks method, where the maximum observed value is used as the tolerance limit. Setting </w:t>
      </w:r>
      <m:oMath>
        <m:r>
          <w:rPr>
            <w:rFonts w:ascii="Cambria Math" w:hAnsi="Cambria Math"/>
          </w:rPr>
          <m:t>m</m:t>
        </m:r>
        <m:r>
          <m:rPr>
            <m:sty m:val="p"/>
          </m:rPr>
          <w:rPr>
            <w:rFonts w:ascii="Cambria Math" w:hAnsi="Cambria Math"/>
          </w:rPr>
          <m:t>=</m:t>
        </m:r>
        <m:r>
          <w:rPr>
            <w:rFonts w:ascii="Cambria Math" w:hAnsi="Cambria Math"/>
          </w:rPr>
          <m:t>1</m:t>
        </m:r>
      </m:oMath>
      <w:r>
        <w:t xml:space="preserve"> in Eq. (8.12) gives</w:t>
      </w:r>
    </w:p>
    <w:p w14:paraId="37003A1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8.14</m:t>
              </m:r>
            </m:e>
          </m:d>
        </m:oMath>
      </m:oMathPara>
    </w:p>
    <w:p w14:paraId="1EC05480" w14:textId="77777777" w:rsidR="000F504F" w:rsidRDefault="00000000">
      <w:pPr>
        <w:pStyle w:val="FirstParagraph"/>
      </w:pPr>
      <w:r>
        <w:t xml:space="preserve">Solving for </w:t>
      </w:r>
      <m:oMath>
        <m:r>
          <w:rPr>
            <w:rFonts w:ascii="Cambria Math" w:hAnsi="Cambria Math"/>
          </w:rPr>
          <m:t>N</m:t>
        </m:r>
      </m:oMath>
      <w:r>
        <w:t xml:space="preserve"> gives</w:t>
      </w:r>
    </w:p>
    <w:p w14:paraId="5376806D"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β</m:t>
                  </m:r>
                </m:e>
              </m:d>
            </m:num>
            <m:den>
              <m:r>
                <m:rPr>
                  <m:sty m:val="p"/>
                </m:rPr>
                <w:rPr>
                  <w:rFonts w:ascii="Cambria Math" w:hAnsi="Cambria Math"/>
                </w:rPr>
                <m:t>ln</m:t>
              </m:r>
              <m:d>
                <m:dPr>
                  <m:ctrlPr>
                    <w:rPr>
                      <w:rFonts w:ascii="Cambria Math" w:hAnsi="Cambria Math"/>
                    </w:rPr>
                  </m:ctrlPr>
                </m:dPr>
                <m:e>
                  <m:r>
                    <w:rPr>
                      <w:rFonts w:ascii="Cambria Math" w:hAnsi="Cambria Math"/>
                    </w:rPr>
                    <m:t>γ</m:t>
                  </m:r>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8.15</m:t>
              </m:r>
            </m:e>
          </m:d>
        </m:oMath>
      </m:oMathPara>
    </w:p>
    <w:p w14:paraId="0429ABD8" w14:textId="77777777" w:rsidR="000F504F" w:rsidRDefault="00000000">
      <w:pPr>
        <w:pStyle w:val="FirstParagraph"/>
      </w:pPr>
      <w:r>
        <w:t>For a 95/95 tolerance limit,</w:t>
      </w:r>
    </w:p>
    <w:p w14:paraId="4DB23391"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0.05</m:t>
                  </m:r>
                </m:e>
              </m:d>
            </m:num>
            <m:den>
              <m:r>
                <m:rPr>
                  <m:sty m:val="p"/>
                </m:rPr>
                <w:rPr>
                  <w:rFonts w:ascii="Cambria Math" w:hAnsi="Cambria Math"/>
                </w:rPr>
                <m:t>ln</m:t>
              </m:r>
              <m:d>
                <m:dPr>
                  <m:ctrlPr>
                    <w:rPr>
                      <w:rFonts w:ascii="Cambria Math" w:hAnsi="Cambria Math"/>
                    </w:rPr>
                  </m:ctrlPr>
                </m:dPr>
                <m:e>
                  <m:r>
                    <w:rPr>
                      <w:rFonts w:ascii="Cambria Math" w:hAnsi="Cambria Math"/>
                    </w:rPr>
                    <m:t>0.95</m:t>
                  </m:r>
                </m:e>
              </m:d>
            </m:den>
          </m:f>
          <m:r>
            <m:rPr>
              <m:sty m:val="p"/>
            </m:rPr>
            <w:rPr>
              <w:rFonts w:ascii="Cambria Math" w:hAnsi="Cambria Math"/>
            </w:rPr>
            <m:t>=</m:t>
          </m:r>
          <m:r>
            <w:rPr>
              <w:rFonts w:ascii="Cambria Math" w:hAnsi="Cambria Math"/>
            </w:rPr>
            <m:t>58.4</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8.16</m:t>
              </m:r>
            </m:e>
          </m:d>
        </m:oMath>
      </m:oMathPara>
    </w:p>
    <w:p w14:paraId="4871210F" w14:textId="77777777" w:rsidR="000F504F" w:rsidRDefault="00000000">
      <w:pPr>
        <w:pStyle w:val="FirstParagraph"/>
      </w:pPr>
      <w:r>
        <w:t>Rounding upward gives the familiar requirement</w:t>
      </w:r>
    </w:p>
    <w:p w14:paraId="370E1F0E"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8.17</m:t>
              </m:r>
            </m:e>
          </m:d>
        </m:oMath>
      </m:oMathPara>
    </w:p>
    <w:p w14:paraId="33CA376D" w14:textId="77777777" w:rsidR="000F504F" w:rsidRDefault="00000000">
      <w:pPr>
        <w:pStyle w:val="FirstParagraph"/>
      </w:pPr>
      <w:r>
        <w:t>Thus, if 59 independent FLARE calculations are performed and the largest calculated value of a scalar output is reported, that value is a one-sided 95/95 upper tolerance limit for that output. For peak cladding temperature, the estimator is</w:t>
      </w:r>
    </w:p>
    <w:p w14:paraId="6FBD142E"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95</m:t>
              </m:r>
              <m:r>
                <m:rPr>
                  <m:sty m:val="p"/>
                </m:rPr>
                <w:rPr>
                  <w:rFonts w:ascii="Cambria Math" w:hAnsi="Cambria Math"/>
                </w:rPr>
                <m:t>/</m:t>
              </m:r>
              <m:r>
                <w:rPr>
                  <w:rFonts w:ascii="Cambria Math" w:hAnsi="Cambria Math"/>
                </w:rPr>
                <m:t>95</m:t>
              </m:r>
            </m:sub>
          </m:sSub>
          <m:r>
            <m:rPr>
              <m:sty m:val="p"/>
            </m:rPr>
            <w:rPr>
              <w:rFonts w:ascii="Cambria Math" w:hAnsi="Cambria Math"/>
            </w:rPr>
            <m:t>=max</m:t>
          </m:r>
          <m:d>
            <m:dPr>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59</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8.18</m:t>
              </m:r>
            </m:e>
          </m:d>
        </m:oMath>
      </m:oMathPara>
    </w:p>
    <w:p w14:paraId="43BC22C5" w14:textId="77777777" w:rsidR="000F504F" w:rsidRDefault="00000000">
      <w:pPr>
        <w:pStyle w:val="FirstParagraph"/>
      </w:pPr>
      <w:r>
        <w:t>For a lower-bound acceptance variable, the analogous estimator would be the minimum observed value. FLARE’s principal accident-analysis metrics are normally upper-bound metrics, so the default reporting logic focuses on maxima and upper percentiles.</w:t>
      </w:r>
    </w:p>
    <w:p w14:paraId="238EB55D" w14:textId="77777777" w:rsidR="000F504F" w:rsidRDefault="00000000">
      <w:pPr>
        <w:pStyle w:val="Heading2"/>
      </w:pPr>
      <w:bookmarkStart w:id="88" w:name="higher-order-wilks-estimates"/>
      <w:bookmarkStart w:id="89" w:name="_Toc231205100"/>
      <w:bookmarkEnd w:id="86"/>
      <w:r>
        <w:t>8.5 Higher-Order Wilks Estimates</w:t>
      </w:r>
      <w:bookmarkEnd w:id="89"/>
    </w:p>
    <w:p w14:paraId="34D06370" w14:textId="77777777" w:rsidR="000F504F" w:rsidRDefault="00000000">
      <w:pPr>
        <w:pStyle w:val="FirstParagraph"/>
      </w:pPr>
      <w:r>
        <w:t>First-order Wilks is simple and robust, but it is sensitive to outliers because the tolerance limit is the single most limiting sampled case. Higher-order methods reduce this sensitivity by selecting the second, third, or later largest result, while increasing the required sample size to preserve the same coverage and confidence.</w:t>
      </w:r>
    </w:p>
    <w:p w14:paraId="3983916F" w14:textId="77777777" w:rsidR="000F504F" w:rsidRDefault="00000000">
      <w:pPr>
        <w:pStyle w:val="BodyText"/>
      </w:pPr>
      <w:r>
        <w:t xml:space="preserve">For </w:t>
      </w:r>
      <m:oMath>
        <m:r>
          <w:rPr>
            <w:rFonts w:ascii="Cambria Math" w:hAnsi="Cambria Math"/>
          </w:rPr>
          <m:t>m</m:t>
        </m:r>
        <m:r>
          <m:rPr>
            <m:sty m:val="p"/>
          </m:rPr>
          <w:rPr>
            <w:rFonts w:ascii="Cambria Math" w:hAnsi="Cambria Math"/>
          </w:rPr>
          <m:t>=</m:t>
        </m:r>
        <m:r>
          <w:rPr>
            <w:rFonts w:ascii="Cambria Math" w:hAnsi="Cambria Math"/>
          </w:rPr>
          <m:t>2</m:t>
        </m:r>
      </m:oMath>
      <w:r>
        <w:t>, Eq. (8.12) becomes</w:t>
      </w:r>
    </w:p>
    <w:p w14:paraId="076F2FB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p>
            <m:sSupPr>
              <m:ctrlPr>
                <w:rPr>
                  <w:rFonts w:ascii="Cambria Math" w:hAnsi="Cambria Math"/>
                </w:rPr>
              </m:ctrlPr>
            </m:sSupPr>
            <m:e>
              <m:r>
                <w:rPr>
                  <w:rFonts w:ascii="Cambria Math" w:hAnsi="Cambria Math"/>
                </w:rPr>
                <m:t>γ</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8.19</m:t>
              </m:r>
            </m:e>
          </m:d>
        </m:oMath>
      </m:oMathPara>
    </w:p>
    <w:p w14:paraId="4F8516AD" w14:textId="77777777" w:rsidR="000F504F" w:rsidRDefault="00000000">
      <w:pPr>
        <w:pStyle w:val="FirstParagraph"/>
      </w:pPr>
      <w:r>
        <w:t xml:space="preserve">For </w:t>
      </w:r>
      <m:oMath>
        <m:r>
          <w:rPr>
            <w:rFonts w:ascii="Cambria Math" w:hAnsi="Cambria Math"/>
          </w:rPr>
          <m:t>γ</m:t>
        </m:r>
        <m:r>
          <m:rPr>
            <m:sty m:val="p"/>
          </m:rPr>
          <w:rPr>
            <w:rFonts w:ascii="Cambria Math" w:hAnsi="Cambria Math"/>
          </w:rPr>
          <m:t>=</m:t>
        </m:r>
        <m:r>
          <w:rPr>
            <w:rFonts w:ascii="Cambria Math" w:hAnsi="Cambria Math"/>
          </w:rPr>
          <m:t>0.95</m:t>
        </m:r>
      </m:oMath>
      <w:r>
        <w:t xml:space="preserve"> and </w:t>
      </w:r>
      <m:oMath>
        <m:r>
          <w:rPr>
            <w:rFonts w:ascii="Cambria Math" w:hAnsi="Cambria Math"/>
          </w:rPr>
          <m:t>β</m:t>
        </m:r>
        <m:r>
          <m:rPr>
            <m:sty m:val="p"/>
          </m:rPr>
          <w:rPr>
            <w:rFonts w:ascii="Cambria Math" w:hAnsi="Cambria Math"/>
          </w:rPr>
          <m:t>=</m:t>
        </m:r>
        <m:r>
          <w:rPr>
            <w:rFonts w:ascii="Cambria Math" w:hAnsi="Cambria Math"/>
          </w:rPr>
          <m:t>0.95</m:t>
        </m:r>
      </m:oMath>
      <w:r>
        <w:t xml:space="preserve">, the required sample size is </w:t>
      </w:r>
      <m:oMath>
        <m:r>
          <w:rPr>
            <w:rFonts w:ascii="Cambria Math" w:hAnsi="Cambria Math"/>
          </w:rPr>
          <m:t>N</m:t>
        </m:r>
        <m:r>
          <m:rPr>
            <m:sty m:val="p"/>
          </m:rPr>
          <w:rPr>
            <w:rFonts w:ascii="Cambria Math" w:hAnsi="Cambria Math"/>
          </w:rPr>
          <m:t>=</m:t>
        </m:r>
        <m:r>
          <w:rPr>
            <w:rFonts w:ascii="Cambria Math" w:hAnsi="Cambria Math"/>
          </w:rPr>
          <m:t>93</m:t>
        </m:r>
      </m:oMath>
      <w:r>
        <w:t>. The second largest result from 93 calculations is therefore a one-sided 95/95 upper tolerance limit. Continuing this procedure gives the common sequence in Table 8-1.</w:t>
      </w:r>
    </w:p>
    <w:tbl>
      <w:tblPr>
        <w:tblStyle w:val="Table"/>
        <w:tblW w:w="5000" w:type="pct"/>
        <w:tblLayout w:type="fixed"/>
        <w:tblLook w:val="0020" w:firstRow="1" w:lastRow="0" w:firstColumn="0" w:lastColumn="0" w:noHBand="0" w:noVBand="0"/>
      </w:tblPr>
      <w:tblGrid>
        <w:gridCol w:w="2668"/>
        <w:gridCol w:w="2669"/>
        <w:gridCol w:w="2669"/>
        <w:gridCol w:w="2002"/>
      </w:tblGrid>
      <w:tr w:rsidR="000F504F" w14:paraId="65FF7AC8"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112" w:type="dxa"/>
          </w:tcPr>
          <w:p w14:paraId="3FC3DD57" w14:textId="77777777" w:rsidR="000F504F" w:rsidRDefault="00000000">
            <w:pPr>
              <w:pStyle w:val="Compact"/>
              <w:jc w:val="right"/>
            </w:pPr>
            <w:r>
              <w:lastRenderedPageBreak/>
              <w:t>Selected order statistic</w:t>
            </w:r>
          </w:p>
        </w:tc>
        <w:tc>
          <w:tcPr>
            <w:tcW w:w="2112" w:type="dxa"/>
          </w:tcPr>
          <w:p w14:paraId="580F1B0F" w14:textId="77777777" w:rsidR="000F504F" w:rsidRDefault="00000000">
            <w:pPr>
              <w:pStyle w:val="Compact"/>
              <w:jc w:val="right"/>
            </w:pPr>
            <m:oMathPara>
              <m:oMath>
                <m:r>
                  <w:rPr>
                    <w:rFonts w:ascii="Cambria Math" w:hAnsi="Cambria Math"/>
                  </w:rPr>
                  <m:t>m</m:t>
                </m:r>
              </m:oMath>
            </m:oMathPara>
          </w:p>
        </w:tc>
        <w:tc>
          <w:tcPr>
            <w:tcW w:w="2112" w:type="dxa"/>
          </w:tcPr>
          <w:p w14:paraId="568E0117" w14:textId="77777777" w:rsidR="000F504F" w:rsidRDefault="00000000">
            <w:pPr>
              <w:pStyle w:val="Compact"/>
              <w:jc w:val="right"/>
            </w:pPr>
            <w:r>
              <w:t xml:space="preserve">Required </w:t>
            </w:r>
            <m:oMath>
              <m:r>
                <w:rPr>
                  <w:rFonts w:ascii="Cambria Math" w:hAnsi="Cambria Math"/>
                </w:rPr>
                <m:t>N</m:t>
              </m:r>
            </m:oMath>
            <w:r>
              <w:t xml:space="preserve"> for one-sided 95/95</w:t>
            </w:r>
          </w:p>
        </w:tc>
        <w:tc>
          <w:tcPr>
            <w:tcW w:w="1584" w:type="dxa"/>
          </w:tcPr>
          <w:p w14:paraId="20CCA5C0" w14:textId="77777777" w:rsidR="000F504F" w:rsidRDefault="00000000">
            <w:pPr>
              <w:pStyle w:val="Compact"/>
            </w:pPr>
            <w:r>
              <w:t>Reported estimator</w:t>
            </w:r>
          </w:p>
        </w:tc>
      </w:tr>
      <w:tr w:rsidR="000F504F" w14:paraId="4A87A706" w14:textId="77777777">
        <w:tc>
          <w:tcPr>
            <w:tcW w:w="2112" w:type="dxa"/>
          </w:tcPr>
          <w:p w14:paraId="1516482A" w14:textId="77777777" w:rsidR="000F504F" w:rsidRDefault="00000000">
            <w:pPr>
              <w:pStyle w:val="Compact"/>
              <w:jc w:val="right"/>
            </w:pPr>
            <w:r>
              <w:t>Largest</w:t>
            </w:r>
          </w:p>
        </w:tc>
        <w:tc>
          <w:tcPr>
            <w:tcW w:w="2112" w:type="dxa"/>
          </w:tcPr>
          <w:p w14:paraId="12DB3041" w14:textId="77777777" w:rsidR="000F504F" w:rsidRDefault="00000000">
            <w:pPr>
              <w:pStyle w:val="Compact"/>
              <w:jc w:val="right"/>
            </w:pPr>
            <w:r>
              <w:t>1</w:t>
            </w:r>
          </w:p>
        </w:tc>
        <w:tc>
          <w:tcPr>
            <w:tcW w:w="2112" w:type="dxa"/>
          </w:tcPr>
          <w:p w14:paraId="7DD6DB8A" w14:textId="77777777" w:rsidR="000F504F" w:rsidRDefault="00000000">
            <w:pPr>
              <w:pStyle w:val="Compact"/>
              <w:jc w:val="right"/>
            </w:pPr>
            <w:r>
              <w:t>59</w:t>
            </w:r>
          </w:p>
        </w:tc>
        <w:tc>
          <w:tcPr>
            <w:tcW w:w="1584" w:type="dxa"/>
          </w:tcPr>
          <w:p w14:paraId="36B14A99"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oMath>
            </m:oMathPara>
          </w:p>
        </w:tc>
      </w:tr>
      <w:tr w:rsidR="000F504F" w14:paraId="03FEC0FD" w14:textId="77777777">
        <w:tc>
          <w:tcPr>
            <w:tcW w:w="2112" w:type="dxa"/>
          </w:tcPr>
          <w:p w14:paraId="511F6A0B" w14:textId="77777777" w:rsidR="000F504F" w:rsidRDefault="00000000">
            <w:pPr>
              <w:pStyle w:val="Compact"/>
              <w:jc w:val="right"/>
            </w:pPr>
            <w:r>
              <w:t>Second largest</w:t>
            </w:r>
          </w:p>
        </w:tc>
        <w:tc>
          <w:tcPr>
            <w:tcW w:w="2112" w:type="dxa"/>
          </w:tcPr>
          <w:p w14:paraId="3D34122C" w14:textId="77777777" w:rsidR="000F504F" w:rsidRDefault="00000000">
            <w:pPr>
              <w:pStyle w:val="Compact"/>
              <w:jc w:val="right"/>
            </w:pPr>
            <w:r>
              <w:t>2</w:t>
            </w:r>
          </w:p>
        </w:tc>
        <w:tc>
          <w:tcPr>
            <w:tcW w:w="2112" w:type="dxa"/>
          </w:tcPr>
          <w:p w14:paraId="11A9E439" w14:textId="77777777" w:rsidR="000F504F" w:rsidRDefault="00000000">
            <w:pPr>
              <w:pStyle w:val="Compact"/>
              <w:jc w:val="right"/>
            </w:pPr>
            <w:r>
              <w:t>93</w:t>
            </w:r>
          </w:p>
        </w:tc>
        <w:tc>
          <w:tcPr>
            <w:tcW w:w="1584" w:type="dxa"/>
          </w:tcPr>
          <w:p w14:paraId="3DA5281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b>
                </m:sSub>
              </m:oMath>
            </m:oMathPara>
          </w:p>
        </w:tc>
      </w:tr>
      <w:tr w:rsidR="000F504F" w14:paraId="19D10BCF" w14:textId="77777777">
        <w:tc>
          <w:tcPr>
            <w:tcW w:w="2112" w:type="dxa"/>
          </w:tcPr>
          <w:p w14:paraId="5F3E4ED9" w14:textId="77777777" w:rsidR="000F504F" w:rsidRDefault="00000000">
            <w:pPr>
              <w:pStyle w:val="Compact"/>
              <w:jc w:val="right"/>
            </w:pPr>
            <w:r>
              <w:t>Third largest</w:t>
            </w:r>
          </w:p>
        </w:tc>
        <w:tc>
          <w:tcPr>
            <w:tcW w:w="2112" w:type="dxa"/>
          </w:tcPr>
          <w:p w14:paraId="7463C9B9" w14:textId="77777777" w:rsidR="000F504F" w:rsidRDefault="00000000">
            <w:pPr>
              <w:pStyle w:val="Compact"/>
              <w:jc w:val="right"/>
            </w:pPr>
            <w:r>
              <w:t>3</w:t>
            </w:r>
          </w:p>
        </w:tc>
        <w:tc>
          <w:tcPr>
            <w:tcW w:w="2112" w:type="dxa"/>
          </w:tcPr>
          <w:p w14:paraId="333EB7D1" w14:textId="77777777" w:rsidR="000F504F" w:rsidRDefault="00000000">
            <w:pPr>
              <w:pStyle w:val="Compact"/>
              <w:jc w:val="right"/>
            </w:pPr>
            <w:r>
              <w:t>124</w:t>
            </w:r>
          </w:p>
        </w:tc>
        <w:tc>
          <w:tcPr>
            <w:tcW w:w="1584" w:type="dxa"/>
          </w:tcPr>
          <w:p w14:paraId="081E9F47"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oMath>
            </m:oMathPara>
          </w:p>
        </w:tc>
      </w:tr>
      <w:tr w:rsidR="000F504F" w14:paraId="1E0981F1" w14:textId="77777777">
        <w:tc>
          <w:tcPr>
            <w:tcW w:w="2112" w:type="dxa"/>
          </w:tcPr>
          <w:p w14:paraId="03BED3B4" w14:textId="77777777" w:rsidR="000F504F" w:rsidRDefault="00000000">
            <w:pPr>
              <w:pStyle w:val="Compact"/>
              <w:jc w:val="right"/>
            </w:pPr>
            <w:r>
              <w:t>Fourth largest</w:t>
            </w:r>
          </w:p>
        </w:tc>
        <w:tc>
          <w:tcPr>
            <w:tcW w:w="2112" w:type="dxa"/>
          </w:tcPr>
          <w:p w14:paraId="4ACC4927" w14:textId="77777777" w:rsidR="000F504F" w:rsidRDefault="00000000">
            <w:pPr>
              <w:pStyle w:val="Compact"/>
              <w:jc w:val="right"/>
            </w:pPr>
            <w:r>
              <w:t>4</w:t>
            </w:r>
          </w:p>
        </w:tc>
        <w:tc>
          <w:tcPr>
            <w:tcW w:w="2112" w:type="dxa"/>
          </w:tcPr>
          <w:p w14:paraId="1A1F2FD1" w14:textId="77777777" w:rsidR="000F504F" w:rsidRDefault="00000000">
            <w:pPr>
              <w:pStyle w:val="Compact"/>
              <w:jc w:val="right"/>
            </w:pPr>
            <w:r>
              <w:t>153</w:t>
            </w:r>
          </w:p>
        </w:tc>
        <w:tc>
          <w:tcPr>
            <w:tcW w:w="1584" w:type="dxa"/>
          </w:tcPr>
          <w:p w14:paraId="397A25D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3</m:t>
                        </m:r>
                      </m:e>
                    </m:d>
                  </m:sub>
                </m:sSub>
              </m:oMath>
            </m:oMathPara>
          </w:p>
        </w:tc>
      </w:tr>
      <w:tr w:rsidR="000F504F" w14:paraId="3BDEDFD8" w14:textId="77777777">
        <w:tc>
          <w:tcPr>
            <w:tcW w:w="2112" w:type="dxa"/>
          </w:tcPr>
          <w:p w14:paraId="6DCACB2C" w14:textId="77777777" w:rsidR="000F504F" w:rsidRDefault="00000000">
            <w:pPr>
              <w:pStyle w:val="Compact"/>
              <w:jc w:val="right"/>
            </w:pPr>
            <w:r>
              <w:t>Tenth largest</w:t>
            </w:r>
          </w:p>
        </w:tc>
        <w:tc>
          <w:tcPr>
            <w:tcW w:w="2112" w:type="dxa"/>
          </w:tcPr>
          <w:p w14:paraId="17E141E9" w14:textId="77777777" w:rsidR="000F504F" w:rsidRDefault="00000000">
            <w:pPr>
              <w:pStyle w:val="Compact"/>
              <w:jc w:val="right"/>
            </w:pPr>
            <w:r>
              <w:t>10</w:t>
            </w:r>
          </w:p>
        </w:tc>
        <w:tc>
          <w:tcPr>
            <w:tcW w:w="2112" w:type="dxa"/>
          </w:tcPr>
          <w:p w14:paraId="37AA42EA" w14:textId="77777777" w:rsidR="000F504F" w:rsidRDefault="00000000">
            <w:pPr>
              <w:pStyle w:val="Compact"/>
              <w:jc w:val="right"/>
            </w:pPr>
            <w:r>
              <w:t>311</w:t>
            </w:r>
          </w:p>
        </w:tc>
        <w:tc>
          <w:tcPr>
            <w:tcW w:w="1584" w:type="dxa"/>
          </w:tcPr>
          <w:p w14:paraId="19D5D87C"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9</m:t>
                        </m:r>
                      </m:e>
                    </m:d>
                  </m:sub>
                </m:sSub>
              </m:oMath>
            </m:oMathPara>
          </w:p>
        </w:tc>
      </w:tr>
    </w:tbl>
    <w:p w14:paraId="703E304A" w14:textId="77777777" w:rsidR="000F504F" w:rsidRDefault="00000000">
      <w:pPr>
        <w:pStyle w:val="BodyText"/>
      </w:pPr>
      <w:r>
        <w:t>Table 8-1. Common one-sided 95/95 Wilks sample sizes.</w:t>
      </w:r>
    </w:p>
    <w:p w14:paraId="1CCF8A62" w14:textId="77777777" w:rsidR="000F504F" w:rsidRDefault="00000000">
      <w:pPr>
        <w:pStyle w:val="BodyText"/>
      </w:pPr>
      <w:r>
        <w:t>The higher-order estimator is often a better estimate of the true 95th percentile of the calculated output distribution, but it requires more calculations. In a production BEPU method this tradeoff must be decided before the analysis is performed. Selecting a higher-order treatment after examining the results would introduce a selection bias and would not preserve the intended statistical interpretation.</w:t>
      </w:r>
    </w:p>
    <w:p w14:paraId="60FCA30C" w14:textId="77777777" w:rsidR="000F504F" w:rsidRDefault="00000000">
      <w:pPr>
        <w:pStyle w:val="Heading2"/>
      </w:pPr>
      <w:bookmarkStart w:id="90" w:name="X4ba6488bf5b0fe19d7b299195d86bd73bd43948"/>
      <w:bookmarkStart w:id="91" w:name="_Toc231205101"/>
      <w:bookmarkEnd w:id="88"/>
      <w:r>
        <w:t>8.6 Acceptance Criteria Versus Tolerance Limits</w:t>
      </w:r>
      <w:bookmarkEnd w:id="91"/>
    </w:p>
    <w:p w14:paraId="5707EE35" w14:textId="77777777" w:rsidR="000F504F" w:rsidRDefault="00000000">
      <w:pPr>
        <w:pStyle w:val="FirstParagraph"/>
      </w:pPr>
      <w:r>
        <w:t>A tolerance limit and a regulatory acceptance decision are related but not identical. A tolerance-limit calculation estimates a value that bounds a specified fraction of the output population with a specified confidence. A regulatory decision usually asks whether the calculated outcome satisfies one or more fixed acceptance limits.</w:t>
      </w:r>
    </w:p>
    <w:p w14:paraId="664A41D7" w14:textId="77777777" w:rsidR="000F504F" w:rsidRDefault="00000000">
      <w:pPr>
        <w:pStyle w:val="BodyText"/>
      </w:pPr>
      <w:r>
        <w:t xml:space="preserve">For a scalar upper-bound acceptance criterion </w:t>
      </w:r>
      <m:oMath>
        <m:r>
          <w:rPr>
            <w:rFonts w:ascii="Cambria Math" w:hAnsi="Cambria Math"/>
          </w:rPr>
          <m:t>L</m:t>
        </m:r>
      </m:oMath>
      <w:r>
        <w:t>, the acceptance test based on first-order Wilks is</w:t>
      </w:r>
    </w:p>
    <w:p w14:paraId="49CCC6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&lt;</m:t>
          </m:r>
          <m:r>
            <w:rPr>
              <w:rFonts w:ascii="Cambria Math" w:hAnsi="Cambria Math"/>
            </w:rPr>
            <m:t>L</m:t>
          </m:r>
          <m:r>
            <m:rPr>
              <m:sty m:val="p"/>
            </m:rPr>
            <w:rPr>
              <w:rFonts w:ascii="Cambria Math" w:hAnsi="Cambria Math"/>
            </w:rPr>
            <m:t>,</m:t>
          </m:r>
          <m:r>
            <w:rPr>
              <w:rFonts w:ascii="Cambria Math" w:hAnsi="Cambria Math"/>
            </w:rPr>
            <m:t>  N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8.20</m:t>
              </m:r>
            </m:e>
          </m:d>
        </m:oMath>
      </m:oMathPara>
    </w:p>
    <w:p w14:paraId="4FD883A0" w14:textId="77777777" w:rsidR="000F504F" w:rsidRDefault="00000000">
      <w:pPr>
        <w:pStyle w:val="FirstParagraph"/>
      </w:pPr>
      <w:r>
        <w:t>For example, a 10 CFR 50.46 peak cladding temperature test would be expressed as</w:t>
      </w:r>
    </w:p>
    <w:p w14:paraId="403E6319"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N</m:t>
                  </m:r>
                </m:e>
              </m:d>
            </m:sub>
          </m:sSub>
          <m:r>
            <m:rPr>
              <m:sty m:val="p"/>
            </m:rPr>
            <w:rPr>
              <w:rFonts w:ascii="Cambria Math" w:hAnsi="Cambria Math"/>
            </w:rPr>
            <m:t>&lt;</m:t>
          </m:r>
          <m:sSup>
            <m:sSupPr>
              <m:ctrlPr>
                <w:rPr>
                  <w:rFonts w:ascii="Cambria Math" w:hAnsi="Cambria Math"/>
                </w:rPr>
              </m:ctrlPr>
            </m:sSupPr>
            <m:e>
              <m:r>
                <w:rPr>
                  <w:rFonts w:ascii="Cambria Math" w:hAnsi="Cambria Math"/>
                </w:rPr>
                <m:t>1204</m:t>
              </m:r>
            </m:e>
            <m:sup>
              <m:r>
                <m:rPr>
                  <m:sty m:val="p"/>
                </m:rPr>
                <w:rPr>
                  <w:rFonts w:ascii="Cambria Math" w:hAnsi="Cambria Math"/>
                </w:rPr>
                <m:t>∘</m:t>
              </m:r>
            </m:sup>
          </m:sSup>
          <m:r>
            <m:rPr>
              <m:sty m:val="p"/>
            </m:rPr>
            <w:rPr>
              <w:rFonts w:ascii="Cambria Math" w:hAnsi="Cambria Math"/>
            </w:rPr>
            <m:t>C.</m:t>
          </m:r>
          <m:r>
            <w:rPr>
              <w:rFonts w:ascii="Cambria Math" w:hAnsi="Cambria Math"/>
            </w:rPr>
            <m:t>  </m:t>
          </m:r>
          <m:d>
            <m:dPr>
              <m:ctrlPr>
                <w:rPr>
                  <w:rFonts w:ascii="Cambria Math" w:hAnsi="Cambria Math"/>
                </w:rPr>
              </m:ctrlPr>
            </m:dPr>
            <m:e>
              <m:r>
                <w:rPr>
                  <w:rFonts w:ascii="Cambria Math" w:hAnsi="Cambria Math"/>
                </w:rPr>
                <m:t>8.21</m:t>
              </m:r>
            </m:e>
          </m:d>
        </m:oMath>
      </m:oMathPara>
    </w:p>
    <w:p w14:paraId="346C84FC" w14:textId="77777777" w:rsidR="000F504F" w:rsidRDefault="00000000">
      <w:pPr>
        <w:pStyle w:val="FirstParagraph"/>
      </w:pPr>
      <w:r>
        <w:t>The practical implication is direct: if all 59 cases are below the limit, the calculation supports the conclusion that at least 95 percent of the population is below the limit with at least 95 percent confidence. If the maximum exceeds the limit, the first-order single-pass Wilks test fails for that scalar criterion, even if the exceedance appears to be an outlier.</w:t>
      </w:r>
    </w:p>
    <w:p w14:paraId="4236754A" w14:textId="77777777" w:rsidR="000F504F" w:rsidRDefault="00000000">
      <w:pPr>
        <w:pStyle w:val="Heading2"/>
      </w:pPr>
      <w:bookmarkStart w:id="92" w:name="multiple-figures-of-merit"/>
      <w:bookmarkStart w:id="93" w:name="_Toc231205102"/>
      <w:bookmarkEnd w:id="90"/>
      <w:r>
        <w:t>8.7 Multiple Figures of Merit</w:t>
      </w:r>
      <w:bookmarkEnd w:id="93"/>
    </w:p>
    <w:p w14:paraId="3E3E6522" w14:textId="77777777" w:rsidR="000F504F" w:rsidRDefault="00000000">
      <w:pPr>
        <w:pStyle w:val="FirstParagraph"/>
      </w:pPr>
      <w:r>
        <w:t>LOCA and transient analyses commonly involve more than one output of interest. For ECCS performance, the classical calculated quantities include peak cladding temperature, maximum local oxidation, and core-wide oxidation. For FLARE applications, additional figures of merit may include peak containment pressure, peak hydrogen concentration, EAB dose, LPZ dose, and Control Room dose.</w:t>
      </w:r>
    </w:p>
    <w:p w14:paraId="7ABAAD9A" w14:textId="77777777" w:rsidR="000F504F" w:rsidRDefault="00000000">
      <w:pPr>
        <w:pStyle w:val="BodyText"/>
      </w:pPr>
      <w:r>
        <w:t>A common mistake is to treat several scalar outputs as separate first-order Wilks problems and then infer a single joint 95/95 statement from the collection. Separate scalar tolerance statements do not automatically produce a joint tolerance region. If three independent outputs are each bounded at 95 percent coverage with 95 percent confidence, the combined confidence for all three separate statements is approximately</w:t>
      </w:r>
    </w:p>
    <w:p w14:paraId="66A2EE7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joint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β</m:t>
              </m:r>
            </m:e>
            <m:sub>
              <m:r>
                <w:rPr>
                  <w:rFonts w:ascii="Cambria Math" w:hAnsi="Cambria Math"/>
                </w:rPr>
                <m:t>3</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0.95</m:t>
                  </m:r>
                </m:e>
              </m:d>
            </m:e>
            <m:sup>
              <m:r>
                <w:rPr>
                  <w:rFonts w:ascii="Cambria Math" w:hAnsi="Cambria Math"/>
                </w:rPr>
                <m:t>3</m:t>
              </m:r>
            </m:sup>
          </m:sSup>
          <m:r>
            <m:rPr>
              <m:sty m:val="p"/>
            </m:rPr>
            <w:rPr>
              <w:rFonts w:ascii="Cambria Math" w:hAnsi="Cambria Math"/>
            </w:rPr>
            <m:t>=</m:t>
          </m:r>
          <m:r>
            <w:rPr>
              <w:rFonts w:ascii="Cambria Math" w:hAnsi="Cambria Math"/>
            </w:rPr>
            <m:t>0.857</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8.22</m:t>
              </m:r>
            </m:e>
          </m:d>
        </m:oMath>
      </m:oMathPara>
    </w:p>
    <w:p w14:paraId="13A45A3A" w14:textId="77777777" w:rsidR="000F504F" w:rsidRDefault="00000000">
      <w:pPr>
        <w:pStyle w:val="FirstParagraph"/>
      </w:pPr>
      <w:r>
        <w:t xml:space="preserve">One conservative way to maintain an overall confidence for </w:t>
      </w:r>
      <m:oMath>
        <m:r>
          <w:rPr>
            <w:rFonts w:ascii="Cambria Math" w:hAnsi="Cambria Math"/>
          </w:rPr>
          <m:t>q</m:t>
        </m:r>
      </m:oMath>
      <w:r>
        <w:t xml:space="preserve"> independent output variables is to allocate the confidence across variables. For first-order maxima, this gives</w:t>
      </w:r>
    </w:p>
    <w:p w14:paraId="23261F9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joint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q</m:t>
              </m:r>
            </m:sup>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e>
              </m:d>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8.23</m:t>
              </m:r>
            </m:e>
          </m:d>
        </m:oMath>
      </m:oMathPara>
    </w:p>
    <w:p w14:paraId="08979AE3" w14:textId="77777777" w:rsidR="000F504F" w:rsidRDefault="00000000">
      <w:pPr>
        <w:pStyle w:val="FirstParagraph"/>
      </w:pPr>
      <w:r>
        <w:lastRenderedPageBreak/>
        <w:t>For equal coverage and equal confidence allocation,</w:t>
      </w:r>
    </w:p>
    <w:p w14:paraId="3B1DA99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joint</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e>
              </m:d>
            </m:e>
            <m:sup>
              <m:r>
                <w:rPr>
                  <w:rFonts w:ascii="Cambria Math" w:hAnsi="Cambria Math"/>
                </w:rPr>
                <m:t>q</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8.24</m:t>
              </m:r>
            </m:e>
          </m:d>
        </m:oMath>
      </m:oMathPara>
    </w:p>
    <w:p w14:paraId="7BFEF4DE" w14:textId="77777777" w:rsidR="000F504F" w:rsidRDefault="00000000">
      <w:pPr>
        <w:pStyle w:val="FirstParagraph"/>
      </w:pPr>
      <w:r>
        <w:t xml:space="preserve">For </w:t>
      </w:r>
      <m:oMath>
        <m:r>
          <w:rPr>
            <w:rFonts w:ascii="Cambria Math" w:hAnsi="Cambria Math"/>
          </w:rPr>
          <m:t>q</m:t>
        </m:r>
        <m:r>
          <m:rPr>
            <m:sty m:val="p"/>
          </m:rPr>
          <w:rPr>
            <w:rFonts w:ascii="Cambria Math" w:hAnsi="Cambria Math"/>
          </w:rPr>
          <m:t>=</m:t>
        </m:r>
        <m:r>
          <w:rPr>
            <w:rFonts w:ascii="Cambria Math" w:hAnsi="Cambria Math"/>
          </w:rPr>
          <m:t>3</m:t>
        </m:r>
      </m:oMath>
      <w:r>
        <w:t xml:space="preserve">, </w:t>
      </w:r>
      <m:oMath>
        <m:r>
          <w:rPr>
            <w:rFonts w:ascii="Cambria Math" w:hAnsi="Cambria Math"/>
          </w:rPr>
          <m:t>γ</m:t>
        </m:r>
        <m:r>
          <m:rPr>
            <m:sty m:val="p"/>
          </m:rPr>
          <w:rPr>
            <w:rFonts w:ascii="Cambria Math" w:hAnsi="Cambria Math"/>
          </w:rPr>
          <m:t>=</m:t>
        </m:r>
        <m:r>
          <w:rPr>
            <w:rFonts w:ascii="Cambria Math" w:hAnsi="Cambria Math"/>
          </w:rPr>
          <m:t>0.95</m:t>
        </m:r>
      </m:oMath>
      <w:r>
        <w:t xml:space="preserve">, and </w:t>
      </w:r>
      <m:oMath>
        <m:sSub>
          <m:sSubPr>
            <m:ctrlPr>
              <w:rPr>
                <w:rFonts w:ascii="Cambria Math" w:hAnsi="Cambria Math"/>
              </w:rPr>
            </m:ctrlPr>
          </m:sSubPr>
          <m:e>
            <m:r>
              <w:rPr>
                <w:rFonts w:ascii="Cambria Math" w:hAnsi="Cambria Math"/>
              </w:rPr>
              <m:t>β</m:t>
            </m:r>
          </m:e>
          <m:sub>
            <m:r>
              <w:rPr>
                <w:rFonts w:ascii="Cambria Math" w:hAnsi="Cambria Math"/>
              </w:rPr>
              <m:t>joint</m:t>
            </m:r>
          </m:sub>
        </m:sSub>
        <m:r>
          <m:rPr>
            <m:sty m:val="p"/>
          </m:rPr>
          <w:rPr>
            <w:rFonts w:ascii="Cambria Math" w:hAnsi="Cambria Math"/>
          </w:rPr>
          <m:t>=</m:t>
        </m:r>
        <m:r>
          <w:rPr>
            <w:rFonts w:ascii="Cambria Math" w:hAnsi="Cambria Math"/>
          </w:rPr>
          <m:t>0.95</m:t>
        </m:r>
      </m:oMath>
      <w:r>
        <w:t xml:space="preserve">, Eq. (8.24) gives approximately </w:t>
      </w:r>
      <m:oMath>
        <m:r>
          <w:rPr>
            <w:rFonts w:ascii="Cambria Math" w:hAnsi="Cambria Math"/>
          </w:rPr>
          <m:t>N</m:t>
        </m:r>
        <m:r>
          <m:rPr>
            <m:sty m:val="p"/>
          </m:rPr>
          <w:rPr>
            <w:rFonts w:ascii="Cambria Math" w:hAnsi="Cambria Math"/>
          </w:rPr>
          <m:t>=</m:t>
        </m:r>
        <m:r>
          <w:rPr>
            <w:rFonts w:ascii="Cambria Math" w:hAnsi="Cambria Math"/>
          </w:rPr>
          <m:t>80</m:t>
        </m:r>
      </m:oMath>
      <w:r>
        <w:t>. More general tolerance-region methods, including Wald-Guba and Tukey formulations, address this issue more formally but also introduce complexity and, in some cases, conservatism or ambiguity in the relationship between the tolerance region and the actual acceptance limits.</w:t>
      </w:r>
    </w:p>
    <w:p w14:paraId="7F04D6A4" w14:textId="77777777" w:rsidR="000F504F" w:rsidRDefault="00000000">
      <w:pPr>
        <w:pStyle w:val="Heading2"/>
      </w:pPr>
      <w:bookmarkStart w:id="94" w:name="X1114749fb3c1b7a68a51801a6057e4b576bd43a"/>
      <w:bookmarkStart w:id="95" w:name="_Toc231205103"/>
      <w:bookmarkEnd w:id="92"/>
      <w:r>
        <w:t>8.8 Testing Method for Fixed Acceptance Limits</w:t>
      </w:r>
      <w:bookmarkEnd w:id="95"/>
    </w:p>
    <w:p w14:paraId="77AB444A" w14:textId="77777777" w:rsidR="000F504F" w:rsidRDefault="00000000">
      <w:pPr>
        <w:pStyle w:val="FirstParagraph"/>
      </w:pPr>
      <w:r>
        <w:t xml:space="preserve">For FLARE’s current purpose, the most practically useful interpretation is often not the construction of a multi-dimensional tolerance region, but the direct test of fixed acceptance limits. Let the vector of outputs for case </w:t>
      </w:r>
      <m:oMath>
        <m:r>
          <w:rPr>
            <w:rFonts w:ascii="Cambria Math" w:hAnsi="Cambria Math"/>
          </w:rPr>
          <m:t>i</m:t>
        </m:r>
      </m:oMath>
      <w:r>
        <w:t xml:space="preserve"> be</w:t>
      </w:r>
    </w:p>
    <w:p w14:paraId="0067CEB0"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8.25</m:t>
              </m:r>
            </m:e>
          </m:d>
        </m:oMath>
      </m:oMathPara>
    </w:p>
    <w:p w14:paraId="2970D688" w14:textId="77777777" w:rsidR="000F504F" w:rsidRDefault="00000000">
      <w:pPr>
        <w:pStyle w:val="FirstParagraph"/>
      </w:pPr>
      <w:r>
        <w:t>and let the corresponding upper-bound acceptance limits be</w:t>
      </w:r>
    </w:p>
    <w:p w14:paraId="68E2F9C5" w14:textId="77777777" w:rsidR="000F504F" w:rsidRDefault="00000000">
      <w:pPr>
        <w:pStyle w:val="BodyText"/>
      </w:pPr>
      <m:oMathPara>
        <m:oMathParaPr>
          <m:jc m:val="center"/>
        </m:oMathParaPr>
        <m:oMath>
          <m:r>
            <m:rPr>
              <m:sty m:val="b"/>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8.26</m:t>
              </m:r>
            </m:e>
          </m:d>
        </m:oMath>
      </m:oMathPara>
    </w:p>
    <w:p w14:paraId="6694E50A" w14:textId="77777777" w:rsidR="000F504F" w:rsidRDefault="00000000">
      <w:pPr>
        <w:pStyle w:val="FirstParagraph"/>
      </w:pPr>
      <w:r>
        <w:t>The case passes if every criterion is satisfied simultaneously:</w:t>
      </w:r>
    </w:p>
    <w:p w14:paraId="79238EB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 </m:t>
          </m:r>
          <m:r>
            <m:rPr>
              <m:nor/>
            </m:rPr>
            <m:t>for all</m:t>
          </m:r>
          <m:r>
            <w:rPr>
              <w:rFonts w:ascii="Cambria Math" w:hAnsi="Cambria Math"/>
            </w:rPr>
            <m:t> j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8.27</m:t>
              </m:r>
            </m:e>
          </m:d>
        </m:oMath>
      </m:oMathPara>
    </w:p>
    <w:p w14:paraId="6427EE41" w14:textId="77777777" w:rsidR="000F504F" w:rsidRDefault="00000000">
      <w:pPr>
        <w:pStyle w:val="FirstParagraph"/>
      </w:pPr>
      <w:r>
        <w:t>Define a binary pass indicator,</w:t>
      </w:r>
    </w:p>
    <w:p w14:paraId="6AEC2E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&lt;</m:t>
                    </m:r>
                    <m:r>
                      <m:rPr>
                        <m:sty m:val="b"/>
                      </m:rPr>
                      <w:rPr>
                        <w:rFonts w:ascii="Cambria Math" w:hAnsi="Cambria Math"/>
                      </w:rPr>
                      <m:t>L</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8.28</m:t>
              </m:r>
            </m:e>
          </m:d>
        </m:oMath>
      </m:oMathPara>
    </w:p>
    <w:p w14:paraId="01C93365" w14:textId="77777777" w:rsidR="000F504F" w:rsidRDefault="00000000">
      <w:pPr>
        <w:pStyle w:val="FirstParagraph"/>
      </w:pPr>
      <w:r>
        <w:t>For a single-pass first-order test with no observed failures, the same Wilks expression applies to the pass/fail outcome:</w:t>
      </w:r>
    </w:p>
    <w:p w14:paraId="1EC5688F"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8.29</m:t>
              </m:r>
            </m:e>
          </m:d>
        </m:oMath>
      </m:oMathPara>
    </w:p>
    <w:p w14:paraId="1648F8A4" w14:textId="77777777" w:rsidR="000F504F" w:rsidRDefault="00000000">
      <w:pPr>
        <w:pStyle w:val="FirstParagraph"/>
      </w:pPr>
      <w:r>
        <w:t>Therefore, if all 59 randomly sampled FLARE cases satisfy all imposed acceptance criteria simultaneously, the result supports the statement that the joint pass probability is at least 95 percent with 95 percent confidence. This is the basis of the Wallis-Nutt Testing Method interpretation discussed by Martin and Nutt. Its important advantage is that it is directly tied to the acceptance limits rather than to an abstract multi-dimensional tolerance surface.</w:t>
      </w:r>
    </w:p>
    <w:p w14:paraId="08776906" w14:textId="77777777" w:rsidR="000F504F" w:rsidRDefault="00000000">
      <w:pPr>
        <w:pStyle w:val="BodyText"/>
      </w:pPr>
      <w:r>
        <w:t xml:space="preserve">If a limited number of failures is allowed, the binomial repeated-trials form is used. Let </w:t>
      </w:r>
      <m:oMath>
        <m:sSub>
          <m:sSubPr>
            <m:ctrlPr>
              <w:rPr>
                <w:rFonts w:ascii="Cambria Math" w:hAnsi="Cambria Math"/>
              </w:rPr>
            </m:ctrlPr>
          </m:sSubPr>
          <m:e>
            <m:r>
              <w:rPr>
                <w:rFonts w:ascii="Cambria Math" w:hAnsi="Cambria Math"/>
              </w:rPr>
              <m:t>n</m:t>
            </m:r>
          </m:e>
          <m:sub>
            <m:r>
              <w:rPr>
                <w:rFonts w:ascii="Cambria Math" w:hAnsi="Cambria Math"/>
              </w:rPr>
              <m:t>f</m:t>
            </m:r>
          </m:sub>
        </m:sSub>
      </m:oMath>
      <w:r>
        <w:t xml:space="preserve"> be the number of failed cases out of </w:t>
      </w:r>
      <m:oMath>
        <m:r>
          <w:rPr>
            <w:rFonts w:ascii="Cambria Math" w:hAnsi="Cambria Math"/>
          </w:rPr>
          <m:t>N</m:t>
        </m:r>
      </m:oMath>
      <w:r>
        <w:t xml:space="preserve"> total samples, and let </w:t>
      </w:r>
      <m:oMath>
        <m:r>
          <w:rPr>
            <w:rFonts w:ascii="Cambria Math" w:hAnsi="Cambria Math"/>
          </w:rPr>
          <m:t>m</m:t>
        </m:r>
      </m:oMath>
      <w:r>
        <w:t xml:space="preserve"> be the maximum allowed number of failures. The probability of observing no more than </w:t>
      </w:r>
      <m:oMath>
        <m:r>
          <w:rPr>
            <w:rFonts w:ascii="Cambria Math" w:hAnsi="Cambria Math"/>
          </w:rPr>
          <m:t>m</m:t>
        </m:r>
      </m:oMath>
      <w:r>
        <w:t xml:space="preserve"> failures when the true pass probability is </w:t>
      </w:r>
      <m:oMath>
        <m:r>
          <w:rPr>
            <w:rFonts w:ascii="Cambria Math" w:hAnsi="Cambria Math"/>
          </w:rPr>
          <m:t>p</m:t>
        </m:r>
      </m:oMath>
      <w:r>
        <w:t xml:space="preserve"> is</w:t>
      </w:r>
    </w:p>
    <w:p w14:paraId="6804BC8E"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m</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i</m:t>
              </m:r>
            </m:sup>
          </m:sSup>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8.30</m:t>
              </m:r>
            </m:e>
          </m:d>
        </m:oMath>
      </m:oMathPara>
    </w:p>
    <w:p w14:paraId="18C28854" w14:textId="77777777" w:rsidR="000F504F" w:rsidRDefault="00000000">
      <w:pPr>
        <w:pStyle w:val="FirstParagraph"/>
      </w:pPr>
      <w:r>
        <w:t xml:space="preserve">To demonstrate coverage </w:t>
      </w:r>
      <m:oMath>
        <m:r>
          <w:rPr>
            <w:rFonts w:ascii="Cambria Math" w:hAnsi="Cambria Math"/>
          </w:rPr>
          <m:t>γ</m:t>
        </m:r>
      </m:oMath>
      <w:r>
        <w:t xml:space="preserve"> with confidence </w:t>
      </w:r>
      <m:oMath>
        <m:r>
          <w:rPr>
            <w:rFonts w:ascii="Cambria Math" w:hAnsi="Cambria Math"/>
          </w:rPr>
          <m:t>β</m:t>
        </m:r>
      </m:oMath>
      <w:r>
        <w:t>, the allowed-failure criterion must satisfy</w:t>
      </w:r>
    </w:p>
    <w:p w14:paraId="79F4B1D7"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8.31</m:t>
              </m:r>
            </m:e>
          </m:d>
        </m:oMath>
      </m:oMathPara>
    </w:p>
    <w:p w14:paraId="3B576F34" w14:textId="77777777" w:rsidR="000F504F" w:rsidRDefault="00000000">
      <w:pPr>
        <w:pStyle w:val="FirstParagraph"/>
      </w:pPr>
      <w:r>
        <w:t xml:space="preserve">When </w:t>
      </w:r>
      <m:oMath>
        <m:r>
          <w:rPr>
            <w:rFonts w:ascii="Cambria Math" w:hAnsi="Cambria Math"/>
          </w:rPr>
          <m:t>m</m:t>
        </m:r>
        <m:r>
          <m:rPr>
            <m:sty m:val="p"/>
          </m:rPr>
          <w:rPr>
            <w:rFonts w:ascii="Cambria Math" w:hAnsi="Cambria Math"/>
          </w:rPr>
          <m:t>=</m:t>
        </m:r>
        <m:r>
          <w:rPr>
            <w:rFonts w:ascii="Cambria Math" w:hAnsi="Cambria Math"/>
          </w:rPr>
          <m:t>0</m:t>
        </m:r>
      </m:oMath>
      <w:r>
        <w:t xml:space="preserve">, Eq. (8.31) reduces to Eq. (8.14). The </w:t>
      </w:r>
      <m:oMath>
        <m:r>
          <w:rPr>
            <w:rFonts w:ascii="Cambria Math" w:hAnsi="Cambria Math"/>
          </w:rPr>
          <m:t>m</m:t>
        </m:r>
        <m:r>
          <m:rPr>
            <m:sty m:val="p"/>
          </m:rPr>
          <w:rPr>
            <w:rFonts w:ascii="Cambria Math" w:hAnsi="Cambria Math"/>
          </w:rPr>
          <m:t>&gt;</m:t>
        </m:r>
        <m:r>
          <w:rPr>
            <w:rFonts w:ascii="Cambria Math" w:hAnsi="Cambria Math"/>
          </w:rPr>
          <m:t>0</m:t>
        </m:r>
      </m:oMath>
      <w:r>
        <w:t xml:space="preserve"> case can be useful for formal multi-pass methods or for methodologies that explicitly anticipate rare outliers. Such methods must be specified before the calculation is performed.</w:t>
      </w:r>
    </w:p>
    <w:p w14:paraId="2451FF86" w14:textId="77777777" w:rsidR="000F504F" w:rsidRDefault="00000000">
      <w:pPr>
        <w:pStyle w:val="Heading2"/>
      </w:pPr>
      <w:bookmarkStart w:id="96" w:name="flare-implementation-and-reporting"/>
      <w:bookmarkStart w:id="97" w:name="_Toc231205104"/>
      <w:bookmarkEnd w:id="94"/>
      <w:r>
        <w:lastRenderedPageBreak/>
        <w:t>8.9 FLARE Implementation and Reporting</w:t>
      </w:r>
      <w:bookmarkEnd w:id="97"/>
    </w:p>
    <w:p w14:paraId="78C48527" w14:textId="77777777" w:rsidR="000F504F" w:rsidRDefault="00000000">
      <w:pPr>
        <w:pStyle w:val="FirstParagraph"/>
      </w:pPr>
      <w:r>
        <w:t>The FLARE uncertainty analysis module performs the following sequence:</w:t>
      </w:r>
    </w:p>
    <w:p w14:paraId="26352254" w14:textId="77777777" w:rsidR="000F504F" w:rsidRDefault="00000000">
      <w:pPr>
        <w:pStyle w:val="Compact"/>
        <w:numPr>
          <w:ilvl w:val="0"/>
          <w:numId w:val="2"/>
        </w:numPr>
      </w:pPr>
      <w:r>
        <w:t>Read the base input deck and the uncertainty-variable catalogue.</w:t>
      </w:r>
    </w:p>
    <w:p w14:paraId="5F72BF6A" w14:textId="77777777" w:rsidR="000F504F" w:rsidRDefault="00000000">
      <w:pPr>
        <w:pStyle w:val="Compact"/>
        <w:numPr>
          <w:ilvl w:val="0"/>
          <w:numId w:val="2"/>
        </w:numPr>
      </w:pPr>
      <w:r>
        <w:t xml:space="preserve">Generate </w:t>
      </w:r>
      <m:oMath>
        <m:r>
          <w:rPr>
            <w:rFonts w:ascii="Cambria Math" w:hAnsi="Cambria Math"/>
          </w:rPr>
          <m:t>N</m:t>
        </m:r>
      </m:oMath>
      <w:r>
        <w:t xml:space="preserve"> sampled input decks by applying the specified distributions.</w:t>
      </w:r>
    </w:p>
    <w:p w14:paraId="5026299D" w14:textId="77777777" w:rsidR="000F504F" w:rsidRDefault="00000000">
      <w:pPr>
        <w:pStyle w:val="Compact"/>
        <w:numPr>
          <w:ilvl w:val="0"/>
          <w:numId w:val="2"/>
        </w:numPr>
      </w:pPr>
      <w:r>
        <w:t>Run the FLARE simulation for each sampled realization.</w:t>
      </w:r>
    </w:p>
    <w:p w14:paraId="63173949" w14:textId="77777777" w:rsidR="000F504F" w:rsidRDefault="00000000">
      <w:pPr>
        <w:pStyle w:val="Compact"/>
        <w:numPr>
          <w:ilvl w:val="0"/>
          <w:numId w:val="2"/>
        </w:numPr>
      </w:pPr>
      <w:r>
        <w:t>Extract scalar figures of merit and relevant time histories.</w:t>
      </w:r>
    </w:p>
    <w:p w14:paraId="0CFD89C7" w14:textId="77777777" w:rsidR="000F504F" w:rsidRDefault="00000000">
      <w:pPr>
        <w:pStyle w:val="Compact"/>
        <w:numPr>
          <w:ilvl w:val="0"/>
          <w:numId w:val="2"/>
        </w:numPr>
      </w:pPr>
      <w:r>
        <w:t>Sort each scalar output and report sample statistics, empirical percentiles, and Wilks tolerance estimates.</w:t>
      </w:r>
    </w:p>
    <w:p w14:paraId="759B4C1D" w14:textId="77777777" w:rsidR="000F504F" w:rsidRDefault="00000000">
      <w:pPr>
        <w:pStyle w:val="Compact"/>
        <w:numPr>
          <w:ilvl w:val="0"/>
          <w:numId w:val="2"/>
        </w:numPr>
      </w:pPr>
      <w:r>
        <w:t>Evaluate fixed acceptance criteria, where available, using scalar or joint pass/fail logic.</w:t>
      </w:r>
    </w:p>
    <w:p w14:paraId="61C3F6E9" w14:textId="77777777" w:rsidR="000F504F" w:rsidRDefault="00000000">
      <w:pPr>
        <w:pStyle w:val="FirstParagraph"/>
      </w:pPr>
      <w:r>
        <w:t>For scalar outputs, FLARE reports the empirical mean, standard deviation, minimum, maximum, and selected percentiles. For a 59-sample first-order Wilks run, the maximum is the one-sided 95/95 tolerance estimate. For larger runs, FLARE may additionally report higher-order Wilks estimates using the sorted output array.</w:t>
      </w:r>
    </w:p>
    <w:p w14:paraId="35E42495" w14:textId="77777777" w:rsidR="000F504F" w:rsidRDefault="00000000">
      <w:pPr>
        <w:pStyle w:val="BodyText"/>
      </w:pPr>
      <w:r>
        <w:t>For acceptance metrics with regulatory or user-defined limits, FLARE should distinguish three quantities: the most limiting observed value, the applicable limit, and the pass/fail status of the joint case vector. This distinction is important because the most limiting PCT case is not necessarily the most limiting dose case, containment-pressure case, or hydrogen case. A joint pass/fail statistic uses each sampled calculation as a complete event realization, not as a collection of unrelated scalar maxima.</w:t>
      </w:r>
    </w:p>
    <w:p w14:paraId="0C5C3D1A" w14:textId="77777777" w:rsidR="000F504F" w:rsidRDefault="00000000">
      <w:pPr>
        <w:pStyle w:val="Heading2"/>
      </w:pPr>
      <w:bookmarkStart w:id="98" w:name="interpretation-and-limitations"/>
      <w:bookmarkStart w:id="99" w:name="_Toc231205105"/>
      <w:bookmarkEnd w:id="96"/>
      <w:r>
        <w:t>8.10 Interpretation and Limitations</w:t>
      </w:r>
      <w:bookmarkEnd w:id="99"/>
    </w:p>
    <w:p w14:paraId="49A0C12C" w14:textId="77777777" w:rsidR="000F504F" w:rsidRDefault="00000000">
      <w:pPr>
        <w:pStyle w:val="FirstParagraph"/>
      </w:pPr>
      <w:r>
        <w:t>A Wilks-based FLARE uncertainty analysis provides a non-parametric statement about the population represented by the sampled model. It does not prove that the code is correct, that the uncertainty catalogue is complete, or that the sampled distributions are physically justified. Those questions belong to evaluation-model development, code assessment, validation, and applicability review.</w:t>
      </w:r>
    </w:p>
    <w:p w14:paraId="371F8DB3" w14:textId="77777777" w:rsidR="000F504F" w:rsidRDefault="00000000">
      <w:pPr>
        <w:pStyle w:val="BodyText"/>
      </w:pPr>
      <w:r>
        <w:t>The principal limitations are as follows. First, the method assumes independent random samples from a fixed model and fixed uncertainty catalogue. Second, the method provides a statistical convolution of selected uncertainties, not a substitute for model validation or phenomenological completeness. Third, first-order Wilks can be sensitive to numerical failures and isolated outliers. Fourth, separate scalar tolerance limits should not be casually combined into a joint regulatory conclusion unless the methodology specifies how multiple acceptance criteria are handled.</w:t>
      </w:r>
    </w:p>
    <w:p w14:paraId="508BE843" w14:textId="77777777" w:rsidR="000F504F" w:rsidRDefault="00000000">
      <w:pPr>
        <w:pStyle w:val="BodyText"/>
      </w:pPr>
      <w:r>
        <w:t>Within these limitations, the Wilks method is well matched to FLARE’s role as a rapid scoping and BEPU-support tool. It allows a large number of uncertain inputs to be propagated without constructing a response surface, avoids assumptions about output-distribution shape, and provides a transparent link between sample size, coverage, confidence, and acceptance criteria.</w:t>
      </w:r>
    </w:p>
    <w:p w14:paraId="225A432F" w14:textId="77777777" w:rsidR="000F504F" w:rsidRDefault="00000000">
      <w:pPr>
        <w:pStyle w:val="Heading1"/>
      </w:pPr>
      <w:bookmarkStart w:id="100" w:name="Xf836e56fb909f06e8d05cf8c9f314ef85b3bccf"/>
      <w:bookmarkStart w:id="101" w:name="_Toc231205106"/>
      <w:bookmarkEnd w:id="78"/>
      <w:bookmarkEnd w:id="98"/>
      <w:r>
        <w:t>Chapter 9 — Source-Term and Radiological Dose Models</w:t>
      </w:r>
      <w:bookmarkEnd w:id="101"/>
    </w:p>
    <w:p w14:paraId="7BD02AAD" w14:textId="77777777" w:rsidR="000F504F" w:rsidRDefault="00000000">
      <w:pPr>
        <w:pStyle w:val="Heading2"/>
      </w:pPr>
      <w:bookmarkStart w:id="102" w:name="fuel-failure-indicators"/>
      <w:bookmarkStart w:id="103" w:name="_Toc231205107"/>
      <w:r>
        <w:t>9.1 Fuel Failure Indicators</w:t>
      </w:r>
      <w:bookmarkEnd w:id="103"/>
    </w:p>
    <w:p w14:paraId="7C022F6C" w14:textId="77777777" w:rsidR="000F504F" w:rsidRDefault="00000000">
      <w:pPr>
        <w:pStyle w:val="FirstParagraph"/>
      </w:pPr>
      <w:r>
        <w:t>FLARE estimates rod failure fractions using temperature-based screening indicators. Gap release is initiated when the hot-pin or pin-population temperature exceeds a user-specified threshold:</w:t>
      </w:r>
    </w:p>
    <w:p w14:paraId="7AE236B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gap</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9.1</m:t>
              </m:r>
            </m:e>
          </m:d>
        </m:oMath>
      </m:oMathPara>
    </w:p>
    <w:p w14:paraId="535B289C" w14:textId="77777777" w:rsidR="000F504F" w:rsidRDefault="00000000">
      <w:pPr>
        <w:pStyle w:val="FirstParagraph"/>
      </w:pPr>
      <w:r>
        <w:t>Early in-vessel release is initiated when the failure threshold is exceeded:</w:t>
      </w:r>
    </w:p>
    <w:p w14:paraId="6B31BFD0"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EIV</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9.2</m:t>
              </m:r>
            </m:e>
          </m:d>
        </m:oMath>
      </m:oMathPara>
    </w:p>
    <w:p w14:paraId="6E9871EA" w14:textId="77777777" w:rsidR="000F504F" w:rsidRDefault="00000000">
      <w:pPr>
        <w:pStyle w:val="FirstParagraph"/>
      </w:pPr>
      <w:r>
        <w:lastRenderedPageBreak/>
        <w:t>Rod failures are latched. If a rod population has failed at any previous time, it remains failed for subsequent source-term calculations.</w:t>
      </w:r>
    </w:p>
    <w:p w14:paraId="695718D0" w14:textId="77777777" w:rsidR="000F504F" w:rsidRDefault="00000000">
      <w:pPr>
        <w:pStyle w:val="Heading2"/>
      </w:pPr>
      <w:bookmarkStart w:id="104" w:name="X65dcfbf6f3f6b07e15fae0146b947d8f4bbcf3d"/>
      <w:bookmarkStart w:id="105" w:name="_Toc231205108"/>
      <w:bookmarkEnd w:id="102"/>
      <w:r>
        <w:t>9.2 Temperature Distribution and Failed Fraction</w:t>
      </w:r>
      <w:bookmarkEnd w:id="105"/>
    </w:p>
    <w:p w14:paraId="4D5FD8AD" w14:textId="77777777" w:rsidR="000F504F" w:rsidRDefault="00000000">
      <w:pPr>
        <w:pStyle w:val="FirstParagraph"/>
      </w:pPr>
      <w:r>
        <w:t xml:space="preserve">A Gaussian representation may be used to estimate the fraction of rods above a threshold temperature. If rod peak temperatures are represented by a mean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and standard deviation </w:t>
      </w:r>
      <m:oMath>
        <m:sSub>
          <m:sSubPr>
            <m:ctrlPr>
              <w:rPr>
                <w:rFonts w:ascii="Cambria Math" w:hAnsi="Cambria Math"/>
              </w:rPr>
            </m:ctrlPr>
          </m:sSubPr>
          <m:e>
            <m:r>
              <w:rPr>
                <w:rFonts w:ascii="Cambria Math" w:hAnsi="Cambria Math"/>
              </w:rPr>
              <m:t>σ</m:t>
            </m:r>
          </m:e>
          <m:sub>
            <m:r>
              <w:rPr>
                <w:rFonts w:ascii="Cambria Math" w:hAnsi="Cambria Math"/>
              </w:rPr>
              <m:t>T</m:t>
            </m:r>
          </m:sub>
        </m:sSub>
      </m:oMath>
      <w:r>
        <w:t xml:space="preserve">, the fraction exceeding a threshold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is</w:t>
      </w:r>
    </w:p>
    <w:p w14:paraId="71083B03" w14:textId="77777777" w:rsidR="000F504F" w:rsidRDefault="00000000">
      <w:pPr>
        <w:pStyle w:val="BodyText"/>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num>
                <m:den>
                  <m:sSub>
                    <m:sSubPr>
                      <m:ctrlPr>
                        <w:rPr>
                          <w:rFonts w:ascii="Cambria Math" w:hAnsi="Cambria Math"/>
                        </w:rPr>
                      </m:ctrlPr>
                    </m:sSubPr>
                    <m:e>
                      <m:r>
                        <w:rPr>
                          <w:rFonts w:ascii="Cambria Math" w:hAnsi="Cambria Math"/>
                        </w:rPr>
                        <m:t>σ</m:t>
                      </m:r>
                    </m:e>
                    <m:sub>
                      <m:r>
                        <w:rPr>
                          <w:rFonts w:ascii="Cambria Math" w:hAnsi="Cambria Math"/>
                        </w:rPr>
                        <m:t>T</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9.3</m:t>
              </m:r>
            </m:e>
          </m:d>
        </m:oMath>
      </m:oMathPara>
    </w:p>
    <w:p w14:paraId="63CCDDF2" w14:textId="77777777" w:rsidR="000F504F" w:rsidRDefault="00000000">
      <w:pPr>
        <w:pStyle w:val="FirstParagraph"/>
      </w:pPr>
      <w:r>
        <w:t>The failed number of rods is</w:t>
      </w:r>
    </w:p>
    <w:p w14:paraId="456B707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fail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9.4</m:t>
              </m:r>
            </m:e>
          </m:d>
        </m:oMath>
      </m:oMathPara>
    </w:p>
    <w:p w14:paraId="45C77AF9" w14:textId="77777777" w:rsidR="000F504F" w:rsidRDefault="00000000">
      <w:pPr>
        <w:pStyle w:val="FirstParagraph"/>
      </w:pPr>
      <w:r>
        <w:t>This approach is not a mechanistic fuel-rod failure model. It is a screening method that connects hot-channel thermal response to source-term release fractions.</w:t>
      </w:r>
    </w:p>
    <w:p w14:paraId="10C57D33" w14:textId="77777777" w:rsidR="000F504F" w:rsidRDefault="00000000">
      <w:pPr>
        <w:pStyle w:val="Heading2"/>
      </w:pPr>
      <w:bookmarkStart w:id="106" w:name="X11f3a6241d3c54621565b15d4cc3b1ff2ae7dec"/>
      <w:bookmarkStart w:id="107" w:name="_Toc231205109"/>
      <w:bookmarkEnd w:id="104"/>
      <w:r>
        <w:t>9.3 Base Release Fractions and Severe-Event Escalation</w:t>
      </w:r>
      <w:bookmarkEnd w:id="107"/>
    </w:p>
    <w:p w14:paraId="0360BFBC" w14:textId="77777777" w:rsidR="000F504F" w:rsidRDefault="00000000">
      <w:pPr>
        <w:pStyle w:val="FirstParagraph"/>
      </w:pPr>
      <w:r>
        <w:t xml:space="preserve">For each radionuclide group </w:t>
      </w:r>
      <m:oMath>
        <m:r>
          <w:rPr>
            <w:rFonts w:ascii="Cambria Math" w:hAnsi="Cambria Math"/>
          </w:rPr>
          <m:t>g</m:t>
        </m:r>
      </m:oMath>
      <w:r>
        <w:t>, the activity released from fuel to the accessible transport pathway is</w:t>
      </w:r>
    </w:p>
    <w:p w14:paraId="31A8373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rel</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core</m:t>
              </m:r>
              <m:r>
                <m:rPr>
                  <m:sty m:val="p"/>
                </m:rPr>
                <w:rPr>
                  <w:rFonts w:ascii="Cambria Math" w:hAnsi="Cambria Math"/>
                </w:rPr>
                <m:t>,</m:t>
              </m:r>
              <m:r>
                <w:rPr>
                  <w:rFonts w:ascii="Cambria Math" w:hAnsi="Cambria Math"/>
                </w:rPr>
                <m:t>g</m:t>
              </m:r>
            </m:sub>
          </m:sSub>
          <m:sSub>
            <m:sSubPr>
              <m:ctrlPr>
                <w:rPr>
                  <w:rFonts w:ascii="Cambria Math" w:hAnsi="Cambria Math"/>
                </w:rPr>
              </m:ctrlPr>
            </m:sSubPr>
            <m:e>
              <m:r>
                <w:rPr>
                  <w:rFonts w:ascii="Cambria Math" w:hAnsi="Cambria Math"/>
                </w:rPr>
                <m:t>R</m:t>
              </m:r>
            </m:e>
            <m:sub>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9.5</m:t>
              </m:r>
            </m:e>
          </m:d>
        </m:oMath>
      </m:oMathPara>
    </w:p>
    <w:p w14:paraId="1D5BCB85" w14:textId="77777777" w:rsidR="000F504F" w:rsidRDefault="00000000">
      <w:pPr>
        <w:pStyle w:val="FirstParagraph"/>
      </w:pPr>
      <w:r>
        <w:t xml:space="preserve">For beyond-design-basis screening, FLARE escalates the release fraction as a function of the maximum mean oxidizing-rod ECR. Let </w:t>
      </w:r>
      <m:oMath>
        <m:sSub>
          <m:sSubPr>
            <m:ctrlPr>
              <w:rPr>
                <w:rFonts w:ascii="Cambria Math" w:hAnsi="Cambria Math"/>
              </w:rPr>
            </m:ctrlPr>
          </m:sSubPr>
          <m:e>
            <m:r>
              <w:rPr>
                <w:rFonts w:ascii="Cambria Math" w:hAnsi="Cambria Math"/>
              </w:rPr>
              <m:t>R</m:t>
            </m:r>
          </m:e>
          <m:sub>
            <m:r>
              <w:rPr>
                <w:rFonts w:ascii="Cambria Math" w:hAnsi="Cambria Math"/>
              </w:rPr>
              <m:t>base</m:t>
            </m:r>
            <m:r>
              <m:rPr>
                <m:sty m:val="p"/>
              </m:rPr>
              <w:rPr>
                <w:rFonts w:ascii="Cambria Math" w:hAnsi="Cambria Math"/>
              </w:rPr>
              <m:t>,</m:t>
            </m:r>
            <m:r>
              <w:rPr>
                <w:rFonts w:ascii="Cambria Math" w:hAnsi="Cambria Math"/>
              </w:rPr>
              <m:t>g</m:t>
            </m:r>
          </m:sub>
        </m:sSub>
      </m:oMath>
      <w:r>
        <w:t xml:space="preserve"> be the design-basis release fraction, </w:t>
      </w:r>
      <m:oMath>
        <m:sSub>
          <m:sSubPr>
            <m:ctrlPr>
              <w:rPr>
                <w:rFonts w:ascii="Cambria Math" w:hAnsi="Cambria Math"/>
              </w:rPr>
            </m:ctrlPr>
          </m:sSubPr>
          <m:e>
            <m:r>
              <w:rPr>
                <w:rFonts w:ascii="Cambria Math" w:hAnsi="Cambria Math"/>
              </w:rPr>
              <m:t>R</m:t>
            </m:r>
          </m:e>
          <m:sub>
            <m:r>
              <w:rPr>
                <w:rFonts w:ascii="Cambria Math" w:hAnsi="Cambria Math"/>
              </w:rPr>
              <m:t>BDBE</m:t>
            </m:r>
            <m:r>
              <m:rPr>
                <m:sty m:val="p"/>
              </m:rPr>
              <w:rPr>
                <w:rFonts w:ascii="Cambria Math" w:hAnsi="Cambria Math"/>
              </w:rPr>
              <m:t>,</m:t>
            </m:r>
            <m:r>
              <w:rPr>
                <w:rFonts w:ascii="Cambria Math" w:hAnsi="Cambria Math"/>
              </w:rPr>
              <m:t>g</m:t>
            </m:r>
          </m:sub>
        </m:sSub>
      </m:oMath>
      <w:r>
        <w:t xml:space="preserve"> be the severe-event target release fraction, and </w:t>
      </w:r>
      <m:oMath>
        <m:sSub>
          <m:sSubPr>
            <m:ctrlPr>
              <w:rPr>
                <w:rFonts w:ascii="Cambria Math" w:hAnsi="Cambria Math"/>
              </w:rPr>
            </m:ctrlPr>
          </m:sSubPr>
          <m:e>
            <m:r>
              <w:rPr>
                <w:rFonts w:ascii="Cambria Math" w:hAnsi="Cambria Math"/>
              </w:rPr>
              <m:t>E</m:t>
            </m:r>
          </m:e>
          <m:sub>
            <m:r>
              <w:rPr>
                <w:rFonts w:ascii="Cambria Math" w:hAnsi="Cambria Math"/>
              </w:rPr>
              <m:t>mean</m:t>
            </m:r>
          </m:sub>
        </m:sSub>
      </m:oMath>
      <w:r>
        <w:t xml:space="preserve"> be the mean oxidizing-rod ECR expressed as a fraction. Then</w:t>
      </w:r>
    </w:p>
    <w:p w14:paraId="659B752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severe</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base</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BDBE</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base</m:t>
                  </m:r>
                  <m:r>
                    <m:rPr>
                      <m:sty m:val="p"/>
                    </m:rPr>
                    <w:rPr>
                      <w:rFonts w:ascii="Cambria Math" w:hAnsi="Cambria Math"/>
                    </w:rPr>
                    <m:t>,</m:t>
                  </m:r>
                  <m:r>
                    <w:rPr>
                      <w:rFonts w:ascii="Cambria Math" w:hAnsi="Cambria Math"/>
                    </w:rPr>
                    <m:t>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9.6</m:t>
              </m:r>
            </m:e>
          </m:d>
        </m:oMath>
      </m:oMathPara>
    </w:p>
    <w:p w14:paraId="17EAFA3E" w14:textId="77777777" w:rsidR="000F504F" w:rsidRDefault="00000000">
      <w:pPr>
        <w:pStyle w:val="FirstParagraph"/>
      </w:pPr>
      <w:r>
        <w:t>The release fraction is bounded by</w:t>
      </w:r>
    </w:p>
    <w:p w14:paraId="2C8EED8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base</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severe</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BDBE</m:t>
              </m:r>
              <m:r>
                <m:rPr>
                  <m:sty m:val="p"/>
                </m:rPr>
                <w:rPr>
                  <w:rFonts w:ascii="Cambria Math" w:hAnsi="Cambria Math"/>
                </w:rPr>
                <m:t>,</m:t>
              </m:r>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9.7</m:t>
              </m:r>
            </m:e>
          </m:d>
        </m:oMath>
      </m:oMathPara>
    </w:p>
    <w:p w14:paraId="023AEEB9" w14:textId="77777777" w:rsidR="000F504F" w:rsidRDefault="00000000">
      <w:pPr>
        <w:pStyle w:val="Heading2"/>
      </w:pPr>
      <w:bookmarkStart w:id="108" w:name="atmospheric-dispersion-and-dose"/>
      <w:bookmarkStart w:id="109" w:name="_Toc231205110"/>
      <w:bookmarkEnd w:id="106"/>
      <w:r>
        <w:t>9.4 Atmospheric Dispersion and Dose</w:t>
      </w:r>
      <w:bookmarkEnd w:id="109"/>
    </w:p>
    <w:p w14:paraId="29E4D5CC" w14:textId="77777777" w:rsidR="000F504F" w:rsidRDefault="00000000">
      <w:pPr>
        <w:pStyle w:val="FirstParagraph"/>
      </w:pPr>
      <w:r>
        <w:t xml:space="preserve">NOTBADTRAD calculates dose using a Gaussian plume representation. For a ground-level release, the centerline air concentration at distance </w:t>
      </w:r>
      <m:oMath>
        <m:r>
          <w:rPr>
            <w:rFonts w:ascii="Cambria Math" w:hAnsi="Cambria Math"/>
          </w:rPr>
          <m:t>x</m:t>
        </m:r>
      </m:oMath>
      <w:r>
        <w:t xml:space="preserve"> may be represented as</w:t>
      </w:r>
    </w:p>
    <w:p w14:paraId="4AEABB7E" w14:textId="77777777" w:rsidR="000F504F" w:rsidRDefault="00000000">
      <w:pPr>
        <w:pStyle w:val="BodyText"/>
      </w:pPr>
      <m:oMathPara>
        <m:oMathParaPr>
          <m:jc m:val="center"/>
        </m:oMathParaPr>
        <m:oMath>
          <m:r>
            <w:rPr>
              <w:rFonts w:ascii="Cambria Math" w:hAnsi="Cambria Math"/>
            </w:rPr>
            <m:t>χ</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Q</m:t>
                  </m:r>
                </m:e>
              </m:acc>
            </m:num>
            <m:den>
              <m:r>
                <w:rPr>
                  <w:rFonts w:ascii="Cambria Math" w:hAnsi="Cambria Math"/>
                </w:rPr>
                <m:t>πu</m:t>
              </m:r>
              <m:sSub>
                <m:sSubPr>
                  <m:ctrlPr>
                    <w:rPr>
                      <w:rFonts w:ascii="Cambria Math" w:hAnsi="Cambria Math"/>
                    </w:rPr>
                  </m:ctrlPr>
                </m:sSubPr>
                <m:e>
                  <m:r>
                    <w:rPr>
                      <w:rFonts w:ascii="Cambria Math" w:hAnsi="Cambria Math"/>
                    </w:rPr>
                    <m:t>σ</m:t>
                  </m:r>
                </m:e>
                <m:sub>
                  <m:r>
                    <w:rPr>
                      <w:rFonts w:ascii="Cambria Math" w:hAnsi="Cambria Math"/>
                    </w:rPr>
                    <m:t>y</m:t>
                  </m:r>
                </m:sub>
              </m:sSub>
              <m:sSub>
                <m:sSubPr>
                  <m:ctrlPr>
                    <w:rPr>
                      <w:rFonts w:ascii="Cambria Math" w:hAnsi="Cambria Math"/>
                    </w:rPr>
                  </m:ctrlPr>
                </m:sSubPr>
                <m:e>
                  <m:r>
                    <w:rPr>
                      <w:rFonts w:ascii="Cambria Math" w:hAnsi="Cambria Math"/>
                    </w:rPr>
                    <m:t>σ</m:t>
                  </m:r>
                </m:e>
                <m:sub>
                  <m:r>
                    <w:rPr>
                      <w:rFonts w:ascii="Cambria Math" w:hAnsi="Cambria Math"/>
                    </w:rPr>
                    <m:t>z</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9.8</m:t>
              </m:r>
            </m:e>
          </m:d>
        </m:oMath>
      </m:oMathPara>
    </w:p>
    <w:p w14:paraId="2A27AD16" w14:textId="77777777" w:rsidR="000F504F" w:rsidRDefault="00000000">
      <w:pPr>
        <w:pStyle w:val="FirstParagraph"/>
      </w:pPr>
      <w:r>
        <w:t xml:space="preserve">The time-integrated concentration is commonly expressed as </w:t>
      </w:r>
      <m:oMath>
        <m:r>
          <w:rPr>
            <w:rFonts w:ascii="Cambria Math" w:hAnsi="Cambria Math"/>
          </w:rPr>
          <m:t>χ</m:t>
        </m:r>
        <m:r>
          <m:rPr>
            <m:sty m:val="p"/>
          </m:rPr>
          <w:rPr>
            <w:rFonts w:ascii="Cambria Math" w:hAnsi="Cambria Math"/>
          </w:rPr>
          <m:t>/</m:t>
        </m:r>
        <m:r>
          <w:rPr>
            <w:rFonts w:ascii="Cambria Math" w:hAnsi="Cambria Math"/>
          </w:rPr>
          <m:t>Q</m:t>
        </m:r>
      </m:oMath>
      <w:r>
        <w:t>:</w:t>
      </w:r>
    </w:p>
    <w:p w14:paraId="4F27F670"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χ</m:t>
              </m:r>
            </m:num>
            <m:den>
              <m:r>
                <w:rPr>
                  <w:rFonts w:ascii="Cambria Math" w:hAnsi="Cambria Math"/>
                </w:rPr>
                <m:t>Q</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πu</m:t>
              </m:r>
              <m:sSub>
                <m:sSubPr>
                  <m:ctrlPr>
                    <w:rPr>
                      <w:rFonts w:ascii="Cambria Math" w:hAnsi="Cambria Math"/>
                    </w:rPr>
                  </m:ctrlPr>
                </m:sSubPr>
                <m:e>
                  <m:r>
                    <w:rPr>
                      <w:rFonts w:ascii="Cambria Math" w:hAnsi="Cambria Math"/>
                    </w:rPr>
                    <m:t>σ</m:t>
                  </m:r>
                </m:e>
                <m:sub>
                  <m:r>
                    <w:rPr>
                      <w:rFonts w:ascii="Cambria Math" w:hAnsi="Cambria Math"/>
                    </w:rPr>
                    <m:t>y</m:t>
                  </m:r>
                </m:sub>
              </m:sSub>
              <m:sSub>
                <m:sSubPr>
                  <m:ctrlPr>
                    <w:rPr>
                      <w:rFonts w:ascii="Cambria Math" w:hAnsi="Cambria Math"/>
                    </w:rPr>
                  </m:ctrlPr>
                </m:sSubPr>
                <m:e>
                  <m:r>
                    <w:rPr>
                      <w:rFonts w:ascii="Cambria Math" w:hAnsi="Cambria Math"/>
                    </w:rPr>
                    <m:t>σ</m:t>
                  </m:r>
                </m:e>
                <m:sub>
                  <m:r>
                    <w:rPr>
                      <w:rFonts w:ascii="Cambria Math" w:hAnsi="Cambria Math"/>
                    </w:rPr>
                    <m:t>z</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9.9</m:t>
              </m:r>
            </m:e>
          </m:d>
        </m:oMath>
      </m:oMathPara>
    </w:p>
    <w:p w14:paraId="4B261189" w14:textId="77777777" w:rsidR="000F504F" w:rsidRDefault="00000000">
      <w:pPr>
        <w:pStyle w:val="FirstParagraph"/>
      </w:pPr>
      <w:r>
        <w:t xml:space="preserve">The dose for receptor </w:t>
      </w:r>
      <m:oMath>
        <m:r>
          <w:rPr>
            <w:rFonts w:ascii="Cambria Math" w:hAnsi="Cambria Math"/>
          </w:rPr>
          <m:t>r</m:t>
        </m:r>
      </m:oMath>
      <w:r>
        <w:t xml:space="preserve"> is calculated by summing radionuclide group contributions:</w:t>
      </w:r>
    </w:p>
    <w:p w14:paraId="0E7B8F5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rel</m:t>
                  </m:r>
                  <m:r>
                    <m:rPr>
                      <m:sty m:val="p"/>
                    </m:rPr>
                    <w:rPr>
                      <w:rFonts w:ascii="Cambria Math" w:hAnsi="Cambria Math"/>
                    </w:rPr>
                    <m:t>,</m:t>
                  </m:r>
                  <m:r>
                    <w:rPr>
                      <w:rFonts w:ascii="Cambria Math" w:hAnsi="Cambria Math"/>
                    </w:rPr>
                    <m:t>g</m:t>
                  </m:r>
                </m:sub>
              </m:sSub>
            </m:e>
          </m:nary>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9.10</m:t>
              </m:r>
            </m:e>
          </m:d>
        </m:oMath>
      </m:oMathPara>
    </w:p>
    <w:p w14:paraId="3537870D" w14:textId="77777777" w:rsidR="000F504F" w:rsidRDefault="00000000">
      <w:pPr>
        <w:pStyle w:val="FirstParagraph"/>
      </w:pPr>
      <w:r>
        <w:t>For the risk tool, the plotted consequence is the sum of accident dose and iodine-spike dose:</w:t>
      </w:r>
    </w:p>
    <w:p w14:paraId="2E44D44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total</m:t>
              </m:r>
              <m:r>
                <m:rPr>
                  <m:sty m:val="p"/>
                </m:rPr>
                <w:rPr>
                  <w:rFonts w:ascii="Cambria Math" w:hAnsi="Cambria Math"/>
                </w:rPr>
                <m:t>,</m:t>
              </m:r>
              <m:r>
                <w:rPr>
                  <w:rFonts w:ascii="Cambria Math" w:hAnsi="Cambria Math"/>
                </w:rPr>
                <m:t>EAB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accident</m:t>
              </m:r>
              <m:r>
                <m:rPr>
                  <m:sty m:val="p"/>
                </m:rPr>
                <w:rPr>
                  <w:rFonts w:ascii="Cambria Math" w:hAnsi="Cambria Math"/>
                </w:rPr>
                <m:t>,</m:t>
              </m:r>
              <m:r>
                <w:rPr>
                  <w:rFonts w:ascii="Cambria Math" w:hAnsi="Cambria Math"/>
                </w:rPr>
                <m:t>EAB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iodine</m:t>
              </m:r>
              <m:r>
                <m:rPr>
                  <m:sty m:val="p"/>
                </m:rPr>
                <w:rPr>
                  <w:rFonts w:ascii="Cambria Math" w:hAnsi="Cambria Math"/>
                </w:rPr>
                <m:t>-</m:t>
              </m:r>
              <m:r>
                <w:rPr>
                  <w:rFonts w:ascii="Cambria Math" w:hAnsi="Cambria Math"/>
                </w:rPr>
                <m:t>spike</m:t>
              </m:r>
              <m:r>
                <m:rPr>
                  <m:sty m:val="p"/>
                </m:rPr>
                <w:rPr>
                  <w:rFonts w:ascii="Cambria Math" w:hAnsi="Cambria Math"/>
                </w:rPr>
                <m:t>,</m:t>
              </m:r>
              <m:r>
                <w:rPr>
                  <w:rFonts w:ascii="Cambria Math" w:hAnsi="Cambria Math"/>
                </w:rPr>
                <m:t>EAB</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9.11</m:t>
              </m:r>
            </m:e>
          </m:d>
        </m:oMath>
      </m:oMathPara>
    </w:p>
    <w:p w14:paraId="219006AD" w14:textId="77777777" w:rsidR="000F504F" w:rsidRDefault="00000000">
      <w:pPr>
        <w:pStyle w:val="Heading1"/>
      </w:pPr>
      <w:bookmarkStart w:id="110" w:name="chapter-10-risk-assessment-tool-theory"/>
      <w:bookmarkStart w:id="111" w:name="_Toc231205111"/>
      <w:bookmarkEnd w:id="100"/>
      <w:bookmarkEnd w:id="108"/>
      <w:r>
        <w:lastRenderedPageBreak/>
        <w:t>Chapter 10 — Risk Assessment Tool Theory</w:t>
      </w:r>
      <w:bookmarkEnd w:id="111"/>
    </w:p>
    <w:p w14:paraId="2D5CE9C0" w14:textId="77777777" w:rsidR="000F504F" w:rsidRDefault="00000000">
      <w:pPr>
        <w:pStyle w:val="Heading2"/>
      </w:pPr>
      <w:bookmarkStart w:id="112" w:name="purpose-and-scope-1"/>
      <w:bookmarkStart w:id="113" w:name="_Toc231205112"/>
      <w:r>
        <w:t>10.1 Purpose and Scope</w:t>
      </w:r>
      <w:bookmarkEnd w:id="113"/>
    </w:p>
    <w:p w14:paraId="6080287D" w14:textId="77777777" w:rsidR="000F504F" w:rsidRDefault="00000000">
      <w:pPr>
        <w:pStyle w:val="FirstParagraph"/>
      </w:pPr>
      <w:r>
        <w:t>The FLARE Risk Tool provides a frequency-consequence screening framework for organizing accident-analysis results in a risk-informed format. The tool is not a plant probabilistic risk assessment (PRA), and it does not calculate initiating-event frequencies from fault trees, event trees, common-cause models, or human-reliability models. Instead, it allows the analyst to assign representative event frequencies to FLARE cases, import the calculated consequences from the thermal-hydraulic and radiological modules, and display the resulting event points on a frequency-consequence (F-C) chart.</w:t>
      </w:r>
    </w:p>
    <w:p w14:paraId="2F9E3707" w14:textId="77777777" w:rsidR="000F504F" w:rsidRDefault="00000000">
      <w:pPr>
        <w:pStyle w:val="BodyText"/>
      </w:pPr>
      <w:r>
        <w:t>The conceptual basis is the Farmer Curve and its modern descendants. A Farmer Curve expresses a risk acceptance or design-objective boundary in terms of accident frequency and accident consequence. In a simple form, events with larger consequences are expected to have lower frequencies. This is the same organizing principle used in frequency-consequence diagrams in risk-informed licensing frameworks. NEI 18-04 Rev. 1 applies this concept in the Licensing Modernization Project (LMP) methodology for selection of licensing-basis events, classification of structures, systems, and components, and assessment of defense-in-depth adequacy for non-light-water reactors. FLARE adapts the same style of presentation as a screening and communication tool for light-water-reactor accident sequences.</w:t>
      </w:r>
    </w:p>
    <w:p w14:paraId="63B1C56F" w14:textId="77777777" w:rsidR="000F504F" w:rsidRDefault="00000000">
      <w:pPr>
        <w:pStyle w:val="Heading2"/>
      </w:pPr>
      <w:bookmarkStart w:id="114" w:name="farmer-curve-concept"/>
      <w:bookmarkStart w:id="115" w:name="_Toc231205113"/>
      <w:bookmarkEnd w:id="112"/>
      <w:r>
        <w:t>10.2 Farmer Curve Concept</w:t>
      </w:r>
      <w:bookmarkEnd w:id="115"/>
    </w:p>
    <w:p w14:paraId="35F00E83" w14:textId="77777777" w:rsidR="000F504F" w:rsidRDefault="00000000">
      <w:pPr>
        <w:pStyle w:val="FirstParagraph"/>
      </w:pPr>
      <w:r>
        <w:t xml:space="preserve">Let </w:t>
      </w:r>
      <m:oMath>
        <m:r>
          <w:rPr>
            <w:rFonts w:ascii="Cambria Math" w:hAnsi="Cambria Math"/>
          </w:rPr>
          <m:t>C</m:t>
        </m:r>
      </m:oMath>
      <w:r>
        <w:t xml:space="preserve"> denote an accident consequence measure and </w:t>
      </w:r>
      <m:oMath>
        <m:r>
          <w:rPr>
            <w:rFonts w:ascii="Cambria Math" w:hAnsi="Cambria Math"/>
          </w:rPr>
          <m:t>F</m:t>
        </m:r>
      </m:oMath>
      <w:r>
        <w:t xml:space="preserve"> denote the mean frequency of the event or event sequence. A generic Farmer-type criterion can be written as</w:t>
      </w:r>
    </w:p>
    <w:p w14:paraId="5569939A" w14:textId="77777777" w:rsidR="000F504F" w:rsidRDefault="00000000">
      <w:pPr>
        <w:pStyle w:val="BodyText"/>
      </w:pPr>
      <m:oMathPara>
        <m:oMathParaPr>
          <m:jc m:val="center"/>
        </m:oMathPara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m:t>
              </m:r>
            </m:e>
          </m:d>
        </m:oMath>
      </m:oMathPara>
    </w:p>
    <w:p w14:paraId="4E5056E2" w14:textId="77777777" w:rsidR="000F504F" w:rsidRDefault="00000000">
      <w:pPr>
        <w:pStyle w:val="FirstParagraph"/>
      </w:pPr>
      <w:r>
        <w:t xml:space="preserve">The limiting curve </w:t>
      </w: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oMath>
      <w:r>
        <w:t xml:space="preserve"> is a decreasing function of consequence. In its simplest power-law representation,</w:t>
      </w:r>
    </w:p>
    <w:p w14:paraId="7B21F11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K</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p</m:t>
              </m:r>
            </m:sup>
          </m:sSup>
          <m:r>
            <m:rPr>
              <m:sty m:val="p"/>
            </m:rPr>
            <w:rPr>
              <w:rFonts w:ascii="Cambria Math" w:hAnsi="Cambria Math"/>
            </w:rPr>
            <m:t>,</m:t>
          </m:r>
          <m:r>
            <w:rPr>
              <w:rFonts w:ascii="Cambria Math" w:hAnsi="Cambria Math"/>
            </w:rPr>
            <m:t>  p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m:t>
              </m:r>
            </m:e>
          </m:d>
        </m:oMath>
      </m:oMathPara>
    </w:p>
    <w:p w14:paraId="602A18A1" w14:textId="77777777" w:rsidR="000F504F" w:rsidRDefault="00000000">
      <w:pPr>
        <w:pStyle w:val="FirstParagraph"/>
      </w:pPr>
      <w:r>
        <w:t xml:space="preserve">where </w:t>
      </w:r>
      <m:oMath>
        <m:r>
          <w:rPr>
            <w:rFonts w:ascii="Cambria Math" w:hAnsi="Cambria Math"/>
          </w:rPr>
          <m:t>K</m:t>
        </m:r>
      </m:oMath>
      <w:r>
        <w:t xml:space="preserve"> is a normalization constant and </w:t>
      </w:r>
      <m:oMath>
        <m:r>
          <w:rPr>
            <w:rFonts w:ascii="Cambria Math" w:hAnsi="Cambria Math"/>
          </w:rPr>
          <m:t>p</m:t>
        </m:r>
      </m:oMath>
      <w:r>
        <w:t xml:space="preserve"> is the slope parameter. Taking common logarithms gives a straight-line representation on a log-log plot:</w:t>
      </w:r>
    </w:p>
    <w:p w14:paraId="49FFB147"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K</m:t>
          </m:r>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10.3</m:t>
              </m:r>
            </m:e>
          </m:d>
        </m:oMath>
      </m:oMathPara>
    </w:p>
    <w:p w14:paraId="7140D3FF" w14:textId="77777777" w:rsidR="000F504F" w:rsidRDefault="00000000">
      <w:pPr>
        <w:pStyle w:val="FirstParagraph"/>
      </w:pPr>
      <w:r>
        <w:t xml:space="preserve">This form captures the central intuition of the Farmer Curve: higher-consequence events require lower allowable frequencies. If </w:t>
      </w:r>
      <m:oMath>
        <m:r>
          <w:rPr>
            <w:rFonts w:ascii="Cambria Math" w:hAnsi="Cambria Math"/>
          </w:rPr>
          <m:t>p</m:t>
        </m:r>
        <m:r>
          <m:rPr>
            <m:sty m:val="p"/>
          </m:rPr>
          <w:rPr>
            <w:rFonts w:ascii="Cambria Math" w:hAnsi="Cambria Math"/>
          </w:rPr>
          <m:t>=</m:t>
        </m:r>
        <m:r>
          <w:rPr>
            <w:rFonts w:ascii="Cambria Math" w:hAnsi="Cambria Math"/>
          </w:rPr>
          <m:t>1</m:t>
        </m:r>
      </m:oMath>
      <w:r>
        <w:t>, the curve corresponds to approximately constant frequency-consequence product,</w:t>
      </w:r>
    </w:p>
    <w:p w14:paraId="5F11CA5B" w14:textId="77777777" w:rsidR="000F504F" w:rsidRDefault="00000000">
      <w:pPr>
        <w:pStyle w:val="BodyText"/>
      </w:pPr>
      <m:oMathPara>
        <m:oMathParaPr>
          <m:jc m:val="center"/>
        </m:oMathParaPr>
        <m:oMath>
          <m:r>
            <w:rPr>
              <w:rFonts w:ascii="Cambria Math" w:hAnsi="Cambria Math"/>
            </w:rPr>
            <m:t>FC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10.4</m:t>
              </m:r>
            </m:e>
          </m:d>
        </m:oMath>
      </m:oMathPara>
    </w:p>
    <w:p w14:paraId="488CF47A" w14:textId="77777777" w:rsidR="000F504F" w:rsidRDefault="00000000">
      <w:pPr>
        <w:pStyle w:val="FirstParagraph"/>
      </w:pPr>
      <w:r>
        <w:t>More generally, the integrated risk associated with a discrete set of event sequences can be approximated by</w:t>
      </w:r>
    </w:p>
    <w:p w14:paraId="628BC9FB" w14:textId="77777777" w:rsidR="000F504F" w:rsidRDefault="00000000">
      <w:pPr>
        <w:pStyle w:val="BodyText"/>
      </w:pPr>
      <m:oMathPara>
        <m:oMathParaPr>
          <m:jc m:val="center"/>
        </m:oMathParaPr>
        <m:oMath>
          <m:r>
            <w:rPr>
              <w:rFonts w:ascii="Cambria Math" w:hAnsi="Cambria Math"/>
            </w:rPr>
            <m:t>R</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10.5</m:t>
              </m:r>
            </m:e>
          </m:d>
        </m:oMath>
      </m:oMathPara>
    </w:p>
    <w:p w14:paraId="27D07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the mean frequency of event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consequence measure for that event. FLARE’s F-C chart is primarily an event-by-event screening display, not a full integrated-risk calculation. Equation (10.5), however, provides the interpretive basis for understanding why frequency and consequence should be considered together.</w:t>
      </w:r>
    </w:p>
    <w:p w14:paraId="047D807E" w14:textId="77777777" w:rsidR="000F504F" w:rsidRDefault="00000000">
      <w:pPr>
        <w:pStyle w:val="Heading2"/>
      </w:pPr>
      <w:bookmarkStart w:id="116" w:name="consequence-metric-used-in-flare"/>
      <w:bookmarkStart w:id="117" w:name="_Toc231205114"/>
      <w:bookmarkEnd w:id="114"/>
      <w:r>
        <w:lastRenderedPageBreak/>
        <w:t>10.3 Consequence Metric Used in FLARE</w:t>
      </w:r>
      <w:bookmarkEnd w:id="117"/>
    </w:p>
    <w:p w14:paraId="5DB71CBE" w14:textId="77777777" w:rsidR="000F504F" w:rsidRDefault="00000000">
      <w:pPr>
        <w:pStyle w:val="FirstParagraph"/>
      </w:pPr>
      <w:r>
        <w:t>The consequence axis in the FLARE Risk Tool is based on radiological dose. For each simulated case, the source-term and dose module calculates accident dose at selected receptor locations. For the frequency-consequence chart, FLARE uses the exclusion area boundary (EAB) total dose unless otherwise specified by the user:</w:t>
      </w:r>
    </w:p>
    <w:p w14:paraId="54D67CF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10.6</m:t>
              </m:r>
            </m:e>
          </m:d>
        </m:oMath>
      </m:oMathPara>
    </w:p>
    <w:p w14:paraId="4385D931" w14:textId="77777777" w:rsidR="000F504F" w:rsidRDefault="00000000">
      <w:pPr>
        <w:pStyle w:val="FirstParagraph"/>
      </w:pPr>
      <w:r>
        <w:t>The total plotted EAB dose is calculated as</w:t>
      </w:r>
    </w:p>
    <w:p w14:paraId="00E9FA22"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10.7</m:t>
              </m:r>
            </m:e>
          </m:d>
        </m:oMath>
      </m:oMathPara>
    </w:p>
    <w:p w14:paraId="2B2D88D9" w14:textId="77777777" w:rsidR="000F504F" w:rsidRDefault="00000000">
      <w:pPr>
        <w:pStyle w:val="FirstParagraph"/>
      </w:pPr>
      <w:r>
        <w:t xml:space="preserve">where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oMath>
      <w:r>
        <w:t xml:space="preserve"> is the dose associated with the event source term and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oMath>
      <w:r>
        <w:t xml:space="preserve"> is the added iodine-spike contribution when that option is active. The dose may be expressed in rem TEDE or another consistent dose unit, provided that the F-C boundary is defined in the same unit.</w:t>
      </w:r>
    </w:p>
    <w:p w14:paraId="0CE7C3E7" w14:textId="77777777" w:rsidR="000F504F" w:rsidRDefault="00000000">
      <w:pPr>
        <w:pStyle w:val="BodyText"/>
      </w:pPr>
      <w:r>
        <w:t>The use of EAB dose is a screening convention. It does not imply that EAB dose is the only relevant consequence metric for risk-informed decision-making. Other consequence measures could be used, including LPZ dose, control-room dose, early-fatality risk, latent-cancer risk, release fraction, or conditional containment failure probability. In all cases, the consequence measure and the F-C boundary must be defined consistently.</w:t>
      </w:r>
    </w:p>
    <w:p w14:paraId="32533672" w14:textId="77777777" w:rsidR="000F504F" w:rsidRDefault="00000000">
      <w:pPr>
        <w:pStyle w:val="Heading2"/>
      </w:pPr>
      <w:bookmarkStart w:id="118" w:name="event-frequency-assignment"/>
      <w:bookmarkStart w:id="119" w:name="_Toc231205115"/>
      <w:bookmarkEnd w:id="116"/>
      <w:r>
        <w:t>10.4 Event Frequency Assignment</w:t>
      </w:r>
      <w:bookmarkEnd w:id="119"/>
    </w:p>
    <w:p w14:paraId="3D5C741D" w14:textId="77777777" w:rsidR="000F504F" w:rsidRDefault="00000000">
      <w:pPr>
        <w:pStyle w:val="FirstParagraph"/>
      </w:pPr>
      <w:r>
        <w:t>FLARE does not infer the event frequency from the transient calculation. The user assigns or imports a representative mean frequency for each case:</w:t>
      </w:r>
    </w:p>
    <w:p w14:paraId="1EDF63A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assigned</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10.8</m:t>
              </m:r>
            </m:e>
          </m:d>
        </m:oMath>
      </m:oMathPara>
    </w:p>
    <w:p w14:paraId="7AFFABA0" w14:textId="77777777" w:rsidR="000F504F" w:rsidRDefault="00000000">
      <w:pPr>
        <w:pStyle w:val="FirstParagraph"/>
      </w:pPr>
      <w:r>
        <w:t>The assigned frequency should correspond to the complete event sequence represented by the FLARE input case. If the case represents a bounding deterministic transient rather than a specific PRA sequence, the analyst should state the mapping basis explicitly. For example, a small-break LOCA case may represent a break-size family rather than a single pipe rupture. An ATWS case may represent a class of anticipated transients with common scram failure. A loss-of-heat-sink case may represent a family of secondary-side failures, not a unique initiating event.</w:t>
      </w:r>
    </w:p>
    <w:p w14:paraId="3D6819C7" w14:textId="77777777" w:rsidR="000F504F" w:rsidRDefault="00000000">
      <w:pPr>
        <w:pStyle w:val="BodyText"/>
      </w:pPr>
      <w:r>
        <w:t>When a frequency is derived from multiple contributing sequences, the appropriate combined frequency is</w:t>
      </w:r>
    </w:p>
    <w:p w14:paraId="5DB1BC7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10.9</m:t>
              </m:r>
            </m:e>
          </m:d>
        </m:oMath>
      </m:oMathPara>
    </w:p>
    <w:p w14:paraId="0698CF0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i</m:t>
            </m:r>
          </m:sub>
        </m:sSub>
      </m:oMath>
      <w:r>
        <w:t xml:space="preserve"> is the set of PRA sequences or event classes mapped to FLARE case </w:t>
      </w:r>
      <m:oMath>
        <m:r>
          <w:rPr>
            <w:rFonts w:ascii="Cambria Math" w:hAnsi="Cambria Math"/>
          </w:rPr>
          <m:t>i</m:t>
        </m:r>
      </m:oMath>
      <w:r>
        <w:t>. If the FLARE case is instead intended to represent one sequence selected from a family, then Equation (10.9) should not be applied unless the consequence is demonstrably bounding for the full family.</w:t>
      </w:r>
    </w:p>
    <w:p w14:paraId="2F4BA559" w14:textId="77777777" w:rsidR="000F504F" w:rsidRDefault="00000000">
      <w:pPr>
        <w:pStyle w:val="Heading2"/>
      </w:pPr>
      <w:bookmarkStart w:id="120" w:name="X353fb004ec45b9144788357c0457935e36fcd79"/>
      <w:bookmarkStart w:id="121" w:name="_Toc231205116"/>
      <w:bookmarkEnd w:id="118"/>
      <w:r>
        <w:t>10.5 Frequency-Consequence Boundary Representation</w:t>
      </w:r>
      <w:bookmarkEnd w:id="121"/>
    </w:p>
    <w:p w14:paraId="041324B2" w14:textId="77777777" w:rsidR="000F504F" w:rsidRDefault="00000000">
      <w:pPr>
        <w:pStyle w:val="FirstParagraph"/>
      </w:pPr>
      <w:r>
        <w:t>The FLARE Risk Tool represents the design-objective boundary as a set of ordered points in log-frequency/log-consequence space:</w:t>
      </w:r>
    </w:p>
    <w:p w14:paraId="6D738093" w14:textId="77777777" w:rsidR="000F504F" w:rsidRDefault="00000000">
      <w:pPr>
        <w:pStyle w:val="BodyText"/>
      </w:pPr>
      <m:oMathPara>
        <m:oMathParaPr>
          <m:jc m:val="center"/>
        </m:oMathParaPr>
        <m:oMath>
          <m:r>
            <m:rPr>
              <m:scr m:val="script"/>
              <m:sty m:val="p"/>
            </m:rP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10.10</m:t>
              </m:r>
            </m:e>
          </m:d>
        </m:oMath>
      </m:oMathPara>
    </w:p>
    <w:p w14:paraId="03188549" w14:textId="77777777" w:rsidR="000F504F" w:rsidRDefault="00000000">
      <w:pPr>
        <w:pStyle w:val="FirstParagraph"/>
      </w:pPr>
      <w:r>
        <w:t xml:space="preserve">For a consequence </w:t>
      </w:r>
      <m:oMath>
        <m:r>
          <w:rPr>
            <w:rFonts w:ascii="Cambria Math" w:hAnsi="Cambria Math"/>
          </w:rPr>
          <m:t>C</m:t>
        </m:r>
      </m:oMath>
      <w:r>
        <w:t xml:space="preserve"> between two tabulated boundary points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oMath>
      <w:r>
        <w:t>, the boundary frequency is evaluated by log-log interpolation:</w:t>
      </w:r>
    </w:p>
    <w:p w14:paraId="5EBDFAFD"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num>
            <m:den>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10.11</m:t>
              </m:r>
            </m:e>
          </m:d>
        </m:oMath>
      </m:oMathPara>
    </w:p>
    <w:p w14:paraId="3952A1F7" w14:textId="77777777" w:rsidR="000F504F" w:rsidRDefault="00000000">
      <w:pPr>
        <w:pStyle w:val="FirstParagraph"/>
      </w:pPr>
      <w:r>
        <w:t>Equivalently,</w:t>
      </w:r>
    </w:p>
    <w:p w14:paraId="321C5A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10.12</m:t>
              </m:r>
            </m:e>
          </m:d>
        </m:oMath>
      </m:oMathPara>
    </w:p>
    <w:p w14:paraId="04C2C51A" w14:textId="77777777" w:rsidR="000F504F" w:rsidRDefault="00000000">
      <w:pPr>
        <w:pStyle w:val="FirstParagraph"/>
      </w:pPr>
      <w:r>
        <w:t>A case is below the boundary if</w:t>
      </w:r>
    </w:p>
    <w:p w14:paraId="3F1035D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10.13</m:t>
              </m:r>
            </m:e>
          </m:d>
        </m:oMath>
      </m:oMathPara>
    </w:p>
    <w:p w14:paraId="6BEE1FD7" w14:textId="77777777" w:rsidR="000F504F" w:rsidRDefault="00000000">
      <w:pPr>
        <w:pStyle w:val="FirstParagraph"/>
      </w:pPr>
      <w:r>
        <w:t>The logarithmic distance to the boundary is a useful scalar margin:</w:t>
      </w:r>
    </w:p>
    <w:p w14:paraId="294877C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10.14</m:t>
              </m:r>
            </m:e>
          </m:d>
        </m:oMath>
      </m:oMathPara>
    </w:p>
    <w:p w14:paraId="5C283D73" w14:textId="77777777" w:rsidR="000F504F" w:rsidRDefault="00000000">
      <w:pPr>
        <w:pStyle w:val="FirstParagraph"/>
      </w:pPr>
      <w:r>
        <w:t>Positive margin indicates that the plotted event is below the boundary; negative margin indicates that it is above the boundary. A multiplicative margin may also be reported:</w:t>
      </w:r>
    </w:p>
    <w:p w14:paraId="0ECA400B" w14:textId="77777777" w:rsidR="000F504F"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10.15</m:t>
              </m:r>
            </m:e>
          </m:d>
        </m:oMath>
      </m:oMathPara>
    </w:p>
    <w:p w14:paraId="0007A29E" w14:textId="77777777" w:rsidR="000F504F" w:rsidRDefault="00000000">
      <w:pPr>
        <w:pStyle w:val="Heading2"/>
      </w:pPr>
      <w:bookmarkStart w:id="122" w:name="nei-18-04lmp-interpretation"/>
      <w:bookmarkStart w:id="123" w:name="_Toc231205117"/>
      <w:bookmarkEnd w:id="120"/>
      <w:r>
        <w:t>10.6 NEI 18-04/LMP Interpretation</w:t>
      </w:r>
      <w:bookmarkEnd w:id="123"/>
    </w:p>
    <w:p w14:paraId="3FF638DA" w14:textId="77777777" w:rsidR="000F504F" w:rsidRDefault="00000000">
      <w:pPr>
        <w:pStyle w:val="FirstParagraph"/>
      </w:pPr>
      <w:r>
        <w:t>NEI 18-04 uses frequency-consequence evaluation as part of a broader risk-informed, performance-based methodology. The F-C chart is not intended to stand alone. It is used together with selection of licensing-basis events, classification of structures, systems, and components, risk-significance determinations, and evaluation of defense-in-depth. In that framework, events are grouped by frequency and consequence to support decisions about which event sequences require formal treatment in the licensing basis and which structures, systems, and components must be credited for prevention or mitigation.</w:t>
      </w:r>
    </w:p>
    <w:p w14:paraId="63EFD88A" w14:textId="77777777" w:rsidR="000F504F" w:rsidRDefault="00000000">
      <w:pPr>
        <w:pStyle w:val="BodyText"/>
      </w:pPr>
      <w:r>
        <w:t>For FLARE, the corresponding interpretation is narrower. A FLARE case plotted on the F-C chart is a screening point:</w:t>
      </w:r>
    </w:p>
    <w:p w14:paraId="03530958" w14:textId="77777777" w:rsidR="000F504F" w:rsidRDefault="00000000">
      <w:pPr>
        <w:pStyle w:val="BodyText"/>
      </w:pPr>
      <m:oMathPara>
        <m:oMathParaPr>
          <m:jc m:val="center"/>
        </m:oMathParaPr>
        <m:oMath>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10.16</m:t>
              </m:r>
            </m:e>
          </m:d>
        </m:oMath>
      </m:oMathPara>
    </w:p>
    <w:p w14:paraId="239A14F7" w14:textId="77777777" w:rsidR="000F504F" w:rsidRDefault="00000000">
      <w:pPr>
        <w:pStyle w:val="FirstParagraph"/>
      </w:pPr>
      <w:r>
        <w:t>The point communicates whether the assigned event frequency and calculated consequence are small relative to the selected design-objective boundary. It does not, by itself, establish the licensing-basis event set, define safety-related or non-safety-related-with-special-treatment SSCs, demonstrate adequate defense-in-depth, or substitute for a PRA.</w:t>
      </w:r>
    </w:p>
    <w:p w14:paraId="692310B6" w14:textId="77777777" w:rsidR="000F504F" w:rsidRDefault="00000000">
      <w:pPr>
        <w:pStyle w:val="BodyText"/>
      </w:pPr>
      <w:r>
        <w:t>The risk-informed value of the tool is comparative. It allows the analyst to ask questions such as: Which cases dominate the frequency-consequence display? Which events approach the design-objective boundary? Which consequence results are sensitive to source-term assumptions? Which mitigation systems most reduce the location of a point on the F-C chart? These are screening questions, but they are useful for organizing deterministic accident calculations in a risk-informed manner.</w:t>
      </w:r>
    </w:p>
    <w:p w14:paraId="014503D1" w14:textId="77777777" w:rsidR="000F504F" w:rsidRDefault="00000000">
      <w:pPr>
        <w:pStyle w:val="Heading2"/>
      </w:pPr>
      <w:bookmarkStart w:id="124" w:name="treatment-of-uncertainty"/>
      <w:bookmarkStart w:id="125" w:name="_Toc231205118"/>
      <w:bookmarkEnd w:id="122"/>
      <w:r>
        <w:t>10.7 Treatment of Uncertainty</w:t>
      </w:r>
      <w:bookmarkEnd w:id="125"/>
    </w:p>
    <w:p w14:paraId="4FB01967" w14:textId="77777777" w:rsidR="000F504F" w:rsidRDefault="00000000">
      <w:pPr>
        <w:pStyle w:val="FirstParagraph"/>
      </w:pPr>
      <w:r>
        <w:t>A point on the F-C chart is uncertain in both coordinates. The consequence uncertainty arises from thermal-hydraulic model uncertainty, source-term uncertainty, dose-conversion uncertainty, meteorological assumptions, and receptor assumptions. Frequency uncertainty arises from initiating-event frequency, reliability data, human reliability, common-cause assumptions, and event-sequence modeling.</w:t>
      </w:r>
    </w:p>
    <w:p w14:paraId="31CB7244" w14:textId="77777777" w:rsidR="000F504F" w:rsidRDefault="00000000">
      <w:pPr>
        <w:pStyle w:val="BodyText"/>
      </w:pPr>
      <w:r>
        <w:t>A consequence uncertainty factor may be represented as</w:t>
      </w:r>
    </w:p>
    <w:p w14:paraId="64EB6495"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10.17</m:t>
              </m:r>
            </m:e>
          </m:d>
        </m:oMath>
      </m:oMathPara>
    </w:p>
    <w:p w14:paraId="357E85B7"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oMath>
      <w:r>
        <w:t xml:space="preserve"> is a sampled or specified multiplicative uncertainty factor. Similarly, frequency uncertainty can be represented as</w:t>
      </w:r>
    </w:p>
    <w:p w14:paraId="51DC924C"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10.18</m:t>
              </m:r>
            </m:e>
          </m:d>
        </m:oMath>
      </m:oMathPara>
    </w:p>
    <w:p w14:paraId="15E55F21" w14:textId="77777777" w:rsidR="000F504F" w:rsidRDefault="00000000">
      <w:pPr>
        <w:pStyle w:val="FirstParagraph"/>
      </w:pPr>
      <w:r>
        <w:t>The uncertain margin becomes</w:t>
      </w:r>
    </w:p>
    <w:p w14:paraId="1B7F2F96"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e>
                  </m:d>
                </m:num>
                <m:den>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10.19</m:t>
              </m:r>
            </m:e>
          </m:d>
        </m:oMath>
      </m:oMathPara>
    </w:p>
    <w:p w14:paraId="7951429D" w14:textId="77777777" w:rsidR="000F504F" w:rsidRDefault="00000000">
      <w:pPr>
        <w:pStyle w:val="FirstParagraph"/>
      </w:pPr>
      <w:r>
        <w:t xml:space="preserve">FLARE’s current Risk Tool primarily uses deterministic point estimates for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and calculated consequences for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When uncertainty-analysis outputs are available, the analyst may use percentile consequence values, bounding source-term assumptions, or sensitivity cases to explore how far a point could move on the F-C chart. A conservative screening application should avoid interpreting a narrowly positive point-estimate margin as robust unless the important uncertainties have been considered.</w:t>
      </w:r>
    </w:p>
    <w:p w14:paraId="3D7578EC" w14:textId="77777777" w:rsidR="000F504F" w:rsidRDefault="00000000">
      <w:pPr>
        <w:pStyle w:val="Heading2"/>
      </w:pPr>
      <w:bookmarkStart w:id="126" w:name="Xbb1acf6bfc05f0e03509c0b61d2a1d54def9a0d"/>
      <w:bookmarkStart w:id="127" w:name="_Toc231205119"/>
      <w:bookmarkEnd w:id="124"/>
      <w:r>
        <w:t>10.8 Relationship to Deterministic Acceptance Criteria</w:t>
      </w:r>
      <w:bookmarkEnd w:id="127"/>
    </w:p>
    <w:p w14:paraId="5EACC130" w14:textId="77777777" w:rsidR="000F504F" w:rsidRDefault="00000000">
      <w:pPr>
        <w:pStyle w:val="FirstParagraph"/>
      </w:pPr>
      <w:r>
        <w:t>The F-C chart is not a replacement for deterministic acceptance criteria. A case may be acceptable on an F-C chart yet still violate a deterministic criterion that applies to the event class. Conversely, a case may satisfy deterministic acceptance limits but plot near a frequency-consequence design objective because of a high assigned frequency or a relatively large dose consequence.</w:t>
      </w:r>
    </w:p>
    <w:p w14:paraId="247C24E8" w14:textId="77777777" w:rsidR="000F504F" w:rsidRDefault="00000000">
      <w:pPr>
        <w:pStyle w:val="BodyText"/>
      </w:pPr>
      <w:r>
        <w:t>The deterministic and risk-informed views can be expressed as separate tests:</w:t>
      </w:r>
    </w:p>
    <w:p w14:paraId="49A0A349" w14:textId="77777777" w:rsidR="000F504F" w:rsidRDefault="00000000">
      <w:pPr>
        <w:pStyle w:val="BodyText"/>
      </w:pPr>
      <m:oMathPara>
        <m:oMathParaPr>
          <m:jc m:val="center"/>
        </m:oMathParaPr>
        <m:oMath>
          <m:r>
            <m:rPr>
              <m:sty m:val="p"/>
            </m:rPr>
            <w:rPr>
              <w:rFonts w:ascii="Cambria Math" w:hAnsi="Cambria Math"/>
            </w:rPr>
            <m:t>Deterministic test: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lim</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10.20</m:t>
              </m:r>
            </m:e>
          </m:d>
        </m:oMath>
      </m:oMathPara>
    </w:p>
    <w:p w14:paraId="32A4FA8B" w14:textId="77777777" w:rsidR="000F504F" w:rsidRDefault="00000000">
      <w:pPr>
        <w:pStyle w:val="FirstParagraph"/>
      </w:pPr>
      <m:oMathPara>
        <m:oMathParaPr>
          <m:jc m:val="center"/>
        </m:oMathParaPr>
        <m:oMath>
          <m:r>
            <m:rPr>
              <m:sty m:val="p"/>
            </m:rPr>
            <w:rPr>
              <w:rFonts w:ascii="Cambria Math" w:hAnsi="Cambria Math"/>
            </w:rPr>
            <m:t>Risk</m:t>
          </m:r>
          <m:r>
            <m:rPr>
              <m:nor/>
            </m:rPr>
            <m:t>-</m:t>
          </m:r>
          <m:r>
            <m:rPr>
              <m:sty m:val="p"/>
            </m:rPr>
            <w:rPr>
              <w:rFonts w:ascii="Cambria Math" w:hAnsi="Cambria Math"/>
            </w:rPr>
            <m:t>informed screen:</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10.21</m:t>
              </m:r>
            </m:e>
          </m:d>
        </m:oMath>
      </m:oMathPara>
    </w:p>
    <w:p w14:paraId="7E2C63D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a deterministic figure of merit such as PCT, ECR, containment pressure, or control-room dose. In a complete safety evaluation, both types of information are considered. The FLARE Risk Tool is intended to make the second test visible and traceable without obscuring the first.</w:t>
      </w:r>
    </w:p>
    <w:p w14:paraId="07FFE610" w14:textId="77777777" w:rsidR="000F504F" w:rsidRDefault="00000000">
      <w:pPr>
        <w:pStyle w:val="Heading2"/>
      </w:pPr>
      <w:bookmarkStart w:id="128" w:name="limitations"/>
      <w:bookmarkStart w:id="129" w:name="_Toc231205120"/>
      <w:bookmarkEnd w:id="126"/>
      <w:r>
        <w:t>10.9 Limitations</w:t>
      </w:r>
      <w:bookmarkEnd w:id="129"/>
    </w:p>
    <w:p w14:paraId="7F29A017" w14:textId="77777777" w:rsidR="000F504F" w:rsidRDefault="00000000">
      <w:pPr>
        <w:pStyle w:val="FirstParagraph"/>
      </w:pPr>
      <w:r>
        <w:t>The principal limitation of the Risk Tool is that it is only as credible as the frequency and consequence inputs. A visually favorable point on an F-C chart is not meaningful if the frequency assignment is arbitrary, if the FLARE case is not representative of the event sequence, or if the consequence calculation omits important release or transport pathways. The tool also does not calculate cumulative risk over an entire plant event set unless the user supplies a complete, non-overlapping set of event frequencies and consequences.</w:t>
      </w:r>
    </w:p>
    <w:p w14:paraId="7AEF9FF7" w14:textId="77777777" w:rsidR="000F504F" w:rsidRDefault="00000000">
      <w:pPr>
        <w:pStyle w:val="BodyText"/>
      </w:pPr>
      <w:r>
        <w:t>A second limitation is that the plotted consequence may be a dose-screening result rather than a mechanistic offsite consequence calculation. Simplified atmospheric dispersion, simplified source-term escalation, and conservative dose-conversion assumptions can dominate the result. The user should therefore treat the F-C chart as a decision-support and communication tool, not as a final risk metric independent of the assumptions used to create it.</w:t>
      </w:r>
    </w:p>
    <w:p w14:paraId="55D8D29F" w14:textId="77777777" w:rsidR="000F504F" w:rsidRDefault="00000000">
      <w:pPr>
        <w:pStyle w:val="BodyText"/>
      </w:pPr>
      <w:r>
        <w:t>Finally, NEI 18-04 is a licensing-basis-development methodology, not merely a curve-drawing exercise. The F-C chart provides one important view of the event set, but the broader methodology also requires systematic event selection, SSC classification, evaluation of defense-in-depth, and documentation of the design-specific basis for credited prevention and mitigation functions.</w:t>
      </w:r>
    </w:p>
    <w:p w14:paraId="7A14FC65" w14:textId="77777777" w:rsidR="000F504F" w:rsidRDefault="00000000">
      <w:pPr>
        <w:pStyle w:val="Heading1"/>
      </w:pPr>
      <w:bookmarkStart w:id="130" w:name="Xa9d57bb01e12684d4902b559d9278dc005fa79e"/>
      <w:bookmarkStart w:id="131" w:name="_Toc231205121"/>
      <w:bookmarkEnd w:id="110"/>
      <w:bookmarkEnd w:id="128"/>
      <w:r>
        <w:lastRenderedPageBreak/>
        <w:t>Chapter 11 — Code Assessment and Limitations</w:t>
      </w:r>
      <w:bookmarkEnd w:id="131"/>
    </w:p>
    <w:p w14:paraId="12239858" w14:textId="77777777" w:rsidR="000F504F" w:rsidRDefault="00000000">
      <w:pPr>
        <w:pStyle w:val="Heading2"/>
      </w:pPr>
      <w:bookmarkStart w:id="132" w:name="conservation-checks"/>
      <w:bookmarkStart w:id="133" w:name="_Toc231205122"/>
      <w:r>
        <w:t>11.1 Conservation Checks</w:t>
      </w:r>
      <w:bookmarkEnd w:id="133"/>
    </w:p>
    <w:p w14:paraId="7A981FF0" w14:textId="77777777" w:rsidR="000F504F" w:rsidRDefault="00000000">
      <w:pPr>
        <w:pStyle w:val="FirstParagraph"/>
      </w:pPr>
      <w:r>
        <w:t>The principal global mass-conservation diagnostic is</w:t>
      </w:r>
    </w:p>
    <w:p w14:paraId="390E2E5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scaled</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M</m:t>
              </m:r>
              <m:d>
                <m:dPr>
                  <m:ctrlPr>
                    <w:rPr>
                      <w:rFonts w:ascii="Cambria Math" w:hAnsi="Cambria Math"/>
                    </w:rPr>
                  </m:ctrlPr>
                </m:dPr>
                <m:e>
                  <m:r>
                    <w:rPr>
                      <w:rFonts w:ascii="Cambria Math" w:hAnsi="Cambria Math"/>
                    </w:rPr>
                    <m:t>t</m:t>
                  </m:r>
                </m:e>
              </m:d>
            </m:num>
            <m:den>
              <m:r>
                <w:rPr>
                  <w:rFonts w:ascii="Cambria Math" w:hAnsi="Cambria Math"/>
                </w:rPr>
                <m:t>M</m:t>
              </m:r>
              <m:d>
                <m:dPr>
                  <m:ctrlPr>
                    <w:rPr>
                      <w:rFonts w:ascii="Cambria Math" w:hAnsi="Cambria Math"/>
                    </w:rPr>
                  </m:ctrlPr>
                </m:dPr>
                <m:e>
                  <m:r>
                    <w:rPr>
                      <w:rFonts w:ascii="Cambria Math" w:hAnsi="Cambria Math"/>
                    </w:rPr>
                    <m:t>0</m:t>
                  </m:r>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11.1</m:t>
              </m:r>
            </m:e>
          </m:d>
        </m:oMath>
      </m:oMathPara>
    </w:p>
    <w:p w14:paraId="701414F8" w14:textId="77777777" w:rsidR="000F504F" w:rsidRDefault="00000000">
      <w:pPr>
        <w:pStyle w:val="FirstParagraph"/>
      </w:pPr>
      <w:r>
        <w:t>The discrete mass residual over a time step is</w:t>
      </w:r>
    </w:p>
    <w:p w14:paraId="4D7560B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sup>
          </m:sSup>
          <m:r>
            <m:rPr>
              <m:sty m:val="p"/>
            </m:rPr>
            <w:rPr>
              <w:rFonts w:ascii="Cambria Math" w:hAnsi="Cambria Math"/>
            </w:rPr>
            <m:t>-</m:t>
          </m:r>
          <m:r>
            <w:rPr>
              <w:rFonts w:ascii="Cambria Math" w:hAnsi="Cambria Math"/>
            </w:rPr>
            <m:t>Δt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11.2</m:t>
              </m:r>
            </m:e>
          </m:d>
        </m:oMath>
      </m:oMathPara>
    </w:p>
    <w:p w14:paraId="2B0CE2D7" w14:textId="77777777" w:rsidR="000F504F" w:rsidRDefault="00000000">
      <w:pPr>
        <w:pStyle w:val="FirstParagraph"/>
      </w:pPr>
      <w:r>
        <w:t>The energy residual is</w:t>
      </w:r>
    </w:p>
    <w:p w14:paraId="2867241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Me</m:t>
                  </m:r>
                </m:e>
              </m:d>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Me</m:t>
                  </m:r>
                </m:e>
              </m:d>
            </m:e>
            <m:sup>
              <m:r>
                <w:rPr>
                  <w:rFonts w:ascii="Cambria Math" w:hAnsi="Cambria Math"/>
                </w:rPr>
                <m:t>n</m:t>
              </m:r>
            </m:sup>
          </m:sSup>
          <m:r>
            <m:rPr>
              <m:sty m:val="p"/>
            </m:rPr>
            <w:rPr>
              <w:rFonts w:ascii="Cambria Math" w:hAnsi="Cambria Math"/>
            </w:rPr>
            <m:t>-</m:t>
          </m:r>
          <m:r>
            <w:rPr>
              <w:rFonts w:ascii="Cambria Math" w:hAnsi="Cambria Math"/>
            </w:rPr>
            <m:t>Δt</m:t>
          </m:r>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sub>
              </m:sSub>
              <m:sSub>
                <m:sSubPr>
                  <m:ctrlPr>
                    <w:rPr>
                      <w:rFonts w:ascii="Cambria Math" w:hAnsi="Cambria Math"/>
                    </w:rPr>
                  </m:ctrlPr>
                </m:sSubPr>
                <m:e>
                  <m:r>
                    <w:rPr>
                      <w:rFonts w:ascii="Cambria Math" w:hAnsi="Cambria Math"/>
                    </w:rPr>
                    <m:t>h</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11.3</m:t>
              </m:r>
            </m:e>
          </m:d>
        </m:oMath>
      </m:oMathPara>
    </w:p>
    <w:p w14:paraId="17DFE22B" w14:textId="77777777" w:rsidR="000F504F" w:rsidRDefault="00000000">
      <w:pPr>
        <w:pStyle w:val="FirstParagraph"/>
      </w:pPr>
      <w:r>
        <w:t>These residuals are diagnostic rather than acceptance criteria, but they are useful for identifying input errors, timestep problems, and defective coupling assumptions.</w:t>
      </w:r>
    </w:p>
    <w:p w14:paraId="02F4495E" w14:textId="77777777" w:rsidR="000F504F" w:rsidRDefault="00000000">
      <w:pPr>
        <w:pStyle w:val="Heading2"/>
      </w:pPr>
      <w:bookmarkStart w:id="134" w:name="model-form-limitations"/>
      <w:bookmarkStart w:id="135" w:name="_Toc231205123"/>
      <w:bookmarkEnd w:id="132"/>
      <w:r>
        <w:t>11.2 Model-Form Limitations</w:t>
      </w:r>
      <w:bookmarkEnd w:id="135"/>
    </w:p>
    <w:p w14:paraId="70AF4209" w14:textId="77777777" w:rsidR="000F504F" w:rsidRDefault="00000000">
      <w:pPr>
        <w:pStyle w:val="FirstParagraph"/>
      </w:pPr>
      <w:r>
        <w:t>The most important model limitations are consequences of the single-node HEM formulation. FLARE cannot resolve axial void distribution, counter-current flow limitation, multidimensional lower-plenum refill, hot-leg entrainment, loop seal clearing, or local condensation phenomena. The HEM assumption tends to under-represent phasic slip inside the system volume. The break-flow model can include slip at the throat, but that does not correct the internal void-distribution limitation.</w:t>
      </w:r>
    </w:p>
    <w:p w14:paraId="0E853787" w14:textId="77777777" w:rsidR="000F504F" w:rsidRDefault="00000000">
      <w:pPr>
        <w:pStyle w:val="BodyText"/>
      </w:pPr>
      <w:r>
        <w:t>The core model is also reduced order. It estimates hot-channel cladding temperature from bulk system conditions and heat-transfer regime logic. It is not a subchannel code and does not resolve spacer-grid effects, local power shape evolution, detailed reflood quench-front propagation, or azimuthal cladding temperature variation.</w:t>
      </w:r>
    </w:p>
    <w:p w14:paraId="27B001F2" w14:textId="77777777" w:rsidR="000F504F" w:rsidRDefault="00000000">
      <w:pPr>
        <w:pStyle w:val="Heading1"/>
      </w:pPr>
      <w:bookmarkStart w:id="136" w:name="chapter-12-flare-tools"/>
      <w:bookmarkStart w:id="137" w:name="_Toc231205124"/>
      <w:bookmarkEnd w:id="130"/>
      <w:bookmarkEnd w:id="134"/>
      <w:r>
        <w:t>Chapter 12 — FLARE Tools</w:t>
      </w:r>
      <w:bookmarkEnd w:id="137"/>
    </w:p>
    <w:p w14:paraId="26477AD4" w14:textId="77777777" w:rsidR="000F504F" w:rsidRDefault="00000000">
      <w:pPr>
        <w:pStyle w:val="Heading2"/>
      </w:pPr>
      <w:bookmarkStart w:id="138" w:name="Xa95e7c2d83041b93ecfb5b4286aa9c91abe9aa3"/>
      <w:bookmarkStart w:id="139" w:name="_Toc231205125"/>
      <w:r>
        <w:t>12.1 PWR Simulator and AI Event Narrative System</w:t>
      </w:r>
      <w:bookmarkEnd w:id="139"/>
    </w:p>
    <w:p w14:paraId="1F3FEFA8" w14:textId="77777777" w:rsidR="000F504F" w:rsidRDefault="00000000">
      <w:pPr>
        <w:pStyle w:val="FirstParagraph"/>
      </w:pPr>
      <w:r>
        <w:t>The PWR Simulator provides interactive case execution, parameter overrides, plotting, report generation, and AI event narrative generation. From a theory-manual standpoint, the important point is that the UI does not define the physics. It exposes the input parameters and displays the output of the calculation kernels. The same input case should therefore produce the same numerical result whether run from the Streamlit UI, a batch worker, or a command-line script, subject only to intentional user overrides.</w:t>
      </w:r>
    </w:p>
    <w:p w14:paraId="72D9D54C" w14:textId="77777777" w:rsidR="000F504F" w:rsidRDefault="00000000">
      <w:pPr>
        <w:pStyle w:val="BodyText"/>
      </w:pPr>
      <w:r>
        <w:t>The AI event narrative system constructs a structured numerical summary from output data and requests a natural-language interpretation. The narrative is post-processing. It does not alter the simulation result. The prompt includes pressure, temperature, vessel level, injection, break flow, PORV behavior, core power, PCT, ECR, source-term tables, dose tables, and containment metrics when available.</w:t>
      </w:r>
    </w:p>
    <w:p w14:paraId="29D8B993" w14:textId="77777777" w:rsidR="000F504F" w:rsidRDefault="00000000">
      <w:pPr>
        <w:pStyle w:val="Heading2"/>
      </w:pPr>
      <w:bookmarkStart w:id="140" w:name="model-editor-and-plant-analyzer"/>
      <w:bookmarkStart w:id="141" w:name="_Toc231205126"/>
      <w:bookmarkEnd w:id="138"/>
      <w:r>
        <w:t>12.2 Model Editor and Plant Analyzer</w:t>
      </w:r>
      <w:bookmarkEnd w:id="141"/>
    </w:p>
    <w:p w14:paraId="7A5404B4" w14:textId="77777777" w:rsidR="000F504F" w:rsidRDefault="00000000">
      <w:pPr>
        <w:pStyle w:val="FirstParagraph"/>
      </w:pPr>
      <w:r>
        <w:t>The Model Editor reads and writes input workbooks without changing the calculation theory. Its theoretical significance is quality assurance: it reduces the chance that the user will create inconsistent or hidden input changes. The Plant Analyzer animates the CSV outputs and provides an interpretive visualization of system behavior. The animated containment dome uses FLARECON CSV data when available and displays containment pressure and temperature consistently with the transient output.</w:t>
      </w:r>
    </w:p>
    <w:p w14:paraId="04457876" w14:textId="77777777" w:rsidR="000F504F" w:rsidRDefault="00000000">
      <w:pPr>
        <w:pStyle w:val="Heading1"/>
      </w:pPr>
      <w:bookmarkStart w:id="142" w:name="Xe0656cb307a1df9505b5d1261de3b225a0f5673"/>
      <w:bookmarkStart w:id="143" w:name="_Toc231205127"/>
      <w:bookmarkEnd w:id="136"/>
      <w:bookmarkEnd w:id="140"/>
      <w:r>
        <w:lastRenderedPageBreak/>
        <w:t>Chapter 13 — FLARECON Containment Response Model</w:t>
      </w:r>
      <w:bookmarkEnd w:id="143"/>
    </w:p>
    <w:p w14:paraId="782AFF23" w14:textId="77777777" w:rsidR="000F504F" w:rsidRDefault="00000000">
      <w:pPr>
        <w:pStyle w:val="Heading2"/>
      </w:pPr>
      <w:bookmarkStart w:id="144" w:name="physical-scope"/>
      <w:bookmarkStart w:id="145" w:name="_Toc231205128"/>
      <w:r>
        <w:t>13.1 Physical Scope</w:t>
      </w:r>
      <w:bookmarkEnd w:id="145"/>
    </w:p>
    <w:p w14:paraId="248ACB5E" w14:textId="77777777" w:rsidR="000F504F" w:rsidRDefault="00000000">
      <w:pPr>
        <w:pStyle w:val="FirstParagraph"/>
      </w:pPr>
      <w:r>
        <w:t>FLARECON is a single-node dry-containment response model. The containment free volume is assumed to contain a well-mixed gas mixture of dry air, steam, and hydrogen. The model tracks gas pressure, gas temperature, gas composition, wall/liner heat removal, floor/sump behavior, condensation, spray heat removal, optional sump cooling, and hydrogen flammability status.</w:t>
      </w:r>
    </w:p>
    <w:p w14:paraId="7BA88D1E" w14:textId="77777777" w:rsidR="000F504F" w:rsidRDefault="00000000">
      <w:pPr>
        <w:pStyle w:val="BodyText"/>
      </w:pPr>
      <w:r>
        <w:t>The state vector can be written as</w:t>
      </w:r>
    </w:p>
    <w:p w14:paraId="0C3AAC0A"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CON</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air</m:t>
                            </m:r>
                          </m:sub>
                        </m:sSub>
                      </m:e>
                      <m:e>
                        <m:sSub>
                          <m:sSubPr>
                            <m:ctrlPr>
                              <w:rPr>
                                <w:rFonts w:ascii="Cambria Math" w:hAnsi="Cambria Math"/>
                              </w:rPr>
                            </m:ctrlPr>
                          </m:sSubPr>
                          <m:e>
                            <m:r>
                              <w:rPr>
                                <w:rFonts w:ascii="Cambria Math" w:hAnsi="Cambria Math"/>
                              </w:rPr>
                              <m:t>M</m:t>
                            </m:r>
                          </m:e>
                          <m:sub>
                            <m:r>
                              <w:rPr>
                                <w:rFonts w:ascii="Cambria Math" w:hAnsi="Cambria Math"/>
                              </w:rPr>
                              <m:t>s</m:t>
                            </m:r>
                          </m:sub>
                        </m:sSub>
                      </m:e>
                      <m:e>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e>
                      <m:e>
                        <m:sSub>
                          <m:sSubPr>
                            <m:ctrlPr>
                              <w:rPr>
                                <w:rFonts w:ascii="Cambria Math" w:hAnsi="Cambria Math"/>
                              </w:rPr>
                            </m:ctrlPr>
                          </m:sSubPr>
                          <m:e>
                            <m:r>
                              <w:rPr>
                                <w:rFonts w:ascii="Cambria Math" w:hAnsi="Cambria Math"/>
                              </w:rPr>
                              <m:t>U</m:t>
                            </m:r>
                          </m:e>
                          <m:sub>
                            <m:r>
                              <w:rPr>
                                <w:rFonts w:ascii="Cambria Math" w:hAnsi="Cambria Math"/>
                              </w:rPr>
                              <m:t>g</m:t>
                            </m:r>
                          </m:sub>
                        </m:sSub>
                      </m:e>
                      <m:e>
                        <m:sSub>
                          <m:sSubPr>
                            <m:ctrlPr>
                              <w:rPr>
                                <w:rFonts w:ascii="Cambria Math" w:hAnsi="Cambria Math"/>
                              </w:rPr>
                            </m:ctrlPr>
                          </m:sSubPr>
                          <m:e>
                            <m:r>
                              <w:rPr>
                                <w:rFonts w:ascii="Cambria Math" w:hAnsi="Cambria Math"/>
                              </w:rPr>
                              <m:t>T</m:t>
                            </m:r>
                          </m:e>
                          <m:sub>
                            <m:r>
                              <w:rPr>
                                <w:rFonts w:ascii="Cambria Math" w:hAnsi="Cambria Math"/>
                              </w:rPr>
                              <m:t>wall</m:t>
                            </m:r>
                          </m:sub>
                        </m:sSub>
                      </m:e>
                      <m:e>
                        <m:sSub>
                          <m:sSubPr>
                            <m:ctrlPr>
                              <w:rPr>
                                <w:rFonts w:ascii="Cambria Math" w:hAnsi="Cambria Math"/>
                              </w:rPr>
                            </m:ctrlPr>
                          </m:sSubPr>
                          <m:e>
                            <m:r>
                              <w:rPr>
                                <w:rFonts w:ascii="Cambria Math" w:hAnsi="Cambria Math"/>
                              </w:rPr>
                              <m:t>T</m:t>
                            </m:r>
                          </m:e>
                          <m:sub>
                            <m:r>
                              <w:rPr>
                                <w:rFonts w:ascii="Cambria Math" w:hAnsi="Cambria Math"/>
                              </w:rPr>
                              <m:t>floor</m:t>
                            </m:r>
                          </m:sub>
                        </m:sSub>
                      </m:e>
                      <m:e>
                        <m:sSub>
                          <m:sSubPr>
                            <m:ctrlPr>
                              <w:rPr>
                                <w:rFonts w:ascii="Cambria Math" w:hAnsi="Cambria Math"/>
                              </w:rPr>
                            </m:ctrlPr>
                          </m:sSubPr>
                          <m:e>
                            <m:r>
                              <w:rPr>
                                <w:rFonts w:ascii="Cambria Math" w:hAnsi="Cambria Math"/>
                              </w:rPr>
                              <m:t>M</m:t>
                            </m:r>
                          </m:e>
                          <m:sub>
                            <m:r>
                              <w:rPr>
                                <w:rFonts w:ascii="Cambria Math" w:hAnsi="Cambria Math"/>
                              </w:rPr>
                              <m:t>sump</m:t>
                            </m:r>
                          </m:sub>
                        </m:sSub>
                      </m:e>
                    </m:mr>
                  </m:m>
                </m:e>
              </m:d>
            </m:e>
            <m:sup>
              <m:r>
                <w:rPr>
                  <w:rFonts w:ascii="Cambria Math" w:hAnsi="Cambria Math"/>
                </w:rPr>
                <m:t>T</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m:t>
              </m:r>
            </m:e>
          </m:d>
        </m:oMath>
      </m:oMathPara>
    </w:p>
    <w:p w14:paraId="41E6C417" w14:textId="77777777" w:rsidR="000F504F" w:rsidRDefault="00000000">
      <w:pPr>
        <w:pStyle w:val="FirstParagraph"/>
      </w:pPr>
      <w:r>
        <w:t>The model is driven by source terms derived from the FLARE RCS output: break mass flow, break enthalpy, and hydrogen generation.</w:t>
      </w:r>
    </w:p>
    <w:p w14:paraId="4CFD72A2" w14:textId="77777777" w:rsidR="000F504F" w:rsidRDefault="00000000">
      <w:pPr>
        <w:pStyle w:val="Heading2"/>
      </w:pPr>
      <w:bookmarkStart w:id="146" w:name="species-mass-balances"/>
      <w:bookmarkStart w:id="147" w:name="_Toc231205129"/>
      <w:bookmarkEnd w:id="144"/>
      <w:r>
        <w:t>13.2 Species Mass Balances</w:t>
      </w:r>
      <w:bookmarkEnd w:id="147"/>
    </w:p>
    <w:p w14:paraId="3223873F" w14:textId="77777777" w:rsidR="000F504F" w:rsidRDefault="00000000">
      <w:pPr>
        <w:pStyle w:val="FirstParagraph"/>
      </w:pPr>
      <w:r>
        <w:t>The dry-air mass is constant unless a user-specified leakage or purge model is activated:</w:t>
      </w:r>
    </w:p>
    <w:p w14:paraId="18083FE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air</m:t>
                  </m:r>
                </m:sub>
              </m:sSub>
            </m:num>
            <m:den>
              <m:r>
                <w:rPr>
                  <w:rFonts w:ascii="Cambria Math" w:hAnsi="Cambria Math"/>
                </w:rPr>
                <m:t>dt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m:t>
              </m:r>
            </m:e>
          </m:d>
        </m:oMath>
      </m:oMathPara>
    </w:p>
    <w:p w14:paraId="0F8917E1" w14:textId="77777777" w:rsidR="000F504F" w:rsidRDefault="00000000">
      <w:pPr>
        <w:pStyle w:val="FirstParagraph"/>
      </w:pPr>
      <w:r>
        <w:t>The steam mass balance is</w:t>
      </w:r>
    </w:p>
    <w:p w14:paraId="1965CFB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13.3</m:t>
              </m:r>
            </m:e>
          </m:d>
        </m:oMath>
      </m:oMathPara>
    </w:p>
    <w:p w14:paraId="71DF0D3A" w14:textId="77777777" w:rsidR="000F504F" w:rsidRDefault="00000000">
      <w:pPr>
        <w:pStyle w:val="FirstParagraph"/>
      </w:pPr>
      <w:r>
        <w:t>The hydrogen mass balance is</w:t>
      </w:r>
    </w:p>
    <w:p w14:paraId="150B512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13.4</m:t>
              </m:r>
            </m:e>
          </m:d>
        </m:oMath>
      </m:oMathPara>
    </w:p>
    <w:p w14:paraId="6E35DC6C" w14:textId="77777777" w:rsidR="000F504F" w:rsidRDefault="00000000">
      <w:pPr>
        <w:pStyle w:val="FirstParagraph"/>
      </w:pPr>
      <w:r>
        <w:t>The sump liquid mass balance is</w:t>
      </w:r>
    </w:p>
    <w:p w14:paraId="23561A77"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sump</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drain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13.5</m:t>
              </m:r>
            </m:e>
          </m:d>
        </m:oMath>
      </m:oMathPara>
    </w:p>
    <w:p w14:paraId="39420B31" w14:textId="77777777" w:rsidR="000F504F" w:rsidRDefault="00000000">
      <w:pPr>
        <w:pStyle w:val="FirstParagraph"/>
      </w:pPr>
      <w:r>
        <w:t>The sump level is</w:t>
      </w:r>
    </w:p>
    <w:p w14:paraId="35B426F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sump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sump</m:t>
                  </m:r>
                </m:sub>
              </m:sSub>
            </m:num>
            <m:den>
              <m:sSub>
                <m:sSubPr>
                  <m:ctrlPr>
                    <w:rPr>
                      <w:rFonts w:ascii="Cambria Math" w:hAnsi="Cambria Math"/>
                    </w:rPr>
                  </m:ctrlPr>
                </m:sSubPr>
                <m:e>
                  <m:r>
                    <w:rPr>
                      <w:rFonts w:ascii="Cambria Math" w:hAnsi="Cambria Math"/>
                    </w:rPr>
                    <m:t>ρ</m:t>
                  </m:r>
                </m:e>
                <m:sub>
                  <m:r>
                    <w:rPr>
                      <w:rFonts w:ascii="Cambria Math" w:hAnsi="Cambria Math"/>
                    </w:rPr>
                    <m:t>l</m:t>
                  </m:r>
                </m:sub>
              </m:sSub>
              <m:sSub>
                <m:sSubPr>
                  <m:ctrlPr>
                    <w:rPr>
                      <w:rFonts w:ascii="Cambria Math" w:hAnsi="Cambria Math"/>
                    </w:rPr>
                  </m:ctrlPr>
                </m:sSubPr>
                <m:e>
                  <m:r>
                    <w:rPr>
                      <w:rFonts w:ascii="Cambria Math" w:hAnsi="Cambria Math"/>
                    </w:rPr>
                    <m:t>A</m:t>
                  </m:r>
                </m:e>
                <m:sub>
                  <m:r>
                    <w:rPr>
                      <w:rFonts w:ascii="Cambria Math" w:hAnsi="Cambria Math"/>
                    </w:rPr>
                    <m:t>floor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13.6</m:t>
              </m:r>
            </m:e>
          </m:d>
        </m:oMath>
      </m:oMathPara>
    </w:p>
    <w:p w14:paraId="5B4805EF" w14:textId="77777777" w:rsidR="000F504F" w:rsidRDefault="00000000">
      <w:pPr>
        <w:pStyle w:val="Heading2"/>
      </w:pPr>
      <w:bookmarkStart w:id="148" w:name="gas-equation-of-state"/>
      <w:bookmarkStart w:id="149" w:name="_Toc231205130"/>
      <w:bookmarkEnd w:id="146"/>
      <w:r>
        <w:t>13.3 Gas Equation of State</w:t>
      </w:r>
      <w:bookmarkEnd w:id="149"/>
    </w:p>
    <w:p w14:paraId="751875BE" w14:textId="77777777" w:rsidR="000F504F" w:rsidRDefault="00000000">
      <w:pPr>
        <w:pStyle w:val="FirstParagraph"/>
      </w:pPr>
      <w:r>
        <w:t>Air and hydrogen are treated as ideal gases:</w:t>
      </w:r>
    </w:p>
    <w:p w14:paraId="4669E4A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R</m:t>
                  </m:r>
                </m:e>
                <m:sub>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13.7</m:t>
              </m:r>
            </m:e>
          </m:d>
        </m:oMath>
      </m:oMathPara>
    </w:p>
    <w:p w14:paraId="67757A10" w14:textId="77777777" w:rsidR="000F504F" w:rsidRDefault="00000000">
      <w:pPr>
        <w:pStyle w:val="FirstParagraph"/>
      </w:pPr>
      <w:r>
        <w:t>The steam partial pressure is limited by saturation at the gas temperature:</w:t>
      </w:r>
    </w:p>
    <w:p w14:paraId="20D895C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13.8</m:t>
              </m:r>
            </m:e>
          </m:d>
        </m:oMath>
      </m:oMathPara>
    </w:p>
    <w:p w14:paraId="2FF69E3A" w14:textId="77777777" w:rsidR="000F504F" w:rsidRDefault="00000000">
      <w:pPr>
        <w:pStyle w:val="FirstParagraph"/>
      </w:pPr>
      <w:r>
        <w:t>If the steam mass would imply a partial pressure above saturation, the excess steam condenses:</w:t>
      </w:r>
    </w:p>
    <w:p w14:paraId="2320F3F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T</m:t>
                  </m:r>
                </m:e>
                <m:sub>
                  <m:r>
                    <w:rPr>
                      <w:rFonts w:ascii="Cambria Math" w:hAnsi="Cambria Math"/>
                    </w:rPr>
                    <m:t>g</m:t>
                  </m:r>
                </m:sub>
              </m:sSub>
            </m:den>
          </m:f>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M</m:t>
              </m:r>
            </m:e>
            <m:sub>
              <m:r>
                <w:rPr>
                  <w:rFonts w:ascii="Cambria Math" w:hAnsi="Cambria Math"/>
                </w:rPr>
                <m:t>cond</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13.9</m:t>
              </m:r>
            </m:e>
          </m:d>
        </m:oMath>
      </m:oMathPara>
    </w:p>
    <w:p w14:paraId="423CC704" w14:textId="77777777" w:rsidR="000F504F" w:rsidRDefault="00000000">
      <w:pPr>
        <w:pStyle w:val="FirstParagraph"/>
      </w:pPr>
      <w:r>
        <w:lastRenderedPageBreak/>
        <w:t>Total pressure is the sum of partial pressures:</w:t>
      </w:r>
    </w:p>
    <w:p w14:paraId="30ABAE5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tot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13.10</m:t>
              </m:r>
            </m:e>
          </m:d>
        </m:oMath>
      </m:oMathPara>
    </w:p>
    <w:p w14:paraId="454BD077" w14:textId="77777777" w:rsidR="000F504F" w:rsidRDefault="00000000">
      <w:pPr>
        <w:pStyle w:val="FirstParagraph"/>
      </w:pPr>
      <w:r>
        <w:t>The hydrogen and steam volume fractions are</w:t>
      </w:r>
    </w:p>
    <w:p w14:paraId="08893A0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13.11</m:t>
              </m:r>
            </m:e>
          </m:d>
        </m:oMath>
      </m:oMathPara>
    </w:p>
    <w:p w14:paraId="1384CFE1" w14:textId="77777777" w:rsidR="000F504F" w:rsidRDefault="00000000">
      <w:pPr>
        <w:pStyle w:val="Heading2"/>
      </w:pPr>
      <w:bookmarkStart w:id="150" w:name="containment-gas-energy-balance"/>
      <w:bookmarkStart w:id="151" w:name="_Toc231205131"/>
      <w:bookmarkEnd w:id="148"/>
      <w:r>
        <w:t>13.4 Containment Gas Energy Balance</w:t>
      </w:r>
      <w:bookmarkEnd w:id="151"/>
    </w:p>
    <w:p w14:paraId="6927A554" w14:textId="77777777" w:rsidR="000F504F" w:rsidRDefault="00000000">
      <w:pPr>
        <w:pStyle w:val="FirstParagraph"/>
      </w:pPr>
      <w:r>
        <w:t>The gas energy balance is</w:t>
      </w:r>
    </w:p>
    <w:p w14:paraId="30FE895E"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floor</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leak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13.12</m:t>
              </m:r>
            </m:e>
          </m:d>
        </m:oMath>
      </m:oMathPara>
    </w:p>
    <w:p w14:paraId="2FE8ACAC" w14:textId="77777777" w:rsidR="000F504F" w:rsidRDefault="00000000">
      <w:pPr>
        <w:pStyle w:val="FirstParagraph"/>
      </w:pPr>
      <w:r>
        <w:t>The source enthalpy rate from the RCS break is</w:t>
      </w:r>
    </w:p>
    <w:p w14:paraId="0C350DF1"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sSub>
            <m:sSubPr>
              <m:ctrlPr>
                <w:rPr>
                  <w:rFonts w:ascii="Cambria Math" w:hAnsi="Cambria Math"/>
                </w:rPr>
              </m:ctrlPr>
            </m:sSubPr>
            <m:e>
              <m:r>
                <w:rPr>
                  <w:rFonts w:ascii="Cambria Math" w:hAnsi="Cambria Math"/>
                </w:rPr>
                <m:t>h</m:t>
              </m:r>
            </m:e>
            <m:sub>
              <m:r>
                <w:rPr>
                  <w:rFonts w:ascii="Cambria Math" w:hAnsi="Cambria Math"/>
                </w:rPr>
                <m:t>break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13.13</m:t>
              </m:r>
            </m:e>
          </m:d>
        </m:oMath>
      </m:oMathPara>
    </w:p>
    <w:p w14:paraId="6A6486A7" w14:textId="77777777" w:rsidR="000F504F" w:rsidRDefault="00000000">
      <w:pPr>
        <w:pStyle w:val="FirstParagraph"/>
      </w:pPr>
      <w:r>
        <w:t>The gas internal energy is approximated by a species sum:</w:t>
      </w:r>
    </w:p>
    <w:p w14:paraId="2D8EA60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r>
                <w:rPr>
                  <w:rFonts w:ascii="Cambria Math" w:hAnsi="Cambria Math"/>
                </w:rPr>
                <m:t>u</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13.14</m:t>
              </m:r>
            </m:e>
          </m:d>
        </m:oMath>
      </m:oMathPara>
    </w:p>
    <w:p w14:paraId="54847A4A" w14:textId="77777777" w:rsidR="000F504F" w:rsidRDefault="00000000">
      <w:pPr>
        <w:pStyle w:val="FirstParagraph"/>
      </w:pPr>
      <w:r>
        <w:t>The gas temperature is solved consistently with the updated internal energy and species masses. Because steam can condense, the energy and species equations are coupled through saturation and latent heat.</w:t>
      </w:r>
    </w:p>
    <w:p w14:paraId="79544C9C" w14:textId="77777777" w:rsidR="000F504F" w:rsidRDefault="00000000">
      <w:pPr>
        <w:pStyle w:val="Heading2"/>
      </w:pPr>
      <w:bookmarkStart w:id="152" w:name="wall-condensation-spray-and-sump-cooling"/>
      <w:bookmarkStart w:id="153" w:name="_Toc231205132"/>
      <w:bookmarkEnd w:id="150"/>
      <w:r>
        <w:t>13.5 Wall, Condensation, Spray, and Sump Cooling</w:t>
      </w:r>
      <w:bookmarkEnd w:id="153"/>
    </w:p>
    <w:p w14:paraId="320BF3CF" w14:textId="77777777" w:rsidR="000F504F" w:rsidRDefault="00000000">
      <w:pPr>
        <w:pStyle w:val="FirstParagraph"/>
      </w:pPr>
      <w:r>
        <w:t>Heat transfer from gas to liner/wall is represented by a combined convection and radiation coefficient:</w:t>
      </w:r>
    </w:p>
    <w:p w14:paraId="0F951ED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wall</m:t>
              </m:r>
            </m:sub>
          </m:sSub>
          <m:sSub>
            <m:sSubPr>
              <m:ctrlPr>
                <w:rPr>
                  <w:rFonts w:ascii="Cambria Math" w:hAnsi="Cambria Math"/>
                </w:rPr>
              </m:ctrlPr>
            </m:sSubPr>
            <m:e>
              <m:r>
                <w:rPr>
                  <w:rFonts w:ascii="Cambria Math" w:hAnsi="Cambria Math"/>
                </w:rPr>
                <m:t>A</m:t>
              </m:r>
            </m:e>
            <m:sub>
              <m:r>
                <w:rPr>
                  <w:rFonts w:ascii="Cambria Math" w:hAnsi="Cambria Math"/>
                </w:rPr>
                <m:t>wall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13.15</m:t>
              </m:r>
            </m:e>
          </m:d>
        </m:oMath>
      </m:oMathPara>
    </w:p>
    <w:p w14:paraId="66CD2BB8" w14:textId="77777777" w:rsidR="000F504F" w:rsidRDefault="00000000">
      <w:pPr>
        <w:pStyle w:val="FirstParagraph"/>
      </w:pPr>
      <w:r>
        <w:t>The wall heat capacity equation is</w:t>
      </w:r>
    </w:p>
    <w:p w14:paraId="6813173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wall</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wall</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wall</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13.16</m:t>
              </m:r>
            </m:e>
          </m:d>
        </m:oMath>
      </m:oMathPara>
    </w:p>
    <w:p w14:paraId="3F6EB655" w14:textId="77777777" w:rsidR="000F504F" w:rsidRDefault="00000000">
      <w:pPr>
        <w:pStyle w:val="FirstParagraph"/>
      </w:pPr>
      <w:r>
        <w:t>A reduced one-dimensional conduction approximation transfers heat into the concrete:</w:t>
      </w:r>
    </w:p>
    <w:p w14:paraId="15559F7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conc</m:t>
                  </m:r>
                </m:sub>
              </m:sSub>
              <m:sSub>
                <m:sSubPr>
                  <m:ctrlPr>
                    <w:rPr>
                      <w:rFonts w:ascii="Cambria Math" w:hAnsi="Cambria Math"/>
                    </w:rPr>
                  </m:ctrlPr>
                </m:sSubPr>
                <m:e>
                  <m:r>
                    <w:rPr>
                      <w:rFonts w:ascii="Cambria Math" w:hAnsi="Cambria Math"/>
                    </w:rPr>
                    <m:t>A</m:t>
                  </m:r>
                </m:e>
                <m:sub>
                  <m:r>
                    <w:rPr>
                      <w:rFonts w:ascii="Cambria Math" w:hAnsi="Cambria Math"/>
                    </w:rPr>
                    <m:t>wall</m:t>
                  </m:r>
                </m:sub>
              </m:sSub>
            </m:num>
            <m:den>
              <m:sSub>
                <m:sSubPr>
                  <m:ctrlPr>
                    <w:rPr>
                      <w:rFonts w:ascii="Cambria Math" w:hAnsi="Cambria Math"/>
                    </w:rPr>
                  </m:ctrlPr>
                </m:sSubPr>
                <m:e>
                  <m:r>
                    <w:rPr>
                      <w:rFonts w:ascii="Cambria Math" w:hAnsi="Cambria Math"/>
                    </w:rPr>
                    <m:t>δ</m:t>
                  </m:r>
                </m:e>
                <m:sub>
                  <m:r>
                    <w:rPr>
                      <w:rFonts w:ascii="Cambria Math" w:hAnsi="Cambria Math"/>
                    </w:rPr>
                    <m:t>eff</m:t>
                  </m:r>
                </m:sub>
              </m:sSub>
            </m:den>
          </m:f>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conc</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13.17</m:t>
              </m:r>
            </m:e>
          </m:d>
        </m:oMath>
      </m:oMathPara>
    </w:p>
    <w:p w14:paraId="10D26D3F" w14:textId="77777777" w:rsidR="000F504F" w:rsidRDefault="00000000">
      <w:pPr>
        <w:pStyle w:val="FirstParagraph"/>
      </w:pPr>
      <w:r>
        <w:t>Wall condensation occurs when the steam partial pressure exceeds the saturation pressure at the wall temperature. A simplified condensation driving potential is</w:t>
      </w:r>
    </w:p>
    <w:p w14:paraId="73B5D064"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13.18</m:t>
              </m:r>
            </m:e>
          </m:d>
        </m:oMath>
      </m:oMathPara>
    </w:p>
    <w:p w14:paraId="2108899C" w14:textId="77777777" w:rsidR="000F504F" w:rsidRDefault="00000000">
      <w:pPr>
        <w:pStyle w:val="FirstParagraph"/>
      </w:pPr>
      <w:r>
        <w:t xml:space="preserve">For </w:t>
      </w: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&gt;</m:t>
        </m:r>
        <m:r>
          <w:rPr>
            <w:rFonts w:ascii="Cambria Math" w:hAnsi="Cambria Math"/>
          </w:rPr>
          <m:t>0</m:t>
        </m:r>
      </m:oMath>
      <w:r>
        <w:t>, the condensation mass rate may be written as</w:t>
      </w:r>
    </w:p>
    <w:p w14:paraId="5F93F41F"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cond</m:t>
              </m:r>
            </m:sub>
          </m:sSub>
          <m:sSub>
            <m:sSubPr>
              <m:ctrlPr>
                <w:rPr>
                  <w:rFonts w:ascii="Cambria Math" w:hAnsi="Cambria Math"/>
                </w:rPr>
              </m:ctrlPr>
            </m:sSubPr>
            <m:e>
              <m:r>
                <w:rPr>
                  <w:rFonts w:ascii="Cambria Math" w:hAnsi="Cambria Math"/>
                </w:rPr>
                <m:t>A</m:t>
              </m:r>
            </m:e>
            <m:sub>
              <m:r>
                <w:rPr>
                  <w:rFonts w:ascii="Cambria Math" w:hAnsi="Cambria Math"/>
                </w:rPr>
                <m:t>wall</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sSub>
            <m:sSubPr>
              <m:ctrlPr>
                <w:rPr>
                  <w:rFonts w:ascii="Cambria Math" w:hAnsi="Cambria Math"/>
                </w:rPr>
              </m:ctrlPr>
            </m:sSubPr>
            <m:e>
              <m:r>
                <w:rPr>
                  <w:rFonts w:ascii="Cambria Math" w:hAnsi="Cambria Math"/>
                </w:rPr>
                <m:t>h</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13.19</m:t>
              </m:r>
            </m:e>
          </m:d>
        </m:oMath>
      </m:oMathPara>
    </w:p>
    <w:p w14:paraId="4A0929EB" w14:textId="77777777" w:rsidR="000F504F" w:rsidRDefault="00000000">
      <w:pPr>
        <w:pStyle w:val="FirstParagraph"/>
      </w:pPr>
      <w:r>
        <w:t>Containment spray heat removal is calculated from spray flow rate, spray water temperature, and a user-specified effectiveness:</w:t>
      </w:r>
    </w:p>
    <w:p w14:paraId="5C9A02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spray</m:t>
              </m:r>
            </m:sub>
          </m:sSub>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spray</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13.20</m:t>
              </m:r>
            </m:e>
          </m:d>
        </m:oMath>
      </m:oMathPara>
    </w:p>
    <w:p w14:paraId="1B58F257" w14:textId="77777777" w:rsidR="000F504F" w:rsidRDefault="00000000">
      <w:pPr>
        <w:pStyle w:val="FirstParagraph"/>
      </w:pPr>
      <w:r>
        <w:t>Optional long-term sump cooling is represented as a prescribed heat-removal function of time:</w:t>
      </w:r>
    </w:p>
    <w:p w14:paraId="3E55BD8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13.21</m:t>
              </m:r>
            </m:e>
          </m:d>
        </m:oMath>
      </m:oMathPara>
    </w:p>
    <w:p w14:paraId="7A55FB80" w14:textId="77777777" w:rsidR="000F504F" w:rsidRDefault="00000000">
      <w:pPr>
        <w:pStyle w:val="Heading2"/>
      </w:pPr>
      <w:bookmarkStart w:id="154" w:name="X2aabb704f9b5d30118493c4e71953a41ffe33a0"/>
      <w:bookmarkStart w:id="155" w:name="_Toc231205133"/>
      <w:bookmarkEnd w:id="152"/>
      <w:r>
        <w:t>13.6 Hydrogen Flammability Status and Coupling Limitation</w:t>
      </w:r>
      <w:bookmarkEnd w:id="155"/>
    </w:p>
    <w:p w14:paraId="4F9E548F" w14:textId="77777777" w:rsidR="000F504F" w:rsidRDefault="00000000">
      <w:pPr>
        <w:pStyle w:val="FirstParagraph"/>
      </w:pPr>
      <w:r>
        <w:t>Hydrogen flammability is evaluated from hydrogen and steam volume fractions. A simplified logic is</w:t>
      </w:r>
    </w:p>
    <w:p w14:paraId="081EE3EB" w14:textId="77777777" w:rsidR="000F504F" w:rsidRDefault="00000000">
      <w:pPr>
        <w:pStyle w:val="BodyText"/>
      </w:pPr>
      <m:oMathPara>
        <m:oMathParaPr>
          <m:jc m:val="center"/>
        </m:oMathParaPr>
        <m:oMath>
          <m:r>
            <m:rPr>
              <m:sty m:val="p"/>
            </m:rPr>
            <w:rPr>
              <w:rFonts w:ascii="Cambria Math" w:hAnsi="Cambria Math"/>
            </w:rPr>
            <m:t>Nonflammable:</m:t>
          </m:r>
          <m:r>
            <w:rPr>
              <w:rFonts w:ascii="Cambria Math" w:hAnsi="Cambria Math"/>
            </w:rPr>
            <m:t>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&lt;</m:t>
          </m:r>
          <m:r>
            <w:rPr>
              <w:rFonts w:ascii="Cambria Math" w:hAnsi="Cambria Math"/>
            </w:rPr>
            <m:t>0.04 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13.22</m:t>
              </m:r>
            </m:e>
          </m:d>
        </m:oMath>
      </m:oMathPara>
    </w:p>
    <w:p w14:paraId="241A6C6A" w14:textId="77777777" w:rsidR="000F504F" w:rsidRDefault="00000000">
      <w:pPr>
        <w:pStyle w:val="FirstParagraph"/>
      </w:pPr>
      <w:r>
        <w:t>The deflagration region is</w:t>
      </w:r>
    </w:p>
    <w:p w14:paraId="24BDE145" w14:textId="77777777" w:rsidR="000F504F" w:rsidRDefault="00000000">
      <w:pPr>
        <w:pStyle w:val="BodyText"/>
      </w:pPr>
      <m:oMathPara>
        <m:oMathParaPr>
          <m:jc m:val="center"/>
        </m:oMathParaPr>
        <m:oMath>
          <m:r>
            <w:rPr>
              <w:rFonts w:ascii="Cambria Math" w:hAnsi="Cambria Math"/>
            </w:rPr>
            <m:t>0.04</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0.75 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13.23</m:t>
              </m:r>
            </m:e>
          </m:d>
        </m:oMath>
      </m:oMathPara>
    </w:p>
    <w:p w14:paraId="2377E7D7" w14:textId="77777777" w:rsidR="000F504F" w:rsidRDefault="00000000">
      <w:pPr>
        <w:pStyle w:val="FirstParagraph"/>
      </w:pPr>
      <w:r>
        <w:t>The detonation screening region is</w:t>
      </w:r>
    </w:p>
    <w:p w14:paraId="4A05D96E" w14:textId="77777777" w:rsidR="000F504F" w:rsidRDefault="00000000">
      <w:pPr>
        <w:pStyle w:val="BodyText"/>
      </w:pPr>
      <m:oMathPara>
        <m:oMathParaPr>
          <m:jc m:val="center"/>
        </m:oMathParaPr>
        <m:oMath>
          <m:r>
            <w:rPr>
              <w:rFonts w:ascii="Cambria Math" w:hAnsi="Cambria Math"/>
            </w:rPr>
            <m:t>0.18</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0.59 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0.35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13.24</m:t>
              </m:r>
            </m:e>
          </m:d>
        </m:oMath>
      </m:oMathPara>
    </w:p>
    <w:p w14:paraId="5D731EE3" w14:textId="77777777" w:rsidR="000F504F" w:rsidRDefault="00000000">
      <w:pPr>
        <w:pStyle w:val="FirstParagraph"/>
      </w:pPr>
      <w:r>
        <w:t>FLARECON reports the status as a screening indicator. It does not simulate ignition, flame acceleration, combustion heat release, pressure spikes, or deflagration-to-detonation transition.</w:t>
      </w:r>
    </w:p>
    <w:p w14:paraId="2474C0B6" w14:textId="77777777" w:rsidR="000F504F" w:rsidRDefault="00000000">
      <w:pPr>
        <w:pStyle w:val="BodyText"/>
      </w:pPr>
      <w:r>
        <w:t>The FLARE-to-FLARECON coupling is one-way. The containment source terms are read from the RCS output:</w:t>
      </w:r>
    </w:p>
    <w:p w14:paraId="2E11BC3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13.25</m:t>
              </m:r>
            </m:e>
          </m:d>
        </m:oMath>
      </m:oMathPara>
    </w:p>
    <w:p w14:paraId="796E695C" w14:textId="77777777" w:rsidR="000F504F" w:rsidRDefault="00000000">
      <w:pPr>
        <w:pStyle w:val="FirstParagraph"/>
      </w:pPr>
      <w:r>
        <w:t>The hydrogen source is calculated from the incremental RCS hydrogen generation:</w:t>
      </w:r>
    </w:p>
    <w:p w14:paraId="1BCCF765"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RCS</m:t>
                  </m:r>
                </m:sub>
              </m:sSub>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13.26</m:t>
              </m:r>
            </m:e>
          </m:d>
        </m:oMath>
      </m:oMathPara>
    </w:p>
    <w:p w14:paraId="213B92AB" w14:textId="77777777" w:rsidR="000F504F" w:rsidRDefault="00000000">
      <w:pPr>
        <w:pStyle w:val="FirstParagraph"/>
      </w:pPr>
      <w:r>
        <w:t>No feedback is applied from containment pressure to the RCS break-flow model:</w:t>
      </w:r>
    </w:p>
    <w:p w14:paraId="05766DB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13.27</m:t>
              </m:r>
            </m:e>
          </m:d>
        </m:oMath>
      </m:oMathPara>
    </w:p>
    <w:p w14:paraId="2B5B8C73" w14:textId="77777777" w:rsidR="000F504F" w:rsidRDefault="00000000">
      <w:pPr>
        <w:pStyle w:val="FirstParagraph"/>
      </w:pPr>
      <w:r>
        <w:t>This is a known limitation. It is conservative or nonconservative depending on the timing and magnitude of containment pressure rise relative to blowdown.</w:t>
      </w:r>
    </w:p>
    <w:p w14:paraId="7227ED7E" w14:textId="77777777" w:rsidR="000F504F" w:rsidRDefault="00000000">
      <w:pPr>
        <w:pStyle w:val="Heading1"/>
      </w:pPr>
      <w:bookmarkStart w:id="156" w:name="X9366e6ddaa464694a1bff91cdf6edc78c06d673"/>
      <w:bookmarkStart w:id="157" w:name="_Toc231205134"/>
      <w:bookmarkEnd w:id="142"/>
      <w:bookmarkEnd w:id="154"/>
      <w:r>
        <w:t>Chapter 14 — Worker-Process Execution Architecture</w:t>
      </w:r>
      <w:bookmarkEnd w:id="157"/>
    </w:p>
    <w:p w14:paraId="00CEF330" w14:textId="77777777" w:rsidR="000F504F" w:rsidRDefault="00000000">
      <w:pPr>
        <w:pStyle w:val="Heading2"/>
      </w:pPr>
      <w:bookmarkStart w:id="158" w:name="worker-pattern"/>
      <w:bookmarkStart w:id="159" w:name="_Toc231205135"/>
      <w:r>
        <w:t>14.1 Worker Pattern</w:t>
      </w:r>
      <w:bookmarkEnd w:id="159"/>
    </w:p>
    <w:p w14:paraId="1E542805" w14:textId="77777777" w:rsidR="000F504F" w:rsidRDefault="00000000">
      <w:pPr>
        <w:pStyle w:val="FirstParagraph"/>
      </w:pPr>
      <w:r>
        <w:t>Risk Assessment, Uncertainty Analysis, and Run All Cases use independent worker processes. The Streamlit UI launches a worker, writes a configuration file, and monitors a status JSON file. The worker then executes cases or samples, writes logs, stores output files, updates progress, and checks for an abort-request file.</w:t>
      </w:r>
    </w:p>
    <w:p w14:paraId="1D900868" w14:textId="77777777" w:rsidR="000F504F" w:rsidRDefault="00000000">
      <w:pPr>
        <w:pStyle w:val="BodyText"/>
      </w:pPr>
      <w:r>
        <w:t>The architecture is not part of the physical model, but it is part of the reproducibility model. By isolating long calculations in workers, browser refreshes or UI disconnections do not necessarily terminate the calculation. Status files also provide a lightweight audit trail for completed and failed runs.</w:t>
      </w:r>
    </w:p>
    <w:p w14:paraId="399F52CA" w14:textId="77777777" w:rsidR="000F504F" w:rsidRDefault="00000000">
      <w:pPr>
        <w:pStyle w:val="BodyText"/>
      </w:pPr>
      <w:r>
        <w:t>A worker state can be represented as</w:t>
      </w:r>
    </w:p>
    <w:p w14:paraId="3037D8C7" w14:textId="77777777" w:rsidR="000F504F" w:rsidRDefault="00000000">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complete</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failed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update</m:t>
              </m:r>
            </m:sub>
          </m:sSub>
          <m:r>
            <m:rPr>
              <m:sty m:val="p"/>
            </m:rPr>
            <w:rPr>
              <w:rFonts w:ascii="Cambria Math" w:hAnsi="Cambria Math"/>
            </w:rPr>
            <m:t>,</m:t>
          </m:r>
          <m:r>
            <w:rPr>
              <w:rFonts w:ascii="Cambria Math" w:hAnsi="Cambria Math"/>
            </w:rPr>
            <m:t>message</m:t>
          </m:r>
          <m:r>
            <m:rPr>
              <m:sty m:val="p"/>
            </m:rPr>
            <w:rPr>
              <w:rFonts w:ascii="Cambria Math" w:hAnsi="Cambria Math"/>
            </w:rPr>
            <m:t>,</m:t>
          </m:r>
          <m:r>
            <w:rPr>
              <w:rFonts w:ascii="Cambria Math" w:hAnsi="Cambria Math"/>
            </w:rPr>
            <m:t>status</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14.1</m:t>
              </m:r>
            </m:e>
          </m:d>
        </m:oMath>
      </m:oMathPara>
    </w:p>
    <w:p w14:paraId="69840DBA" w14:textId="77777777" w:rsidR="000F504F" w:rsidRDefault="00000000">
      <w:pPr>
        <w:pStyle w:val="FirstParagraph"/>
      </w:pPr>
      <w:r>
        <w:t>The progress fraction is</w:t>
      </w:r>
    </w:p>
    <w:p w14:paraId="0A0F84B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progress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complete</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failed</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14.2</m:t>
              </m:r>
            </m:e>
          </m:d>
        </m:oMath>
      </m:oMathPara>
    </w:p>
    <w:p w14:paraId="10625844" w14:textId="77777777" w:rsidR="000F504F" w:rsidRDefault="00000000">
      <w:pPr>
        <w:pStyle w:val="FirstParagraph"/>
      </w:pPr>
      <w:r>
        <w:lastRenderedPageBreak/>
        <w:t>Concurrent Risk, UA, and Run All Cases executions from the same FLARE folder are not recommended because shared files, temporary input workbooks, and output names can collide. A future implementation should use a global simulation lock or fully isolated working directories:</w:t>
      </w:r>
    </w:p>
    <w:p w14:paraId="27E0D3A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run</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run</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 </m:t>
          </m:r>
          <m:r>
            <m:rPr>
              <m:sty m:val="p"/>
            </m:rPr>
            <w:rPr>
              <w:rFonts w:ascii="Cambria Math" w:hAnsi="Cambria Math"/>
            </w:rPr>
            <m:t>for</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14.3</m:t>
              </m:r>
            </m:e>
          </m:d>
        </m:oMath>
      </m:oMathPara>
    </w:p>
    <w:p w14:paraId="7723F11F" w14:textId="77777777" w:rsidR="000F504F" w:rsidRDefault="00000000">
      <w:pPr>
        <w:pStyle w:val="Heading1"/>
      </w:pPr>
      <w:bookmarkStart w:id="160" w:name="appendix-a-nomenclature"/>
      <w:bookmarkStart w:id="161" w:name="_Toc231205136"/>
      <w:bookmarkEnd w:id="156"/>
      <w:bookmarkEnd w:id="158"/>
      <w:r>
        <w:t>Appendix A — Nomenclature</w:t>
      </w:r>
      <w:bookmarkEnd w:id="161"/>
    </w:p>
    <w:tbl>
      <w:tblPr>
        <w:tblStyle w:val="Table"/>
        <w:tblW w:w="5000" w:type="pct"/>
        <w:tblLayout w:type="fixed"/>
        <w:tblLook w:val="0020" w:firstRow="1" w:lastRow="0" w:firstColumn="0" w:lastColumn="0" w:noHBand="0" w:noVBand="0"/>
      </w:tblPr>
      <w:tblGrid>
        <w:gridCol w:w="3336"/>
        <w:gridCol w:w="3336"/>
        <w:gridCol w:w="3336"/>
      </w:tblGrid>
      <w:tr w:rsidR="000F504F" w14:paraId="703A324B"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E63B75" w14:textId="77777777" w:rsidR="000F504F" w:rsidRDefault="00000000">
            <w:pPr>
              <w:pStyle w:val="Compact"/>
            </w:pPr>
            <w:r>
              <w:t>Symbol</w:t>
            </w:r>
          </w:p>
        </w:tc>
        <w:tc>
          <w:tcPr>
            <w:tcW w:w="2640" w:type="dxa"/>
          </w:tcPr>
          <w:p w14:paraId="7383C175" w14:textId="77777777" w:rsidR="000F504F" w:rsidRDefault="00000000">
            <w:pPr>
              <w:pStyle w:val="Compact"/>
            </w:pPr>
            <w:r>
              <w:t>Description</w:t>
            </w:r>
          </w:p>
        </w:tc>
        <w:tc>
          <w:tcPr>
            <w:tcW w:w="2640" w:type="dxa"/>
          </w:tcPr>
          <w:p w14:paraId="20A18A0F" w14:textId="77777777" w:rsidR="000F504F" w:rsidRDefault="00000000">
            <w:pPr>
              <w:pStyle w:val="Compact"/>
            </w:pPr>
            <w:r>
              <w:t>Units</w:t>
            </w:r>
          </w:p>
        </w:tc>
      </w:tr>
      <w:tr w:rsidR="000F504F" w14:paraId="6D215BC3" w14:textId="77777777">
        <w:tc>
          <w:tcPr>
            <w:tcW w:w="2640" w:type="dxa"/>
          </w:tcPr>
          <w:p w14:paraId="03A86714" w14:textId="77777777" w:rsidR="000F504F" w:rsidRDefault="00000000">
            <w:pPr>
              <w:pStyle w:val="Compact"/>
            </w:pPr>
            <m:oMathPara>
              <m:oMath>
                <m:r>
                  <w:rPr>
                    <w:rFonts w:ascii="Cambria Math" w:hAnsi="Cambria Math"/>
                  </w:rPr>
                  <m:t>A</m:t>
                </m:r>
              </m:oMath>
            </m:oMathPara>
          </w:p>
        </w:tc>
        <w:tc>
          <w:tcPr>
            <w:tcW w:w="2640" w:type="dxa"/>
          </w:tcPr>
          <w:p w14:paraId="6E87193E" w14:textId="77777777" w:rsidR="000F504F" w:rsidRDefault="00000000">
            <w:pPr>
              <w:pStyle w:val="Compact"/>
            </w:pPr>
            <w:r>
              <w:t>Area</w:t>
            </w:r>
          </w:p>
        </w:tc>
        <w:tc>
          <w:tcPr>
            <w:tcW w:w="2640" w:type="dxa"/>
          </w:tcPr>
          <w:p w14:paraId="4FE05B74" w14:textId="77777777" w:rsidR="000F504F" w:rsidRDefault="00000000">
            <w:pPr>
              <w:pStyle w:val="Compact"/>
            </w:pPr>
            <w:r>
              <w:t>m²</w:t>
            </w:r>
          </w:p>
        </w:tc>
      </w:tr>
      <w:tr w:rsidR="000F504F" w14:paraId="2BD6C934" w14:textId="77777777">
        <w:tc>
          <w:tcPr>
            <w:tcW w:w="2640" w:type="dxa"/>
          </w:tcPr>
          <w:p w14:paraId="33CA33E3" w14:textId="77777777" w:rsidR="000F504F"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b</m:t>
                    </m:r>
                  </m:sub>
                </m:sSub>
              </m:oMath>
            </m:oMathPara>
          </w:p>
        </w:tc>
        <w:tc>
          <w:tcPr>
            <w:tcW w:w="2640" w:type="dxa"/>
          </w:tcPr>
          <w:p w14:paraId="6F35629B" w14:textId="77777777" w:rsidR="000F504F" w:rsidRDefault="00000000">
            <w:pPr>
              <w:pStyle w:val="Compact"/>
            </w:pPr>
            <w:r>
              <w:t>Break area</w:t>
            </w:r>
          </w:p>
        </w:tc>
        <w:tc>
          <w:tcPr>
            <w:tcW w:w="2640" w:type="dxa"/>
          </w:tcPr>
          <w:p w14:paraId="6E14B7A9" w14:textId="77777777" w:rsidR="000F504F" w:rsidRDefault="00000000">
            <w:pPr>
              <w:pStyle w:val="Compact"/>
            </w:pPr>
            <w:r>
              <w:t>m²</w:t>
            </w:r>
          </w:p>
        </w:tc>
      </w:tr>
      <w:tr w:rsidR="000F504F" w14:paraId="75824651" w14:textId="77777777">
        <w:tc>
          <w:tcPr>
            <w:tcW w:w="2640" w:type="dxa"/>
          </w:tcPr>
          <w:p w14:paraId="69F19EA3"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p</m:t>
                    </m:r>
                  </m:sub>
                </m:sSub>
              </m:oMath>
            </m:oMathPara>
          </w:p>
        </w:tc>
        <w:tc>
          <w:tcPr>
            <w:tcW w:w="2640" w:type="dxa"/>
          </w:tcPr>
          <w:p w14:paraId="755FCFBE" w14:textId="77777777" w:rsidR="000F504F" w:rsidRDefault="00000000">
            <w:pPr>
              <w:pStyle w:val="Compact"/>
            </w:pPr>
            <w:r>
              <w:t>Specific heat at constant pressure</w:t>
            </w:r>
          </w:p>
        </w:tc>
        <w:tc>
          <w:tcPr>
            <w:tcW w:w="2640" w:type="dxa"/>
          </w:tcPr>
          <w:p w14:paraId="77B1A7E0" w14:textId="77777777" w:rsidR="000F504F" w:rsidRDefault="00000000">
            <w:pPr>
              <w:pStyle w:val="Compact"/>
            </w:pPr>
            <w:r>
              <w:t>J/kg-K</w:t>
            </w:r>
          </w:p>
        </w:tc>
      </w:tr>
      <w:tr w:rsidR="000F504F" w14:paraId="01C76798" w14:textId="77777777">
        <w:tc>
          <w:tcPr>
            <w:tcW w:w="2640" w:type="dxa"/>
          </w:tcPr>
          <w:p w14:paraId="21D07AB4"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2640" w:type="dxa"/>
          </w:tcPr>
          <w:p w14:paraId="560006CF" w14:textId="77777777" w:rsidR="000F504F" w:rsidRDefault="00000000">
            <w:pPr>
              <w:pStyle w:val="Compact"/>
            </w:pPr>
            <w:r>
              <w:t>Specific heat at constant volume</w:t>
            </w:r>
          </w:p>
        </w:tc>
        <w:tc>
          <w:tcPr>
            <w:tcW w:w="2640" w:type="dxa"/>
          </w:tcPr>
          <w:p w14:paraId="5A120E9C" w14:textId="77777777" w:rsidR="000F504F" w:rsidRDefault="00000000">
            <w:pPr>
              <w:pStyle w:val="Compact"/>
            </w:pPr>
            <w:r>
              <w:t>J/kg-K</w:t>
            </w:r>
          </w:p>
        </w:tc>
      </w:tr>
      <w:tr w:rsidR="000F504F" w14:paraId="5C475498" w14:textId="77777777">
        <w:tc>
          <w:tcPr>
            <w:tcW w:w="2640" w:type="dxa"/>
          </w:tcPr>
          <w:p w14:paraId="59DDDB6E"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2640" w:type="dxa"/>
          </w:tcPr>
          <w:p w14:paraId="2F37E10F" w14:textId="77777777" w:rsidR="000F504F" w:rsidRDefault="00000000">
            <w:pPr>
              <w:pStyle w:val="Compact"/>
            </w:pPr>
            <w:r>
              <w:t>Discharge coefficient</w:t>
            </w:r>
          </w:p>
        </w:tc>
        <w:tc>
          <w:tcPr>
            <w:tcW w:w="2640" w:type="dxa"/>
          </w:tcPr>
          <w:p w14:paraId="0DC1BB9E" w14:textId="77777777" w:rsidR="000F504F" w:rsidRDefault="00000000">
            <w:pPr>
              <w:pStyle w:val="Compact"/>
            </w:pPr>
            <w:r>
              <w:t>—</w:t>
            </w:r>
          </w:p>
        </w:tc>
      </w:tr>
      <w:tr w:rsidR="000F504F" w14:paraId="3544A4D2" w14:textId="77777777">
        <w:tc>
          <w:tcPr>
            <w:tcW w:w="2640" w:type="dxa"/>
          </w:tcPr>
          <w:p w14:paraId="37852DE6" w14:textId="77777777" w:rsidR="000F504F" w:rsidRDefault="00000000">
            <w:pPr>
              <w:pStyle w:val="Compact"/>
            </w:pPr>
            <m:oMathPara>
              <m:oMath>
                <m:r>
                  <w:rPr>
                    <w:rFonts w:ascii="Cambria Math" w:hAnsi="Cambria Math"/>
                  </w:rPr>
                  <m:t>C</m:t>
                </m:r>
              </m:oMath>
            </m:oMathPara>
          </w:p>
        </w:tc>
        <w:tc>
          <w:tcPr>
            <w:tcW w:w="2640" w:type="dxa"/>
          </w:tcPr>
          <w:p w14:paraId="0B3EB2DD" w14:textId="77777777" w:rsidR="000F504F" w:rsidRDefault="00000000">
            <w:pPr>
              <w:pStyle w:val="Compact"/>
            </w:pPr>
            <w:r>
              <w:t>Consequence metric for frequency-consequence chart</w:t>
            </w:r>
          </w:p>
        </w:tc>
        <w:tc>
          <w:tcPr>
            <w:tcW w:w="2640" w:type="dxa"/>
          </w:tcPr>
          <w:p w14:paraId="7F6087BF" w14:textId="77777777" w:rsidR="000F504F" w:rsidRDefault="00000000">
            <w:pPr>
              <w:pStyle w:val="Compact"/>
            </w:pPr>
            <w:r>
              <w:t>dose or consequence unit</w:t>
            </w:r>
          </w:p>
        </w:tc>
      </w:tr>
      <w:tr w:rsidR="000F504F" w14:paraId="0C9E2DF9" w14:textId="77777777">
        <w:tc>
          <w:tcPr>
            <w:tcW w:w="2640" w:type="dxa"/>
          </w:tcPr>
          <w:p w14:paraId="2573DEA3" w14:textId="77777777" w:rsidR="000F504F" w:rsidRDefault="00000000">
            <w:pPr>
              <w:pStyle w:val="Compact"/>
            </w:pPr>
            <m:oMathPara>
              <m:oMath>
                <m:r>
                  <w:rPr>
                    <w:rFonts w:ascii="Cambria Math" w:hAnsi="Cambria Math"/>
                  </w:rPr>
                  <m:t>F</m:t>
                </m:r>
              </m:oMath>
            </m:oMathPara>
          </w:p>
        </w:tc>
        <w:tc>
          <w:tcPr>
            <w:tcW w:w="2640" w:type="dxa"/>
          </w:tcPr>
          <w:p w14:paraId="6930DE97" w14:textId="77777777" w:rsidR="000F504F" w:rsidRDefault="00000000">
            <w:pPr>
              <w:pStyle w:val="Compact"/>
            </w:pPr>
            <w:r>
              <w:t>Event or sequence frequency</w:t>
            </w:r>
          </w:p>
        </w:tc>
        <w:tc>
          <w:tcPr>
            <w:tcW w:w="2640" w:type="dxa"/>
          </w:tcPr>
          <w:p w14:paraId="12D83CB9" w14:textId="77777777" w:rsidR="000F504F" w:rsidRDefault="00000000">
            <w:pPr>
              <w:pStyle w:val="Compact"/>
            </w:pPr>
            <w:r>
              <w:t>1/year</w:t>
            </w:r>
          </w:p>
        </w:tc>
      </w:tr>
      <w:tr w:rsidR="000F504F" w14:paraId="37D6B0CE" w14:textId="77777777">
        <w:tc>
          <w:tcPr>
            <w:tcW w:w="2640" w:type="dxa"/>
          </w:tcPr>
          <w:p w14:paraId="2B5655BE" w14:textId="77777777" w:rsidR="000F504F" w:rsidRDefault="00000000">
            <w:pPr>
              <w:pStyle w:val="Compact"/>
            </w:pPr>
            <m:oMathPara>
              <m:oMath>
                <m:sSub>
                  <m:sSubPr>
                    <m:ctrlPr>
                      <w:rPr>
                        <w:rFonts w:ascii="Cambria Math" w:hAnsi="Cambria Math"/>
                      </w:rPr>
                    </m:ctrlPr>
                  </m:sSubPr>
                  <m:e>
                    <m:r>
                      <w:rPr>
                        <w:rFonts w:ascii="Cambria Math" w:hAnsi="Cambria Math"/>
                      </w:rPr>
                      <m:t>F</m:t>
                    </m:r>
                  </m:e>
                  <m:sub>
                    <m:r>
                      <w:rPr>
                        <w:rFonts w:ascii="Cambria Math" w:hAnsi="Cambria Math"/>
                      </w:rPr>
                      <m:t>lim</m:t>
                    </m:r>
                  </m:sub>
                </m:sSub>
              </m:oMath>
            </m:oMathPara>
          </w:p>
        </w:tc>
        <w:tc>
          <w:tcPr>
            <w:tcW w:w="2640" w:type="dxa"/>
          </w:tcPr>
          <w:p w14:paraId="2A241AEA" w14:textId="77777777" w:rsidR="000F504F" w:rsidRDefault="00000000">
            <w:pPr>
              <w:pStyle w:val="Compact"/>
            </w:pPr>
            <w:r>
              <w:t>Frequency-consequence boundary frequency</w:t>
            </w:r>
          </w:p>
        </w:tc>
        <w:tc>
          <w:tcPr>
            <w:tcW w:w="2640" w:type="dxa"/>
          </w:tcPr>
          <w:p w14:paraId="46294206" w14:textId="77777777" w:rsidR="000F504F" w:rsidRDefault="00000000">
            <w:pPr>
              <w:pStyle w:val="Compact"/>
            </w:pPr>
            <w:r>
              <w:t>1/year</w:t>
            </w:r>
          </w:p>
        </w:tc>
      </w:tr>
      <w:tr w:rsidR="000F504F" w14:paraId="2752B565" w14:textId="77777777">
        <w:tc>
          <w:tcPr>
            <w:tcW w:w="2640" w:type="dxa"/>
          </w:tcPr>
          <w:p w14:paraId="42499365" w14:textId="77777777" w:rsidR="000F504F"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h</m:t>
                    </m:r>
                  </m:sub>
                </m:sSub>
              </m:oMath>
            </m:oMathPara>
          </w:p>
        </w:tc>
        <w:tc>
          <w:tcPr>
            <w:tcW w:w="2640" w:type="dxa"/>
          </w:tcPr>
          <w:p w14:paraId="1BA86B40" w14:textId="77777777" w:rsidR="000F504F" w:rsidRDefault="00000000">
            <w:pPr>
              <w:pStyle w:val="Compact"/>
            </w:pPr>
            <w:r>
              <w:t>Hydraulic diameter</w:t>
            </w:r>
          </w:p>
        </w:tc>
        <w:tc>
          <w:tcPr>
            <w:tcW w:w="2640" w:type="dxa"/>
          </w:tcPr>
          <w:p w14:paraId="27273CC2" w14:textId="77777777" w:rsidR="000F504F" w:rsidRDefault="00000000">
            <w:pPr>
              <w:pStyle w:val="Compact"/>
            </w:pPr>
            <w:r>
              <w:t>m</w:t>
            </w:r>
          </w:p>
        </w:tc>
      </w:tr>
      <w:tr w:rsidR="000F504F" w14:paraId="4B24906F" w14:textId="77777777">
        <w:tc>
          <w:tcPr>
            <w:tcW w:w="2640" w:type="dxa"/>
          </w:tcPr>
          <w:p w14:paraId="2B05B225" w14:textId="77777777" w:rsidR="000F504F" w:rsidRDefault="00000000">
            <w:pPr>
              <w:pStyle w:val="Compact"/>
            </w:pPr>
            <m:oMathPara>
              <m:oMath>
                <m:r>
                  <w:rPr>
                    <w:rFonts w:ascii="Cambria Math" w:hAnsi="Cambria Math"/>
                  </w:rPr>
                  <m:t>ECR</m:t>
                </m:r>
              </m:oMath>
            </m:oMathPara>
          </w:p>
        </w:tc>
        <w:tc>
          <w:tcPr>
            <w:tcW w:w="2640" w:type="dxa"/>
          </w:tcPr>
          <w:p w14:paraId="148FEFBD" w14:textId="77777777" w:rsidR="000F504F" w:rsidRDefault="00000000">
            <w:pPr>
              <w:pStyle w:val="Compact"/>
            </w:pPr>
            <w:r>
              <w:t>Equivalent cladding reacted</w:t>
            </w:r>
          </w:p>
        </w:tc>
        <w:tc>
          <w:tcPr>
            <w:tcW w:w="2640" w:type="dxa"/>
          </w:tcPr>
          <w:p w14:paraId="70ECE546" w14:textId="77777777" w:rsidR="000F504F" w:rsidRDefault="00000000">
            <w:pPr>
              <w:pStyle w:val="Compact"/>
            </w:pPr>
            <w:r>
              <w:t>%</w:t>
            </w:r>
          </w:p>
        </w:tc>
      </w:tr>
      <w:tr w:rsidR="000F504F" w14:paraId="21970541" w14:textId="77777777">
        <w:tc>
          <w:tcPr>
            <w:tcW w:w="2640" w:type="dxa"/>
          </w:tcPr>
          <w:p w14:paraId="54C5E2A4" w14:textId="77777777" w:rsidR="000F504F" w:rsidRDefault="00000000">
            <w:pPr>
              <w:pStyle w:val="Compact"/>
            </w:pPr>
            <m:oMathPara>
              <m:oMath>
                <m:r>
                  <w:rPr>
                    <w:rFonts w:ascii="Cambria Math" w:hAnsi="Cambria Math"/>
                  </w:rPr>
                  <m:t>G</m:t>
                </m:r>
              </m:oMath>
            </m:oMathPara>
          </w:p>
        </w:tc>
        <w:tc>
          <w:tcPr>
            <w:tcW w:w="2640" w:type="dxa"/>
          </w:tcPr>
          <w:p w14:paraId="46949222" w14:textId="77777777" w:rsidR="000F504F" w:rsidRDefault="00000000">
            <w:pPr>
              <w:pStyle w:val="Compact"/>
            </w:pPr>
            <w:r>
              <w:t>Mass flux</w:t>
            </w:r>
          </w:p>
        </w:tc>
        <w:tc>
          <w:tcPr>
            <w:tcW w:w="2640" w:type="dxa"/>
          </w:tcPr>
          <w:p w14:paraId="4CB6F30D" w14:textId="77777777" w:rsidR="000F504F" w:rsidRDefault="00000000">
            <w:pPr>
              <w:pStyle w:val="Compact"/>
            </w:pPr>
            <w:r>
              <w:t>kg/m²-s</w:t>
            </w:r>
          </w:p>
        </w:tc>
      </w:tr>
      <w:tr w:rsidR="000F504F" w14:paraId="1D8987C9" w14:textId="77777777">
        <w:tc>
          <w:tcPr>
            <w:tcW w:w="2640" w:type="dxa"/>
          </w:tcPr>
          <w:p w14:paraId="39B145B0" w14:textId="77777777" w:rsidR="000F504F" w:rsidRDefault="00000000">
            <w:pPr>
              <w:pStyle w:val="Compact"/>
            </w:pPr>
            <m:oMathPara>
              <m:oMath>
                <m:r>
                  <w:rPr>
                    <w:rFonts w:ascii="Cambria Math" w:hAnsi="Cambria Math"/>
                  </w:rPr>
                  <m:t>h</m:t>
                </m:r>
              </m:oMath>
            </m:oMathPara>
          </w:p>
        </w:tc>
        <w:tc>
          <w:tcPr>
            <w:tcW w:w="2640" w:type="dxa"/>
          </w:tcPr>
          <w:p w14:paraId="60CB37D1" w14:textId="77777777" w:rsidR="000F504F" w:rsidRDefault="00000000">
            <w:pPr>
              <w:pStyle w:val="Compact"/>
            </w:pPr>
            <w:r>
              <w:t>Specific enthalpy</w:t>
            </w:r>
          </w:p>
        </w:tc>
        <w:tc>
          <w:tcPr>
            <w:tcW w:w="2640" w:type="dxa"/>
          </w:tcPr>
          <w:p w14:paraId="6F2946AF" w14:textId="77777777" w:rsidR="000F504F" w:rsidRDefault="00000000">
            <w:pPr>
              <w:pStyle w:val="Compact"/>
            </w:pPr>
            <w:r>
              <w:t>J/kg</w:t>
            </w:r>
          </w:p>
        </w:tc>
      </w:tr>
      <w:tr w:rsidR="000F504F" w14:paraId="16501E9B" w14:textId="77777777">
        <w:tc>
          <w:tcPr>
            <w:tcW w:w="2640" w:type="dxa"/>
          </w:tcPr>
          <w:p w14:paraId="402AE630" w14:textId="77777777" w:rsidR="000F504F"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m:t>
                    </m:r>
                  </m:sub>
                </m:sSub>
              </m:oMath>
            </m:oMathPara>
          </w:p>
        </w:tc>
        <w:tc>
          <w:tcPr>
            <w:tcW w:w="2640" w:type="dxa"/>
          </w:tcPr>
          <w:p w14:paraId="48CD93CE" w14:textId="77777777" w:rsidR="000F504F" w:rsidRDefault="00000000">
            <w:pPr>
              <w:pStyle w:val="Compact"/>
            </w:pPr>
            <w:r>
              <w:t>Convective heat-transfer coefficient</w:t>
            </w:r>
          </w:p>
        </w:tc>
        <w:tc>
          <w:tcPr>
            <w:tcW w:w="2640" w:type="dxa"/>
          </w:tcPr>
          <w:p w14:paraId="11AC33E9" w14:textId="77777777" w:rsidR="000F504F" w:rsidRDefault="00000000">
            <w:pPr>
              <w:pStyle w:val="Compact"/>
            </w:pPr>
            <w:r>
              <w:t>W/m²-K</w:t>
            </w:r>
          </w:p>
        </w:tc>
      </w:tr>
      <w:tr w:rsidR="000F504F" w14:paraId="7168E4E7" w14:textId="77777777">
        <w:tc>
          <w:tcPr>
            <w:tcW w:w="2640" w:type="dxa"/>
          </w:tcPr>
          <w:p w14:paraId="1AB2D330" w14:textId="77777777" w:rsidR="000F504F" w:rsidRDefault="00000000">
            <w:pPr>
              <w:pStyle w:val="Compact"/>
            </w:pPr>
            <m:oMathPara>
              <m:oMath>
                <m:r>
                  <w:rPr>
                    <w:rFonts w:ascii="Cambria Math" w:hAnsi="Cambria Math"/>
                  </w:rPr>
                  <m:t>k</m:t>
                </m:r>
              </m:oMath>
            </m:oMathPara>
          </w:p>
        </w:tc>
        <w:tc>
          <w:tcPr>
            <w:tcW w:w="2640" w:type="dxa"/>
          </w:tcPr>
          <w:p w14:paraId="595C98BA" w14:textId="77777777" w:rsidR="000F504F" w:rsidRDefault="00000000">
            <w:pPr>
              <w:pStyle w:val="Compact"/>
            </w:pPr>
            <w:r>
              <w:t>Thermal conductivity</w:t>
            </w:r>
          </w:p>
        </w:tc>
        <w:tc>
          <w:tcPr>
            <w:tcW w:w="2640" w:type="dxa"/>
          </w:tcPr>
          <w:p w14:paraId="505BEB90" w14:textId="77777777" w:rsidR="000F504F" w:rsidRDefault="00000000">
            <w:pPr>
              <w:pStyle w:val="Compact"/>
            </w:pPr>
            <w:r>
              <w:t>W/m-K</w:t>
            </w:r>
          </w:p>
        </w:tc>
      </w:tr>
      <w:tr w:rsidR="000F504F" w14:paraId="653F9666" w14:textId="77777777">
        <w:tc>
          <w:tcPr>
            <w:tcW w:w="2640" w:type="dxa"/>
          </w:tcPr>
          <w:p w14:paraId="602259D8" w14:textId="77777777" w:rsidR="000F504F" w:rsidRDefault="00000000">
            <w:pPr>
              <w:pStyle w:val="Compact"/>
            </w:pPr>
            <m:oMathPara>
              <m:oMath>
                <m:r>
                  <w:rPr>
                    <w:rFonts w:ascii="Cambria Math" w:hAnsi="Cambria Math"/>
                  </w:rPr>
                  <m:t>M</m:t>
                </m:r>
              </m:oMath>
            </m:oMathPara>
          </w:p>
        </w:tc>
        <w:tc>
          <w:tcPr>
            <w:tcW w:w="2640" w:type="dxa"/>
          </w:tcPr>
          <w:p w14:paraId="20DD8AEA" w14:textId="77777777" w:rsidR="000F504F" w:rsidRDefault="00000000">
            <w:pPr>
              <w:pStyle w:val="Compact"/>
            </w:pPr>
            <w:r>
              <w:t>Mass</w:t>
            </w:r>
          </w:p>
        </w:tc>
        <w:tc>
          <w:tcPr>
            <w:tcW w:w="2640" w:type="dxa"/>
          </w:tcPr>
          <w:p w14:paraId="6E26E582" w14:textId="77777777" w:rsidR="000F504F" w:rsidRDefault="00000000">
            <w:pPr>
              <w:pStyle w:val="Compact"/>
            </w:pPr>
            <w:r>
              <w:t>kg</w:t>
            </w:r>
          </w:p>
        </w:tc>
      </w:tr>
      <w:tr w:rsidR="000F504F" w14:paraId="6305504B" w14:textId="77777777">
        <w:tc>
          <w:tcPr>
            <w:tcW w:w="2640" w:type="dxa"/>
          </w:tcPr>
          <w:p w14:paraId="5379AFBB" w14:textId="77777777" w:rsidR="000F504F" w:rsidRDefault="00000000">
            <w:pPr>
              <w:pStyle w:val="Compact"/>
            </w:pPr>
            <m:oMathPara>
              <m:oMath>
                <m:r>
                  <w:rPr>
                    <w:rFonts w:ascii="Cambria Math" w:hAnsi="Cambria Math"/>
                  </w:rPr>
                  <m:t>Nu</m:t>
                </m:r>
              </m:oMath>
            </m:oMathPara>
          </w:p>
        </w:tc>
        <w:tc>
          <w:tcPr>
            <w:tcW w:w="2640" w:type="dxa"/>
          </w:tcPr>
          <w:p w14:paraId="7E576941" w14:textId="77777777" w:rsidR="000F504F" w:rsidRDefault="00000000">
            <w:pPr>
              <w:pStyle w:val="Compact"/>
            </w:pPr>
            <w:r>
              <w:t>Nusselt number</w:t>
            </w:r>
          </w:p>
        </w:tc>
        <w:tc>
          <w:tcPr>
            <w:tcW w:w="2640" w:type="dxa"/>
          </w:tcPr>
          <w:p w14:paraId="7A6DD806" w14:textId="77777777" w:rsidR="000F504F" w:rsidRDefault="00000000">
            <w:pPr>
              <w:pStyle w:val="Compact"/>
            </w:pPr>
            <w:r>
              <w:t>—</w:t>
            </w:r>
          </w:p>
        </w:tc>
      </w:tr>
      <w:tr w:rsidR="000F504F" w14:paraId="731DF189" w14:textId="77777777">
        <w:tc>
          <w:tcPr>
            <w:tcW w:w="2640" w:type="dxa"/>
          </w:tcPr>
          <w:p w14:paraId="5DE63FA9" w14:textId="77777777" w:rsidR="000F504F" w:rsidRDefault="00000000">
            <w:pPr>
              <w:pStyle w:val="Compact"/>
            </w:pPr>
            <m:oMathPara>
              <m:oMath>
                <m:r>
                  <w:rPr>
                    <w:rFonts w:ascii="Cambria Math" w:hAnsi="Cambria Math"/>
                  </w:rPr>
                  <m:t>P</m:t>
                </m:r>
              </m:oMath>
            </m:oMathPara>
          </w:p>
        </w:tc>
        <w:tc>
          <w:tcPr>
            <w:tcW w:w="2640" w:type="dxa"/>
          </w:tcPr>
          <w:p w14:paraId="65251E3E" w14:textId="77777777" w:rsidR="000F504F" w:rsidRDefault="00000000">
            <w:pPr>
              <w:pStyle w:val="Compact"/>
            </w:pPr>
            <w:r>
              <w:t>Pressure</w:t>
            </w:r>
          </w:p>
        </w:tc>
        <w:tc>
          <w:tcPr>
            <w:tcW w:w="2640" w:type="dxa"/>
          </w:tcPr>
          <w:p w14:paraId="5C062749" w14:textId="77777777" w:rsidR="000F504F" w:rsidRDefault="00000000">
            <w:pPr>
              <w:pStyle w:val="Compact"/>
            </w:pPr>
            <w:r>
              <w:t>Pa or kPa</w:t>
            </w:r>
          </w:p>
        </w:tc>
      </w:tr>
      <w:tr w:rsidR="000F504F" w14:paraId="3F3D24E1" w14:textId="77777777">
        <w:tc>
          <w:tcPr>
            <w:tcW w:w="2640" w:type="dxa"/>
          </w:tcPr>
          <w:p w14:paraId="5EC802B0" w14:textId="77777777" w:rsidR="000F504F" w:rsidRDefault="00000000">
            <w:pPr>
              <w:pStyle w:val="Compact"/>
            </w:pPr>
            <m:oMathPara>
              <m:oMath>
                <m:r>
                  <w:rPr>
                    <w:rFonts w:ascii="Cambria Math" w:hAnsi="Cambria Math"/>
                  </w:rPr>
                  <m:t>Pr</m:t>
                </m:r>
              </m:oMath>
            </m:oMathPara>
          </w:p>
        </w:tc>
        <w:tc>
          <w:tcPr>
            <w:tcW w:w="2640" w:type="dxa"/>
          </w:tcPr>
          <w:p w14:paraId="3A1C05C3" w14:textId="77777777" w:rsidR="000F504F" w:rsidRDefault="00000000">
            <w:pPr>
              <w:pStyle w:val="Compact"/>
            </w:pPr>
            <w:r>
              <w:t>Prandtl number</w:t>
            </w:r>
          </w:p>
        </w:tc>
        <w:tc>
          <w:tcPr>
            <w:tcW w:w="2640" w:type="dxa"/>
          </w:tcPr>
          <w:p w14:paraId="6015CBED" w14:textId="77777777" w:rsidR="000F504F" w:rsidRDefault="00000000">
            <w:pPr>
              <w:pStyle w:val="Compact"/>
            </w:pPr>
            <w:r>
              <w:t>—</w:t>
            </w:r>
          </w:p>
        </w:tc>
      </w:tr>
      <w:tr w:rsidR="000F504F" w14:paraId="2C76ABC0" w14:textId="77777777">
        <w:tc>
          <w:tcPr>
            <w:tcW w:w="2640" w:type="dxa"/>
          </w:tcPr>
          <w:p w14:paraId="27BCA727" w14:textId="77777777" w:rsidR="000F504F" w:rsidRDefault="00000000">
            <w:pPr>
              <w:pStyle w:val="Compact"/>
            </w:pPr>
            <m:oMathPara>
              <m:oMath>
                <m:r>
                  <w:rPr>
                    <w:rFonts w:ascii="Cambria Math" w:hAnsi="Cambria Math"/>
                  </w:rPr>
                  <m:t>Q</m:t>
                </m:r>
              </m:oMath>
            </m:oMathPara>
          </w:p>
        </w:tc>
        <w:tc>
          <w:tcPr>
            <w:tcW w:w="2640" w:type="dxa"/>
          </w:tcPr>
          <w:p w14:paraId="0B654DBA" w14:textId="77777777" w:rsidR="000F504F" w:rsidRDefault="00000000">
            <w:pPr>
              <w:pStyle w:val="Compact"/>
            </w:pPr>
            <w:r>
              <w:t>Heat transfer rate or thermal power</w:t>
            </w:r>
          </w:p>
        </w:tc>
        <w:tc>
          <w:tcPr>
            <w:tcW w:w="2640" w:type="dxa"/>
          </w:tcPr>
          <w:p w14:paraId="486381C8" w14:textId="77777777" w:rsidR="000F504F" w:rsidRDefault="00000000">
            <w:pPr>
              <w:pStyle w:val="Compact"/>
            </w:pPr>
            <w:r>
              <w:t>W</w:t>
            </w:r>
          </w:p>
        </w:tc>
      </w:tr>
      <w:tr w:rsidR="000F504F" w14:paraId="79CB9DEE" w14:textId="77777777">
        <w:tc>
          <w:tcPr>
            <w:tcW w:w="2640" w:type="dxa"/>
          </w:tcPr>
          <w:p w14:paraId="5FA7B346" w14:textId="77777777" w:rsidR="000F504F" w:rsidRDefault="00000000">
            <w:pPr>
              <w:pStyle w:val="Compact"/>
            </w:pPr>
            <m:oMathPara>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m:oMathPara>
          </w:p>
        </w:tc>
        <w:tc>
          <w:tcPr>
            <w:tcW w:w="2640" w:type="dxa"/>
          </w:tcPr>
          <w:p w14:paraId="3F956C0E" w14:textId="77777777" w:rsidR="000F504F" w:rsidRDefault="00000000">
            <w:pPr>
              <w:pStyle w:val="Compact"/>
            </w:pPr>
            <w:r>
              <w:t>Heat flux</w:t>
            </w:r>
          </w:p>
        </w:tc>
        <w:tc>
          <w:tcPr>
            <w:tcW w:w="2640" w:type="dxa"/>
          </w:tcPr>
          <w:p w14:paraId="625F36F1" w14:textId="77777777" w:rsidR="000F504F" w:rsidRDefault="00000000">
            <w:pPr>
              <w:pStyle w:val="Compact"/>
            </w:pPr>
            <w:r>
              <w:t>W/m²</w:t>
            </w:r>
          </w:p>
        </w:tc>
      </w:tr>
      <w:tr w:rsidR="000F504F" w14:paraId="2AC46968" w14:textId="77777777">
        <w:tc>
          <w:tcPr>
            <w:tcW w:w="2640" w:type="dxa"/>
          </w:tcPr>
          <w:p w14:paraId="1376A043" w14:textId="77777777" w:rsidR="000F504F" w:rsidRDefault="00000000">
            <w:pPr>
              <w:pStyle w:val="Compact"/>
            </w:pPr>
            <m:oMathPara>
              <m:oMath>
                <m:r>
                  <w:rPr>
                    <w:rFonts w:ascii="Cambria Math" w:hAnsi="Cambria Math"/>
                  </w:rPr>
                  <m:t>Ra</m:t>
                </m:r>
              </m:oMath>
            </m:oMathPara>
          </w:p>
        </w:tc>
        <w:tc>
          <w:tcPr>
            <w:tcW w:w="2640" w:type="dxa"/>
          </w:tcPr>
          <w:p w14:paraId="48EED3ED" w14:textId="77777777" w:rsidR="000F504F" w:rsidRDefault="00000000">
            <w:pPr>
              <w:pStyle w:val="Compact"/>
            </w:pPr>
            <w:r>
              <w:t>Rayleigh number</w:t>
            </w:r>
          </w:p>
        </w:tc>
        <w:tc>
          <w:tcPr>
            <w:tcW w:w="2640" w:type="dxa"/>
          </w:tcPr>
          <w:p w14:paraId="0D44FDAC" w14:textId="77777777" w:rsidR="000F504F" w:rsidRDefault="00000000">
            <w:pPr>
              <w:pStyle w:val="Compact"/>
            </w:pPr>
            <w:r>
              <w:t>—</w:t>
            </w:r>
          </w:p>
        </w:tc>
      </w:tr>
      <w:tr w:rsidR="000F504F" w14:paraId="32426D45" w14:textId="77777777">
        <w:tc>
          <w:tcPr>
            <w:tcW w:w="2640" w:type="dxa"/>
          </w:tcPr>
          <w:p w14:paraId="4C0C7DEB" w14:textId="77777777" w:rsidR="000F504F" w:rsidRDefault="00000000">
            <w:pPr>
              <w:pStyle w:val="Compact"/>
            </w:pPr>
            <m:oMathPara>
              <m:oMath>
                <m:r>
                  <w:rPr>
                    <w:rFonts w:ascii="Cambria Math" w:hAnsi="Cambria Math"/>
                  </w:rPr>
                  <m:t>Re</m:t>
                </m:r>
              </m:oMath>
            </m:oMathPara>
          </w:p>
        </w:tc>
        <w:tc>
          <w:tcPr>
            <w:tcW w:w="2640" w:type="dxa"/>
          </w:tcPr>
          <w:p w14:paraId="1647709F" w14:textId="77777777" w:rsidR="000F504F" w:rsidRDefault="00000000">
            <w:pPr>
              <w:pStyle w:val="Compact"/>
            </w:pPr>
            <w:r>
              <w:t>Reynolds number</w:t>
            </w:r>
          </w:p>
        </w:tc>
        <w:tc>
          <w:tcPr>
            <w:tcW w:w="2640" w:type="dxa"/>
          </w:tcPr>
          <w:p w14:paraId="4DB84BD8" w14:textId="77777777" w:rsidR="000F504F" w:rsidRDefault="00000000">
            <w:pPr>
              <w:pStyle w:val="Compact"/>
            </w:pPr>
            <w:r>
              <w:t>—</w:t>
            </w:r>
          </w:p>
        </w:tc>
      </w:tr>
      <w:tr w:rsidR="000F504F" w14:paraId="67C7C3BF" w14:textId="77777777">
        <w:tc>
          <w:tcPr>
            <w:tcW w:w="2640" w:type="dxa"/>
          </w:tcPr>
          <w:p w14:paraId="3966B4B4" w14:textId="77777777" w:rsidR="000F504F" w:rsidRDefault="00000000">
            <w:pPr>
              <w:pStyle w:val="Compact"/>
            </w:pPr>
            <m:oMathPara>
              <m:oMath>
                <m:r>
                  <w:rPr>
                    <w:rFonts w:ascii="Cambria Math" w:hAnsi="Cambria Math"/>
                  </w:rPr>
                  <m:t>S</m:t>
                </m:r>
              </m:oMath>
            </m:oMathPara>
          </w:p>
        </w:tc>
        <w:tc>
          <w:tcPr>
            <w:tcW w:w="2640" w:type="dxa"/>
          </w:tcPr>
          <w:p w14:paraId="342F1F8E" w14:textId="77777777" w:rsidR="000F504F" w:rsidRDefault="00000000">
            <w:pPr>
              <w:pStyle w:val="Compact"/>
            </w:pPr>
            <w:r>
              <w:t>Slip ratio</w:t>
            </w:r>
          </w:p>
        </w:tc>
        <w:tc>
          <w:tcPr>
            <w:tcW w:w="2640" w:type="dxa"/>
          </w:tcPr>
          <w:p w14:paraId="0EDA4CFA" w14:textId="77777777" w:rsidR="000F504F" w:rsidRDefault="00000000">
            <w:pPr>
              <w:pStyle w:val="Compact"/>
            </w:pPr>
            <w:r>
              <w:t>—</w:t>
            </w:r>
          </w:p>
        </w:tc>
      </w:tr>
      <w:tr w:rsidR="000F504F" w14:paraId="695C0C11" w14:textId="77777777">
        <w:tc>
          <w:tcPr>
            <w:tcW w:w="2640" w:type="dxa"/>
          </w:tcPr>
          <w:p w14:paraId="75AD67AD" w14:textId="77777777" w:rsidR="000F504F" w:rsidRDefault="00000000">
            <w:pPr>
              <w:pStyle w:val="Compact"/>
            </w:pPr>
            <m:oMathPara>
              <m:oMath>
                <m:r>
                  <w:rPr>
                    <w:rFonts w:ascii="Cambria Math" w:hAnsi="Cambria Math"/>
                  </w:rPr>
                  <m:t>T</m:t>
                </m:r>
              </m:oMath>
            </m:oMathPara>
          </w:p>
        </w:tc>
        <w:tc>
          <w:tcPr>
            <w:tcW w:w="2640" w:type="dxa"/>
          </w:tcPr>
          <w:p w14:paraId="186F4A44" w14:textId="77777777" w:rsidR="000F504F" w:rsidRDefault="00000000">
            <w:pPr>
              <w:pStyle w:val="Compact"/>
            </w:pPr>
            <w:r>
              <w:t>Temperature</w:t>
            </w:r>
          </w:p>
        </w:tc>
        <w:tc>
          <w:tcPr>
            <w:tcW w:w="2640" w:type="dxa"/>
          </w:tcPr>
          <w:p w14:paraId="0080D445" w14:textId="77777777" w:rsidR="000F504F" w:rsidRDefault="00000000">
            <w:pPr>
              <w:pStyle w:val="Compact"/>
            </w:pPr>
            <w:r>
              <w:t>K or °C</w:t>
            </w:r>
          </w:p>
        </w:tc>
      </w:tr>
      <w:tr w:rsidR="000F504F" w14:paraId="5A8FA146" w14:textId="77777777">
        <w:tc>
          <w:tcPr>
            <w:tcW w:w="2640" w:type="dxa"/>
          </w:tcPr>
          <w:p w14:paraId="0B47E071" w14:textId="77777777" w:rsidR="000F504F" w:rsidRDefault="00000000">
            <w:pPr>
              <w:pStyle w:val="Compact"/>
            </w:pPr>
            <m:oMathPara>
              <m:oMath>
                <m:r>
                  <w:rPr>
                    <w:rFonts w:ascii="Cambria Math" w:hAnsi="Cambria Math"/>
                  </w:rPr>
                  <m:t>U</m:t>
                </m:r>
              </m:oMath>
            </m:oMathPara>
          </w:p>
        </w:tc>
        <w:tc>
          <w:tcPr>
            <w:tcW w:w="2640" w:type="dxa"/>
          </w:tcPr>
          <w:p w14:paraId="5F79FC15" w14:textId="77777777" w:rsidR="000F504F" w:rsidRDefault="00000000">
            <w:pPr>
              <w:pStyle w:val="Compact"/>
            </w:pPr>
            <w:r>
              <w:t>Internal energy</w:t>
            </w:r>
          </w:p>
        </w:tc>
        <w:tc>
          <w:tcPr>
            <w:tcW w:w="2640" w:type="dxa"/>
          </w:tcPr>
          <w:p w14:paraId="65C891D6" w14:textId="77777777" w:rsidR="000F504F" w:rsidRDefault="00000000">
            <w:pPr>
              <w:pStyle w:val="Compact"/>
            </w:pPr>
            <w:r>
              <w:t>J</w:t>
            </w:r>
          </w:p>
        </w:tc>
      </w:tr>
      <w:tr w:rsidR="000F504F" w14:paraId="2BF56A26" w14:textId="77777777">
        <w:tc>
          <w:tcPr>
            <w:tcW w:w="2640" w:type="dxa"/>
          </w:tcPr>
          <w:p w14:paraId="532ACECC" w14:textId="77777777" w:rsidR="000F504F" w:rsidRDefault="00000000">
            <w:pPr>
              <w:pStyle w:val="Compact"/>
            </w:pPr>
            <m:oMathPara>
              <m:oMath>
                <m:r>
                  <w:rPr>
                    <w:rFonts w:ascii="Cambria Math" w:hAnsi="Cambria Math"/>
                  </w:rPr>
                  <m:t>v</m:t>
                </m:r>
              </m:oMath>
            </m:oMathPara>
          </w:p>
        </w:tc>
        <w:tc>
          <w:tcPr>
            <w:tcW w:w="2640" w:type="dxa"/>
          </w:tcPr>
          <w:p w14:paraId="2C4C562E" w14:textId="77777777" w:rsidR="000F504F" w:rsidRDefault="00000000">
            <w:pPr>
              <w:pStyle w:val="Compact"/>
            </w:pPr>
            <w:r>
              <w:t>Specific volume</w:t>
            </w:r>
          </w:p>
        </w:tc>
        <w:tc>
          <w:tcPr>
            <w:tcW w:w="2640" w:type="dxa"/>
          </w:tcPr>
          <w:p w14:paraId="0792F609" w14:textId="77777777" w:rsidR="000F504F" w:rsidRDefault="00000000">
            <w:pPr>
              <w:pStyle w:val="Compact"/>
            </w:pPr>
            <w:r>
              <w:t>m³/kg</w:t>
            </w:r>
          </w:p>
        </w:tc>
      </w:tr>
      <w:tr w:rsidR="000F504F" w14:paraId="2BFC9E38" w14:textId="77777777">
        <w:tc>
          <w:tcPr>
            <w:tcW w:w="2640" w:type="dxa"/>
          </w:tcPr>
          <w:p w14:paraId="00F5F419" w14:textId="77777777" w:rsidR="000F504F"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eq</m:t>
                    </m:r>
                  </m:sub>
                </m:sSub>
              </m:oMath>
            </m:oMathPara>
          </w:p>
        </w:tc>
        <w:tc>
          <w:tcPr>
            <w:tcW w:w="2640" w:type="dxa"/>
          </w:tcPr>
          <w:p w14:paraId="76A210B6" w14:textId="77777777" w:rsidR="000F504F" w:rsidRDefault="00000000">
            <w:pPr>
              <w:pStyle w:val="Compact"/>
            </w:pPr>
            <w:r>
              <w:t>Equilibrium quality</w:t>
            </w:r>
          </w:p>
        </w:tc>
        <w:tc>
          <w:tcPr>
            <w:tcW w:w="2640" w:type="dxa"/>
          </w:tcPr>
          <w:p w14:paraId="426807B6" w14:textId="77777777" w:rsidR="000F504F" w:rsidRDefault="00000000">
            <w:pPr>
              <w:pStyle w:val="Compact"/>
            </w:pPr>
            <w:r>
              <w:t>—</w:t>
            </w:r>
          </w:p>
        </w:tc>
      </w:tr>
      <w:tr w:rsidR="000F504F" w14:paraId="1CB56EFE" w14:textId="77777777">
        <w:tc>
          <w:tcPr>
            <w:tcW w:w="2640" w:type="dxa"/>
          </w:tcPr>
          <w:p w14:paraId="154EA0AA" w14:textId="77777777" w:rsidR="000F504F" w:rsidRDefault="00000000">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D</m:t>
                    </m:r>
                  </m:sub>
                </m:sSub>
              </m:oMath>
            </m:oMathPara>
          </w:p>
        </w:tc>
        <w:tc>
          <w:tcPr>
            <w:tcW w:w="2640" w:type="dxa"/>
          </w:tcPr>
          <w:p w14:paraId="047656D4" w14:textId="77777777" w:rsidR="000F504F" w:rsidRDefault="00000000">
            <w:pPr>
              <w:pStyle w:val="Compact"/>
            </w:pPr>
            <w:r>
              <w:t>Doppler coefficient</w:t>
            </w:r>
          </w:p>
        </w:tc>
        <w:tc>
          <w:tcPr>
            <w:tcW w:w="2640" w:type="dxa"/>
          </w:tcPr>
          <w:p w14:paraId="4AEDB7EA" w14:textId="77777777" w:rsidR="000F504F" w:rsidRDefault="00000000">
            <w:pPr>
              <w:pStyle w:val="Compact"/>
            </w:pPr>
            <w:r>
              <w:t>pcm/°C</w:t>
            </w:r>
          </w:p>
        </w:tc>
      </w:tr>
      <w:tr w:rsidR="000F504F" w14:paraId="34B046BF" w14:textId="77777777">
        <w:tc>
          <w:tcPr>
            <w:tcW w:w="2640" w:type="dxa"/>
          </w:tcPr>
          <w:p w14:paraId="776FB7B9" w14:textId="77777777" w:rsidR="000F504F" w:rsidRDefault="00000000">
            <w:pPr>
              <w:pStyle w:val="Compact"/>
            </w:pPr>
            <m:oMathPara>
              <m:oMath>
                <m:r>
                  <w:rPr>
                    <w:rFonts w:ascii="Cambria Math" w:hAnsi="Cambria Math"/>
                  </w:rPr>
                  <m:t>β</m:t>
                </m:r>
              </m:oMath>
            </m:oMathPara>
          </w:p>
        </w:tc>
        <w:tc>
          <w:tcPr>
            <w:tcW w:w="2640" w:type="dxa"/>
          </w:tcPr>
          <w:p w14:paraId="13E82FEB" w14:textId="77777777" w:rsidR="000F504F" w:rsidRDefault="00000000">
            <w:pPr>
              <w:pStyle w:val="Compact"/>
            </w:pPr>
            <w:r>
              <w:t>Delayed neutron fraction</w:t>
            </w:r>
          </w:p>
        </w:tc>
        <w:tc>
          <w:tcPr>
            <w:tcW w:w="2640" w:type="dxa"/>
          </w:tcPr>
          <w:p w14:paraId="4D82F9A6" w14:textId="77777777" w:rsidR="000F504F" w:rsidRDefault="00000000">
            <w:pPr>
              <w:pStyle w:val="Compact"/>
            </w:pPr>
            <w:r>
              <w:t>—</w:t>
            </w:r>
          </w:p>
        </w:tc>
      </w:tr>
      <w:tr w:rsidR="000F504F" w14:paraId="1E2BB024" w14:textId="77777777">
        <w:tc>
          <w:tcPr>
            <w:tcW w:w="2640" w:type="dxa"/>
          </w:tcPr>
          <w:p w14:paraId="6996E760" w14:textId="77777777" w:rsidR="000F504F" w:rsidRDefault="00000000">
            <w:pPr>
              <w:pStyle w:val="Compact"/>
            </w:pPr>
            <m:oMathPara>
              <m:oMath>
                <m:r>
                  <w:rPr>
                    <w:rFonts w:ascii="Cambria Math" w:hAnsi="Cambria Math"/>
                  </w:rPr>
                  <m:t>Λ</m:t>
                </m:r>
              </m:oMath>
            </m:oMathPara>
          </w:p>
        </w:tc>
        <w:tc>
          <w:tcPr>
            <w:tcW w:w="2640" w:type="dxa"/>
          </w:tcPr>
          <w:p w14:paraId="5D372D7B" w14:textId="77777777" w:rsidR="000F504F" w:rsidRDefault="00000000">
            <w:pPr>
              <w:pStyle w:val="Compact"/>
            </w:pPr>
            <w:r>
              <w:t>Prompt neutron generation time</w:t>
            </w:r>
          </w:p>
        </w:tc>
        <w:tc>
          <w:tcPr>
            <w:tcW w:w="2640" w:type="dxa"/>
          </w:tcPr>
          <w:p w14:paraId="28D8BF32" w14:textId="77777777" w:rsidR="000F504F" w:rsidRDefault="00000000">
            <w:pPr>
              <w:pStyle w:val="Compact"/>
            </w:pPr>
            <w:r>
              <w:t>s</w:t>
            </w:r>
          </w:p>
        </w:tc>
      </w:tr>
      <w:tr w:rsidR="000F504F" w14:paraId="11CB6503" w14:textId="77777777">
        <w:tc>
          <w:tcPr>
            <w:tcW w:w="2640" w:type="dxa"/>
          </w:tcPr>
          <w:p w14:paraId="0D1119CA" w14:textId="77777777" w:rsidR="000F504F" w:rsidRDefault="00000000">
            <w:pPr>
              <w:pStyle w:val="Compact"/>
            </w:pPr>
            <m:oMathPara>
              <m:oMath>
                <m:r>
                  <w:rPr>
                    <w:rFonts w:ascii="Cambria Math" w:hAnsi="Cambria Math"/>
                  </w:rPr>
                  <m:t>ρ</m:t>
                </m:r>
              </m:oMath>
            </m:oMathPara>
          </w:p>
        </w:tc>
        <w:tc>
          <w:tcPr>
            <w:tcW w:w="2640" w:type="dxa"/>
          </w:tcPr>
          <w:p w14:paraId="64172383" w14:textId="77777777" w:rsidR="000F504F" w:rsidRDefault="00000000">
            <w:pPr>
              <w:pStyle w:val="Compact"/>
            </w:pPr>
            <w:r>
              <w:t xml:space="preserve">Reactivity or density, depending </w:t>
            </w:r>
            <w:r>
              <w:lastRenderedPageBreak/>
              <w:t>on context</w:t>
            </w:r>
          </w:p>
        </w:tc>
        <w:tc>
          <w:tcPr>
            <w:tcW w:w="2640" w:type="dxa"/>
          </w:tcPr>
          <w:p w14:paraId="66BA3D37" w14:textId="77777777" w:rsidR="000F504F" w:rsidRDefault="00000000">
            <w:pPr>
              <w:pStyle w:val="Compact"/>
            </w:pPr>
            <w:r>
              <w:lastRenderedPageBreak/>
              <w:t>— or kg/m³</w:t>
            </w:r>
          </w:p>
        </w:tc>
      </w:tr>
      <w:tr w:rsidR="000F504F" w14:paraId="230F0F5F" w14:textId="77777777">
        <w:tc>
          <w:tcPr>
            <w:tcW w:w="2640" w:type="dxa"/>
          </w:tcPr>
          <w:p w14:paraId="42EEEB7F" w14:textId="77777777" w:rsidR="000F504F" w:rsidRDefault="00000000">
            <w:pPr>
              <w:pStyle w:val="Compact"/>
            </w:pPr>
            <m:oMathPara>
              <m:oMath>
                <m:r>
                  <w:rPr>
                    <w:rFonts w:ascii="Cambria Math" w:hAnsi="Cambria Math"/>
                  </w:rPr>
                  <m:t>σ</m:t>
                </m:r>
              </m:oMath>
            </m:oMathPara>
          </w:p>
        </w:tc>
        <w:tc>
          <w:tcPr>
            <w:tcW w:w="2640" w:type="dxa"/>
          </w:tcPr>
          <w:p w14:paraId="62CD44F2" w14:textId="77777777" w:rsidR="000F504F" w:rsidRDefault="00000000">
            <w:pPr>
              <w:pStyle w:val="Compact"/>
            </w:pPr>
            <w:r>
              <w:t>Stefan-Boltzmann constant when used in radiation</w:t>
            </w:r>
          </w:p>
        </w:tc>
        <w:tc>
          <w:tcPr>
            <w:tcW w:w="2640" w:type="dxa"/>
          </w:tcPr>
          <w:p w14:paraId="77DAE1A3" w14:textId="77777777" w:rsidR="000F504F" w:rsidRDefault="00000000">
            <w:pPr>
              <w:pStyle w:val="Compact"/>
            </w:pPr>
            <w:r>
              <w:t>W/m²-K⁴</w:t>
            </w:r>
          </w:p>
        </w:tc>
      </w:tr>
    </w:tbl>
    <w:p w14:paraId="13CD6B62" w14:textId="77777777" w:rsidR="000F504F" w:rsidRDefault="00000000">
      <w:pPr>
        <w:pStyle w:val="Heading1"/>
      </w:pPr>
      <w:bookmarkStart w:id="162" w:name="appendix-b-model-flags-reference"/>
      <w:bookmarkStart w:id="163" w:name="_Toc231205137"/>
      <w:bookmarkEnd w:id="160"/>
      <w:r>
        <w:t>Appendix B — Model Flags Reference</w:t>
      </w:r>
      <w:bookmarkEnd w:id="163"/>
    </w:p>
    <w:tbl>
      <w:tblPr>
        <w:tblStyle w:val="Table"/>
        <w:tblW w:w="5000" w:type="pct"/>
        <w:tblLayout w:type="fixed"/>
        <w:tblLook w:val="0020" w:firstRow="1" w:lastRow="0" w:firstColumn="0" w:lastColumn="0" w:noHBand="0" w:noVBand="0"/>
      </w:tblPr>
      <w:tblGrid>
        <w:gridCol w:w="3003"/>
        <w:gridCol w:w="4003"/>
        <w:gridCol w:w="3002"/>
      </w:tblGrid>
      <w:tr w:rsidR="000F504F" w14:paraId="6A542393"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376" w:type="dxa"/>
          </w:tcPr>
          <w:p w14:paraId="4A9D4719" w14:textId="77777777" w:rsidR="000F504F" w:rsidRDefault="00000000">
            <w:pPr>
              <w:pStyle w:val="Compact"/>
            </w:pPr>
            <w:r>
              <w:t>Flag</w:t>
            </w:r>
          </w:p>
        </w:tc>
        <w:tc>
          <w:tcPr>
            <w:tcW w:w="3168" w:type="dxa"/>
          </w:tcPr>
          <w:p w14:paraId="0EBD6247" w14:textId="77777777" w:rsidR="000F504F" w:rsidRDefault="00000000">
            <w:pPr>
              <w:pStyle w:val="Compact"/>
              <w:jc w:val="right"/>
            </w:pPr>
            <w:r>
              <w:t>Default</w:t>
            </w:r>
          </w:p>
        </w:tc>
        <w:tc>
          <w:tcPr>
            <w:tcW w:w="2376" w:type="dxa"/>
          </w:tcPr>
          <w:p w14:paraId="126FE941" w14:textId="77777777" w:rsidR="000F504F" w:rsidRDefault="00000000">
            <w:pPr>
              <w:pStyle w:val="Compact"/>
            </w:pPr>
            <w:r>
              <w:t>Activates or controls</w:t>
            </w:r>
          </w:p>
        </w:tc>
      </w:tr>
      <w:tr w:rsidR="000F504F" w14:paraId="635506E4" w14:textId="77777777">
        <w:tc>
          <w:tcPr>
            <w:tcW w:w="2376" w:type="dxa"/>
          </w:tcPr>
          <w:p w14:paraId="38E5AAC0" w14:textId="77777777" w:rsidR="000F504F" w:rsidRDefault="00000000">
            <w:pPr>
              <w:pStyle w:val="Compact"/>
            </w:pPr>
            <w:r>
              <w:rPr>
                <w:rStyle w:val="VerbatimChar"/>
              </w:rPr>
              <w:t>core_flag</w:t>
            </w:r>
          </w:p>
        </w:tc>
        <w:tc>
          <w:tcPr>
            <w:tcW w:w="3168" w:type="dxa"/>
          </w:tcPr>
          <w:p w14:paraId="5DD45440" w14:textId="77777777" w:rsidR="000F504F" w:rsidRDefault="00000000">
            <w:pPr>
              <w:pStyle w:val="Compact"/>
              <w:jc w:val="right"/>
            </w:pPr>
            <w:r>
              <w:t>1</w:t>
            </w:r>
          </w:p>
        </w:tc>
        <w:tc>
          <w:tcPr>
            <w:tcW w:w="2376" w:type="dxa"/>
          </w:tcPr>
          <w:p w14:paraId="35B1068C" w14:textId="77777777" w:rsidR="000F504F" w:rsidRDefault="00000000">
            <w:pPr>
              <w:pStyle w:val="Compact"/>
            </w:pPr>
            <w:r>
              <w:t>Cladding slab conduction, Dittus-Boelter HTC, hot-channel, DNBR, and fuel integrity metrics.</w:t>
            </w:r>
          </w:p>
        </w:tc>
      </w:tr>
      <w:tr w:rsidR="000F504F" w14:paraId="57E0A47F" w14:textId="77777777">
        <w:tc>
          <w:tcPr>
            <w:tcW w:w="2376" w:type="dxa"/>
          </w:tcPr>
          <w:p w14:paraId="4FF65775" w14:textId="77777777" w:rsidR="000F504F" w:rsidRDefault="00000000">
            <w:pPr>
              <w:pStyle w:val="Compact"/>
            </w:pPr>
            <w:r>
              <w:rPr>
                <w:rStyle w:val="VerbatimChar"/>
              </w:rPr>
              <w:t>pump_flag</w:t>
            </w:r>
          </w:p>
        </w:tc>
        <w:tc>
          <w:tcPr>
            <w:tcW w:w="3168" w:type="dxa"/>
          </w:tcPr>
          <w:p w14:paraId="3885FC4B" w14:textId="77777777" w:rsidR="000F504F" w:rsidRDefault="00000000">
            <w:pPr>
              <w:pStyle w:val="Compact"/>
              <w:jc w:val="right"/>
            </w:pPr>
            <w:r>
              <w:t>1</w:t>
            </w:r>
          </w:p>
        </w:tc>
        <w:tc>
          <w:tcPr>
            <w:tcW w:w="2376" w:type="dxa"/>
          </w:tcPr>
          <w:p w14:paraId="072CAC74" w14:textId="77777777" w:rsidR="000F504F" w:rsidRDefault="00000000">
            <w:pPr>
              <w:pStyle w:val="Compact"/>
            </w:pPr>
            <w:r>
              <w:t>RCP coastdown and primary-flow scaling.</w:t>
            </w:r>
          </w:p>
        </w:tc>
      </w:tr>
      <w:tr w:rsidR="000F504F" w14:paraId="1255C3AE" w14:textId="77777777">
        <w:tc>
          <w:tcPr>
            <w:tcW w:w="2376" w:type="dxa"/>
          </w:tcPr>
          <w:p w14:paraId="60138B7B" w14:textId="77777777" w:rsidR="000F504F" w:rsidRDefault="00000000">
            <w:pPr>
              <w:pStyle w:val="Compact"/>
            </w:pPr>
            <w:r>
              <w:rPr>
                <w:rStyle w:val="VerbatimChar"/>
              </w:rPr>
              <w:t>sg_flag</w:t>
            </w:r>
          </w:p>
        </w:tc>
        <w:tc>
          <w:tcPr>
            <w:tcW w:w="3168" w:type="dxa"/>
          </w:tcPr>
          <w:p w14:paraId="68DAC460" w14:textId="77777777" w:rsidR="000F504F" w:rsidRDefault="00000000">
            <w:pPr>
              <w:pStyle w:val="Compact"/>
              <w:jc w:val="right"/>
            </w:pPr>
            <w:r>
              <w:t>1</w:t>
            </w:r>
          </w:p>
        </w:tc>
        <w:tc>
          <w:tcPr>
            <w:tcW w:w="2376" w:type="dxa"/>
          </w:tcPr>
          <w:p w14:paraId="2BAC76C9" w14:textId="77777777" w:rsidR="000F504F" w:rsidRDefault="00000000">
            <w:pPr>
              <w:pStyle w:val="Compact"/>
            </w:pPr>
            <w:r>
              <w:t>Steam-generator heat removal.</w:t>
            </w:r>
          </w:p>
        </w:tc>
      </w:tr>
      <w:tr w:rsidR="000F504F" w14:paraId="6A86BDCA" w14:textId="77777777">
        <w:tc>
          <w:tcPr>
            <w:tcW w:w="2376" w:type="dxa"/>
          </w:tcPr>
          <w:p w14:paraId="7F40A8B3" w14:textId="77777777" w:rsidR="000F504F" w:rsidRDefault="00000000">
            <w:pPr>
              <w:pStyle w:val="Compact"/>
            </w:pPr>
            <w:r>
              <w:rPr>
                <w:rStyle w:val="VerbatimChar"/>
              </w:rPr>
              <w:t>sg_table_flag</w:t>
            </w:r>
          </w:p>
        </w:tc>
        <w:tc>
          <w:tcPr>
            <w:tcW w:w="3168" w:type="dxa"/>
          </w:tcPr>
          <w:p w14:paraId="6E94C799" w14:textId="77777777" w:rsidR="000F504F" w:rsidRDefault="00000000">
            <w:pPr>
              <w:pStyle w:val="Compact"/>
              <w:jc w:val="right"/>
            </w:pPr>
            <w:r>
              <w:t>0</w:t>
            </w:r>
          </w:p>
        </w:tc>
        <w:tc>
          <w:tcPr>
            <w:tcW w:w="2376" w:type="dxa"/>
          </w:tcPr>
          <w:p w14:paraId="5CBA1A10" w14:textId="77777777" w:rsidR="000F504F" w:rsidRDefault="00000000">
            <w:pPr>
              <w:pStyle w:val="Compact"/>
            </w:pPr>
            <w:r>
              <w:t>Prescribed steam-generator heat removal from input table.</w:t>
            </w:r>
          </w:p>
        </w:tc>
      </w:tr>
      <w:tr w:rsidR="000F504F" w14:paraId="2BEDD2D2" w14:textId="77777777">
        <w:tc>
          <w:tcPr>
            <w:tcW w:w="2376" w:type="dxa"/>
          </w:tcPr>
          <w:p w14:paraId="4E2BD063" w14:textId="77777777" w:rsidR="000F504F" w:rsidRDefault="00000000">
            <w:pPr>
              <w:pStyle w:val="Compact"/>
            </w:pPr>
            <w:r>
              <w:rPr>
                <w:rStyle w:val="VerbatimChar"/>
              </w:rPr>
              <w:t>ria_flag</w:t>
            </w:r>
          </w:p>
        </w:tc>
        <w:tc>
          <w:tcPr>
            <w:tcW w:w="3168" w:type="dxa"/>
          </w:tcPr>
          <w:p w14:paraId="01E65649" w14:textId="77777777" w:rsidR="000F504F" w:rsidRDefault="00000000">
            <w:pPr>
              <w:pStyle w:val="Compact"/>
              <w:jc w:val="right"/>
            </w:pPr>
            <w:r>
              <w:t>0</w:t>
            </w:r>
          </w:p>
        </w:tc>
        <w:tc>
          <w:tcPr>
            <w:tcW w:w="2376" w:type="dxa"/>
          </w:tcPr>
          <w:p w14:paraId="7C88ECB5" w14:textId="77777777" w:rsidR="000F504F" w:rsidRDefault="00000000">
            <w:pPr>
              <w:pStyle w:val="Compact"/>
            </w:pPr>
            <w:r>
              <w:t>RIA mode with external reactivity table.</w:t>
            </w:r>
          </w:p>
        </w:tc>
      </w:tr>
      <w:tr w:rsidR="000F504F" w14:paraId="6E01FFF2" w14:textId="77777777">
        <w:tc>
          <w:tcPr>
            <w:tcW w:w="2376" w:type="dxa"/>
          </w:tcPr>
          <w:p w14:paraId="5DBD7E74" w14:textId="77777777" w:rsidR="000F504F" w:rsidRDefault="00000000">
            <w:pPr>
              <w:pStyle w:val="Compact"/>
            </w:pPr>
            <w:r>
              <w:rPr>
                <w:rStyle w:val="VerbatimChar"/>
              </w:rPr>
              <w:t>pja_flag</w:t>
            </w:r>
          </w:p>
        </w:tc>
        <w:tc>
          <w:tcPr>
            <w:tcW w:w="3168" w:type="dxa"/>
          </w:tcPr>
          <w:p w14:paraId="49A922DF" w14:textId="77777777" w:rsidR="000F504F" w:rsidRDefault="00000000">
            <w:pPr>
              <w:pStyle w:val="Compact"/>
              <w:jc w:val="right"/>
            </w:pPr>
            <w:r>
              <w:t>0</w:t>
            </w:r>
          </w:p>
        </w:tc>
        <w:tc>
          <w:tcPr>
            <w:tcW w:w="2376" w:type="dxa"/>
          </w:tcPr>
          <w:p w14:paraId="78ABB314" w14:textId="77777777" w:rsidR="000F504F" w:rsidRDefault="00000000">
            <w:pPr>
              <w:pStyle w:val="Compact"/>
            </w:pPr>
            <w:r>
              <w:t>Prompt jump approximation for RIA calculations.</w:t>
            </w:r>
          </w:p>
        </w:tc>
      </w:tr>
      <w:tr w:rsidR="000F504F" w14:paraId="39331775" w14:textId="77777777">
        <w:tc>
          <w:tcPr>
            <w:tcW w:w="2376" w:type="dxa"/>
          </w:tcPr>
          <w:p w14:paraId="5DC4E684" w14:textId="77777777" w:rsidR="000F504F" w:rsidRDefault="00000000">
            <w:pPr>
              <w:pStyle w:val="Compact"/>
            </w:pPr>
            <w:r>
              <w:rPr>
                <w:rStyle w:val="VerbatimChar"/>
              </w:rPr>
              <w:t>cond_flag</w:t>
            </w:r>
          </w:p>
        </w:tc>
        <w:tc>
          <w:tcPr>
            <w:tcW w:w="3168" w:type="dxa"/>
          </w:tcPr>
          <w:p w14:paraId="65CC3CAE" w14:textId="77777777" w:rsidR="000F504F" w:rsidRDefault="00000000">
            <w:pPr>
              <w:pStyle w:val="Compact"/>
              <w:jc w:val="right"/>
            </w:pPr>
            <w:r>
              <w:t>0</w:t>
            </w:r>
          </w:p>
        </w:tc>
        <w:tc>
          <w:tcPr>
            <w:tcW w:w="2376" w:type="dxa"/>
          </w:tcPr>
          <w:p w14:paraId="6740BA2C" w14:textId="77777777" w:rsidR="000F504F" w:rsidRDefault="00000000">
            <w:pPr>
              <w:pStyle w:val="Compact"/>
            </w:pPr>
            <w:r>
              <w:t>Generic heat-structure model.</w:t>
            </w:r>
          </w:p>
        </w:tc>
      </w:tr>
      <w:tr w:rsidR="000F504F" w14:paraId="4E039D82" w14:textId="77777777">
        <w:tc>
          <w:tcPr>
            <w:tcW w:w="2376" w:type="dxa"/>
          </w:tcPr>
          <w:p w14:paraId="7817A570" w14:textId="77777777" w:rsidR="000F504F" w:rsidRDefault="00000000">
            <w:pPr>
              <w:pStyle w:val="Compact"/>
            </w:pPr>
            <w:r>
              <w:rPr>
                <w:rStyle w:val="VerbatimChar"/>
              </w:rPr>
              <w:t>full_power_flag</w:t>
            </w:r>
          </w:p>
        </w:tc>
        <w:tc>
          <w:tcPr>
            <w:tcW w:w="3168" w:type="dxa"/>
          </w:tcPr>
          <w:p w14:paraId="3E32B3E5" w14:textId="77777777" w:rsidR="000F504F" w:rsidRDefault="00000000">
            <w:pPr>
              <w:pStyle w:val="Compact"/>
              <w:jc w:val="right"/>
            </w:pPr>
            <w:r>
              <w:t>0</w:t>
            </w:r>
          </w:p>
        </w:tc>
        <w:tc>
          <w:tcPr>
            <w:tcW w:w="2376" w:type="dxa"/>
          </w:tcPr>
          <w:p w14:paraId="3A2C3BEC" w14:textId="77777777" w:rsidR="000F504F" w:rsidRDefault="00000000">
            <w:pPr>
              <w:pStyle w:val="Compact"/>
            </w:pPr>
            <w:r>
              <w:t>Holds power at rated and inhibits automatic trip logic for selected ATWS/steady-state cases.</w:t>
            </w:r>
          </w:p>
        </w:tc>
      </w:tr>
      <w:tr w:rsidR="000F504F" w14:paraId="0B2EA611" w14:textId="77777777">
        <w:tc>
          <w:tcPr>
            <w:tcW w:w="2376" w:type="dxa"/>
          </w:tcPr>
          <w:p w14:paraId="7BBE56B8" w14:textId="77777777" w:rsidR="000F504F" w:rsidRDefault="00000000">
            <w:pPr>
              <w:pStyle w:val="Compact"/>
            </w:pPr>
            <w:r>
              <w:rPr>
                <w:rStyle w:val="VerbatimChar"/>
              </w:rPr>
              <w:t>scram_on_PORV</w:t>
            </w:r>
          </w:p>
        </w:tc>
        <w:tc>
          <w:tcPr>
            <w:tcW w:w="3168" w:type="dxa"/>
          </w:tcPr>
          <w:p w14:paraId="5011D085" w14:textId="77777777" w:rsidR="000F504F" w:rsidRDefault="00000000">
            <w:pPr>
              <w:pStyle w:val="Compact"/>
              <w:jc w:val="right"/>
            </w:pPr>
            <w:r>
              <w:t>0</w:t>
            </w:r>
          </w:p>
        </w:tc>
        <w:tc>
          <w:tcPr>
            <w:tcW w:w="2376" w:type="dxa"/>
          </w:tcPr>
          <w:p w14:paraId="56796BEF" w14:textId="77777777" w:rsidR="000F504F" w:rsidRDefault="00000000">
            <w:pPr>
              <w:pStyle w:val="Compact"/>
            </w:pPr>
            <w:r>
              <w:t>Initiates reactor trip when PORV first opens.</w:t>
            </w:r>
          </w:p>
        </w:tc>
      </w:tr>
      <w:tr w:rsidR="000F504F" w14:paraId="4514F156" w14:textId="77777777">
        <w:tc>
          <w:tcPr>
            <w:tcW w:w="2376" w:type="dxa"/>
          </w:tcPr>
          <w:p w14:paraId="17A57F6B" w14:textId="77777777" w:rsidR="000F504F" w:rsidRDefault="00000000">
            <w:pPr>
              <w:pStyle w:val="Compact"/>
            </w:pPr>
            <w:r>
              <w:rPr>
                <w:rStyle w:val="VerbatimChar"/>
              </w:rPr>
              <w:t>minimum_output</w:t>
            </w:r>
          </w:p>
        </w:tc>
        <w:tc>
          <w:tcPr>
            <w:tcW w:w="3168" w:type="dxa"/>
          </w:tcPr>
          <w:p w14:paraId="4315E9E9" w14:textId="77777777" w:rsidR="000F504F" w:rsidRDefault="00000000">
            <w:pPr>
              <w:pStyle w:val="Compact"/>
              <w:jc w:val="right"/>
            </w:pPr>
            <w:r>
              <w:t>0</w:t>
            </w:r>
          </w:p>
        </w:tc>
        <w:tc>
          <w:tcPr>
            <w:tcW w:w="2376" w:type="dxa"/>
          </w:tcPr>
          <w:p w14:paraId="3ABB78C5" w14:textId="77777777" w:rsidR="000F504F" w:rsidRDefault="00000000">
            <w:pPr>
              <w:pStyle w:val="Compact"/>
            </w:pPr>
            <w:r>
              <w:t>CSV-only output mode; skips selected Excel and figure generation.</w:t>
            </w:r>
          </w:p>
        </w:tc>
      </w:tr>
      <w:tr w:rsidR="000F504F" w14:paraId="3E18FDB7" w14:textId="77777777">
        <w:tc>
          <w:tcPr>
            <w:tcW w:w="2376" w:type="dxa"/>
          </w:tcPr>
          <w:p w14:paraId="4F7B4CEE" w14:textId="77777777" w:rsidR="000F504F" w:rsidRDefault="00000000">
            <w:pPr>
              <w:pStyle w:val="Compact"/>
            </w:pPr>
            <w:r>
              <w:rPr>
                <w:rStyle w:val="VerbatimChar"/>
              </w:rPr>
              <w:t>si_enabled</w:t>
            </w:r>
          </w:p>
        </w:tc>
        <w:tc>
          <w:tcPr>
            <w:tcW w:w="3168" w:type="dxa"/>
          </w:tcPr>
          <w:p w14:paraId="48431463" w14:textId="77777777" w:rsidR="000F504F" w:rsidRDefault="00000000">
            <w:pPr>
              <w:pStyle w:val="Compact"/>
              <w:jc w:val="right"/>
            </w:pPr>
            <w:r>
              <w:t>True</w:t>
            </w:r>
          </w:p>
        </w:tc>
        <w:tc>
          <w:tcPr>
            <w:tcW w:w="2376" w:type="dxa"/>
          </w:tcPr>
          <w:p w14:paraId="5071F035" w14:textId="77777777" w:rsidR="000F504F" w:rsidRDefault="00000000">
            <w:pPr>
              <w:pStyle w:val="Compact"/>
            </w:pPr>
            <w:r>
              <w:t>Enables ECCS injection models.</w:t>
            </w:r>
          </w:p>
        </w:tc>
      </w:tr>
      <w:tr w:rsidR="000F504F" w14:paraId="76BD6747" w14:textId="77777777">
        <w:tc>
          <w:tcPr>
            <w:tcW w:w="2376" w:type="dxa"/>
          </w:tcPr>
          <w:p w14:paraId="5FCA34DD" w14:textId="77777777" w:rsidR="000F504F" w:rsidRDefault="00000000">
            <w:pPr>
              <w:pStyle w:val="Compact"/>
            </w:pPr>
            <w:r>
              <w:rPr>
                <w:rStyle w:val="VerbatimChar"/>
              </w:rPr>
              <w:t>pzr_control_enabled</w:t>
            </w:r>
          </w:p>
        </w:tc>
        <w:tc>
          <w:tcPr>
            <w:tcW w:w="3168" w:type="dxa"/>
          </w:tcPr>
          <w:p w14:paraId="6B5AE4E3" w14:textId="77777777" w:rsidR="000F504F" w:rsidRDefault="00000000">
            <w:pPr>
              <w:pStyle w:val="Compact"/>
              <w:jc w:val="right"/>
            </w:pPr>
            <w:r>
              <w:t>0</w:t>
            </w:r>
          </w:p>
        </w:tc>
        <w:tc>
          <w:tcPr>
            <w:tcW w:w="2376" w:type="dxa"/>
          </w:tcPr>
          <w:p w14:paraId="190BDA2B" w14:textId="77777777" w:rsidR="000F504F" w:rsidRDefault="00000000">
            <w:pPr>
              <w:pStyle w:val="Compact"/>
            </w:pPr>
            <w:r>
              <w:t>Enables pressurizer heater/spray PI controller for steady-state initialization studies.</w:t>
            </w:r>
          </w:p>
        </w:tc>
      </w:tr>
    </w:tbl>
    <w:p w14:paraId="6A71BBEC" w14:textId="77777777" w:rsidR="00413995" w:rsidRDefault="00413995">
      <w:pPr>
        <w:pStyle w:val="Heading1"/>
      </w:pPr>
      <w:bookmarkStart w:id="164" w:name="references"/>
      <w:bookmarkStart w:id="165" w:name="_Toc231205138"/>
      <w:bookmarkEnd w:id="162"/>
      <w:r>
        <w:br w:type="page"/>
      </w:r>
    </w:p>
    <w:p w14:paraId="5B300FD1" w14:textId="742FD7AB" w:rsidR="000F504F" w:rsidRDefault="00000000">
      <w:pPr>
        <w:pStyle w:val="Heading1"/>
      </w:pPr>
      <w:r>
        <w:lastRenderedPageBreak/>
        <w:t>References</w:t>
      </w:r>
      <w:bookmarkEnd w:id="165"/>
    </w:p>
    <w:p w14:paraId="5DDBBD09" w14:textId="77777777" w:rsidR="000F504F" w:rsidRDefault="00000000">
      <w:pPr>
        <w:pStyle w:val="FirstParagraph"/>
      </w:pPr>
      <w:r>
        <w:t>ANSI/ANS-5.1 (1979). American National Standard for Decay Heat Power in Light Water Reactors.</w:t>
      </w:r>
    </w:p>
    <w:p w14:paraId="51EFE2A0" w14:textId="77777777" w:rsidR="000F504F" w:rsidRDefault="00000000">
      <w:pPr>
        <w:pStyle w:val="BodyText"/>
      </w:pPr>
      <w:r>
        <w:t>Baker, L. and Just, L.C. (1962). Studies of Metal-Water Reactions at High Temperatures. ANL-6548.</w:t>
      </w:r>
    </w:p>
    <w:p w14:paraId="7AD60497" w14:textId="77777777" w:rsidR="000F504F" w:rsidRDefault="00000000">
      <w:pPr>
        <w:pStyle w:val="BodyText"/>
      </w:pPr>
      <w:r>
        <w:t>Biasi, L. et al. (1967). Studies on burnout for flowing steam-water mixtures. Energia Nucleare, 14(9), 530-536.</w:t>
      </w:r>
    </w:p>
    <w:p w14:paraId="7F7B0758" w14:textId="77777777" w:rsidR="000F504F" w:rsidRDefault="00000000">
      <w:pPr>
        <w:pStyle w:val="BodyText"/>
      </w:pPr>
      <w:r>
        <w:t>Bowring, R.W. (1972). Simple but accurate round tube, uniform heat flux, dryout correlation over the pressure range 0.7 to 17 MN/m². AEEW-R789.</w:t>
      </w:r>
    </w:p>
    <w:p w14:paraId="2DD5A9CA" w14:textId="77777777" w:rsidR="000F504F" w:rsidRDefault="00000000">
      <w:pPr>
        <w:pStyle w:val="BodyText"/>
      </w:pPr>
      <w:r>
        <w:t>Bromley, L.A. (1950). Heat transfer in stable film boiling. Chemical Engineering Progress, 46(5), 221-227.</w:t>
      </w:r>
    </w:p>
    <w:p w14:paraId="78DF76BB" w14:textId="77777777" w:rsidR="000F504F" w:rsidRDefault="00000000">
      <w:pPr>
        <w:pStyle w:val="BodyText"/>
      </w:pPr>
      <w:r>
        <w:t>Churchill, S.W. and Chu, H.H.S. (1975). Correlating equations for laminar and turbulent free convection from a vertical plate. International Journal of Heat and Mass Transfer, 18(11), 1323-1329.</w:t>
      </w:r>
    </w:p>
    <w:p w14:paraId="2FDAE7A9" w14:textId="77777777" w:rsidR="000F504F" w:rsidRDefault="00000000">
      <w:pPr>
        <w:pStyle w:val="BodyText"/>
      </w:pPr>
      <w:r>
        <w:t>Dittus, F.W. and Boelter, L.M.K. (1930). Heat transfer in automobile radiators. University of California Publications in Engineering, 2(13), 443-461.</w:t>
      </w:r>
    </w:p>
    <w:p w14:paraId="7BF5FE74" w14:textId="77777777" w:rsidR="000F504F" w:rsidRDefault="00000000">
      <w:pPr>
        <w:pStyle w:val="BodyText"/>
      </w:pPr>
      <w:r>
        <w:t>Fauske, H.K. (1962). Contribution to the theory of two-phase, one-component critical flow. ANL-6633.</w:t>
      </w:r>
    </w:p>
    <w:p w14:paraId="272FB3F5" w14:textId="77777777" w:rsidR="000F504F" w:rsidRDefault="00000000">
      <w:pPr>
        <w:pStyle w:val="BodyText"/>
      </w:pPr>
      <w:r>
        <w:t>Henry, R.E. and Fauske, H.K. (1971). The two-phase critical flow of one-component mixtures in nozzles, orifices, and short tubes. Journal of Heat Transfer.</w:t>
      </w:r>
    </w:p>
    <w:p w14:paraId="6C1795BE" w14:textId="77777777" w:rsidR="000F504F" w:rsidRDefault="00000000">
      <w:pPr>
        <w:pStyle w:val="BodyText"/>
      </w:pPr>
      <w:r>
        <w:t>Liles, D.R. and Reed, W.H. (1978). A semi-implicit method for two-phase fluid dynamics. Journal of Computational Physics, 26(3), 390-407.</w:t>
      </w:r>
    </w:p>
    <w:p w14:paraId="5FD88EC3" w14:textId="77777777" w:rsidR="000F504F" w:rsidRDefault="00000000">
      <w:pPr>
        <w:pStyle w:val="BodyText"/>
      </w:pPr>
      <w:r>
        <w:t>Margolis, S.G. and Redfield, J.A. (1966). FLASH: A Program for Digital Simulation of the Loss-of-Coolant Accident. WAPD-TM-534.</w:t>
      </w:r>
    </w:p>
    <w:p w14:paraId="11E9A8AF" w14:textId="77777777" w:rsidR="000F504F" w:rsidRDefault="00000000">
      <w:pPr>
        <w:pStyle w:val="BodyText"/>
      </w:pPr>
      <w:r>
        <w:t>Martin, R.P. and Frepoli, C. (Eds.) (2019). Design-Basis Accident Analysis Methods for Light-Water Nuclear Power Plants. World Scientific Publishing.</w:t>
      </w:r>
    </w:p>
    <w:p w14:paraId="4BF8ECE2" w14:textId="77777777" w:rsidR="000F504F" w:rsidRDefault="00000000">
      <w:pPr>
        <w:pStyle w:val="BodyText"/>
      </w:pPr>
      <w:r>
        <w:t>Moody, F.J. (1965). Maximum flow rate of a single component, two-phase mixture. ASME Journal of Heat Transfer, 87(1), 134-142.</w:t>
      </w:r>
    </w:p>
    <w:p w14:paraId="27A4737E" w14:textId="77777777" w:rsidR="000F504F" w:rsidRDefault="00000000">
      <w:pPr>
        <w:pStyle w:val="BodyText"/>
      </w:pPr>
      <w:r>
        <w:t>Farmer, F.R. (1967). Siting criteria - a new approach. International Atomic Energy Agency Symposium on Containment and Siting of Nuclear Power Plants.</w:t>
      </w:r>
    </w:p>
    <w:p w14:paraId="6AEF76FF" w14:textId="77777777" w:rsidR="000F504F" w:rsidRDefault="00000000">
      <w:pPr>
        <w:pStyle w:val="BodyText"/>
      </w:pPr>
      <w:r>
        <w:t>NEI (2019). NEI 18-04 Rev. 1: Risk-Informed Performance-Based Technology-Inclusive Guidance. Nuclear Energy Institute.</w:t>
      </w:r>
    </w:p>
    <w:p w14:paraId="7FB506C0" w14:textId="77777777" w:rsidR="000F504F" w:rsidRDefault="00000000">
      <w:pPr>
        <w:pStyle w:val="BodyText"/>
      </w:pPr>
      <w:r>
        <w:t>NRC (2020). Regulatory Guide 1.233: Guidance for a Technology-Inclusive, Risk-Informed, and Performance-Based Methodology to Inform the Licensing Basis and Content of Applications for Licenses, Certifications, and Approvals for Non-Light-Water Reactors.</w:t>
      </w:r>
    </w:p>
    <w:p w14:paraId="5ED0E62A" w14:textId="77777777" w:rsidR="000F504F" w:rsidRDefault="00000000">
      <w:pPr>
        <w:pStyle w:val="BodyText"/>
      </w:pPr>
      <w:r>
        <w:t>NRC (2005). Regulatory Guide 1.203: Transient and Accident Analysis Methods.</w:t>
      </w:r>
    </w:p>
    <w:p w14:paraId="0F1AC130" w14:textId="77777777" w:rsidR="000F504F" w:rsidRDefault="00000000">
      <w:pPr>
        <w:pStyle w:val="BodyText"/>
      </w:pPr>
      <w:r>
        <w:t>NRC (2012). Regulatory Guide 1.183: Alternative Radiological Source Terms.</w:t>
      </w:r>
    </w:p>
    <w:p w14:paraId="1071FF72" w14:textId="77777777" w:rsidR="000F504F" w:rsidRDefault="00000000">
      <w:pPr>
        <w:pStyle w:val="BodyText"/>
      </w:pPr>
      <w:r>
        <w:t>Tong, L.S. and Tang, Y.S. (1997). Boiling Heat Transfer and Two-Phase Flow, 2nd ed. Taylor &amp; Francis.</w:t>
      </w:r>
    </w:p>
    <w:p w14:paraId="006163F4" w14:textId="77777777" w:rsidR="000F504F" w:rsidRDefault="00000000">
      <w:pPr>
        <w:pStyle w:val="BodyText"/>
      </w:pPr>
      <w:r>
        <w:t>Wilks, S.S. (1941). Determination of sample sizes for setting tolerance limits. Annals of Mathematical Statistics, 12(1), 91-96.</w:t>
      </w:r>
    </w:p>
    <w:p w14:paraId="33442936" w14:textId="77777777" w:rsidR="000F504F" w:rsidRDefault="00000000">
      <w:pPr>
        <w:pStyle w:val="BodyText"/>
      </w:pPr>
      <w:r>
        <w:t>Martin, R.P. and Nutt, W.T. (2011). Perspectives on the application of order-statistics in best-estimate plus uncertainty nuclear safety analysis. Nuclear Engineering and Design, 241, 274-284.</w:t>
      </w:r>
    </w:p>
    <w:p w14:paraId="58EDBE7B" w14:textId="77777777" w:rsidR="000F504F" w:rsidRDefault="00000000">
      <w:pPr>
        <w:pStyle w:val="BodyText"/>
      </w:pPr>
      <w:r>
        <w:t>Nutt, W.T. and Wallis, G.B. (2004). Evaluation of nuclear safety from the outputs of computer codes in the presence of uncertainties. Reliability Engineering and System Safety.</w:t>
      </w:r>
    </w:p>
    <w:p w14:paraId="33B14FF3" w14:textId="77777777" w:rsidR="000F504F" w:rsidRDefault="00000000">
      <w:pPr>
        <w:pStyle w:val="BodyText"/>
      </w:pPr>
      <w:r>
        <w:lastRenderedPageBreak/>
        <w:t>Somerville, P.N. (1958). Tables for obtaining non-parametric tolerance limits. Annals of Mathematical Statistics.</w:t>
      </w:r>
    </w:p>
    <w:p w14:paraId="3454D9E5" w14:textId="77777777" w:rsidR="000F504F" w:rsidRDefault="00000000">
      <w:pPr>
        <w:pStyle w:val="BodyText"/>
      </w:pPr>
      <w:r>
        <w:t>Wald, A. (1943). An extension of Wilks’ method for setting tolerance limits. Annals of Mathematical Statistics.</w:t>
      </w:r>
    </w:p>
    <w:p w14:paraId="3637FE02" w14:textId="77777777" w:rsidR="000F504F" w:rsidRDefault="00000000">
      <w:pPr>
        <w:pStyle w:val="BodyText"/>
      </w:pPr>
      <w:r>
        <w:t>Wallis, G.B. and Nutt, W.T. (2005). On the statistical treatment of multiple limits in safety analysis. Nuclear Engineering and Design.</w:t>
      </w:r>
    </w:p>
    <w:p w14:paraId="1D186813" w14:textId="77777777" w:rsidR="000F504F" w:rsidRDefault="00000000">
      <w:pPr>
        <w:pStyle w:val="BodyText"/>
      </w:pPr>
      <w:r>
        <w:t>Wilks, S.S. (1942). Statistical prediction with special reference to the problem of tolerance limits. Annals of Mathematical Statistics.</w:t>
      </w:r>
    </w:p>
    <w:p w14:paraId="4C5D501B" w14:textId="77777777" w:rsidR="000F504F" w:rsidRDefault="00000000">
      <w:pPr>
        <w:pStyle w:val="BodyText"/>
      </w:pPr>
      <w:r>
        <w:t>Zuber, N. (1959). Hydrodynamic aspects of boiling heat transfer. AECU-4439.</w:t>
      </w:r>
      <w:bookmarkEnd w:id="164"/>
    </w:p>
    <w:sectPr w:rsidR="000F504F">
      <w:footerReference w:type="default" r:id="rId8"/>
      <w:pgSz w:w="12240" w:h="15840"/>
      <w:pgMar w:top="1080" w:right="1224" w:bottom="1080"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5E58E" w14:textId="77777777" w:rsidR="00D74B59" w:rsidRDefault="00D74B59">
      <w:pPr>
        <w:spacing w:after="0"/>
      </w:pPr>
      <w:r>
        <w:separator/>
      </w:r>
    </w:p>
  </w:endnote>
  <w:endnote w:type="continuationSeparator" w:id="0">
    <w:p w14:paraId="42909C35" w14:textId="77777777" w:rsidR="00D74B59" w:rsidRDefault="00D74B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8899422"/>
      <w:docPartObj>
        <w:docPartGallery w:val="Page Numbers (Bottom of Page)"/>
        <w:docPartUnique/>
      </w:docPartObj>
    </w:sdtPr>
    <w:sdtEndPr>
      <w:rPr>
        <w:noProof/>
      </w:rPr>
    </w:sdtEndPr>
    <w:sdtContent>
      <w:p w14:paraId="23B62F30" w14:textId="06F96FF9" w:rsidR="00413995" w:rsidRDefault="0041399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6F59CA" w14:textId="77777777" w:rsidR="00413995" w:rsidRDefault="004139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B71B" w14:textId="77777777" w:rsidR="00D74B59" w:rsidRDefault="00D74B59">
      <w:r>
        <w:separator/>
      </w:r>
    </w:p>
  </w:footnote>
  <w:footnote w:type="continuationSeparator" w:id="0">
    <w:p w14:paraId="041A837F" w14:textId="77777777" w:rsidR="00D74B59" w:rsidRDefault="00D74B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E443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4277124">
    <w:abstractNumId w:val="0"/>
  </w:num>
  <w:num w:numId="2" w16cid:durableId="12246338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F504F"/>
    <w:rsid w:val="000F504F"/>
    <w:rsid w:val="00413995"/>
    <w:rsid w:val="00A63F53"/>
    <w:rsid w:val="00D74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0738E"/>
  <w15:docId w15:val="{0491F9FF-C460-4D84-B8D6-72711B6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1"/>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rFonts w:ascii="Arial" w:hAnsi="Arial"/>
      <w:b w:val="0"/>
      <w:sz w:val="28"/>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13995"/>
    <w:pPr>
      <w:spacing w:after="100"/>
    </w:pPr>
  </w:style>
  <w:style w:type="paragraph" w:styleId="TOC2">
    <w:name w:val="toc 2"/>
    <w:basedOn w:val="Normal"/>
    <w:next w:val="Normal"/>
    <w:autoRedefine/>
    <w:uiPriority w:val="39"/>
    <w:rsid w:val="00413995"/>
    <w:pPr>
      <w:spacing w:after="100"/>
      <w:ind w:left="210"/>
    </w:pPr>
  </w:style>
  <w:style w:type="paragraph" w:styleId="Header">
    <w:name w:val="header"/>
    <w:basedOn w:val="Normal"/>
    <w:link w:val="HeaderChar"/>
    <w:rsid w:val="00413995"/>
    <w:pPr>
      <w:tabs>
        <w:tab w:val="center" w:pos="4680"/>
        <w:tab w:val="right" w:pos="9360"/>
      </w:tabs>
      <w:spacing w:after="0"/>
    </w:pPr>
  </w:style>
  <w:style w:type="character" w:customStyle="1" w:styleId="HeaderChar">
    <w:name w:val="Header Char"/>
    <w:basedOn w:val="DefaultParagraphFont"/>
    <w:link w:val="Header"/>
    <w:rsid w:val="00413995"/>
    <w:rPr>
      <w:rFonts w:ascii="Arial" w:hAnsi="Arial"/>
      <w:sz w:val="21"/>
    </w:rPr>
  </w:style>
  <w:style w:type="paragraph" w:styleId="Footer">
    <w:name w:val="footer"/>
    <w:basedOn w:val="Normal"/>
    <w:link w:val="FooterChar"/>
    <w:uiPriority w:val="99"/>
    <w:rsid w:val="00413995"/>
    <w:pPr>
      <w:tabs>
        <w:tab w:val="center" w:pos="4680"/>
        <w:tab w:val="right" w:pos="9360"/>
      </w:tabs>
      <w:spacing w:after="0"/>
    </w:pPr>
  </w:style>
  <w:style w:type="character" w:customStyle="1" w:styleId="FooterChar">
    <w:name w:val="Footer Char"/>
    <w:basedOn w:val="DefaultParagraphFont"/>
    <w:link w:val="Footer"/>
    <w:uiPriority w:val="99"/>
    <w:rsid w:val="00413995"/>
    <w:rPr>
      <w:rFonts w:ascii="Arial"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C77ED-4F88-4367-936D-F14147C5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36</Pages>
  <Words>12453</Words>
  <Characters>70983</Characters>
  <Application>Microsoft Office Word</Application>
  <DocSecurity>0</DocSecurity>
  <Lines>591</Lines>
  <Paragraphs>166</Paragraphs>
  <ScaleCrop>false</ScaleCrop>
  <Company/>
  <LinksUpToDate>false</LinksUpToDate>
  <CharactersWithSpaces>83270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FLARE Code Theory Manual</dc:title>
  <dc:creator>Robert P. Martin</dc:creator>
  <cp:keywords/>
  <cp:lastModifiedBy>Robert Martin</cp:lastModifiedBy>
  <cp:revision>2</cp:revision>
  <dcterms:created xsi:type="dcterms:W3CDTF">2026-06-01T15:13:00Z</dcterms:created>
  <dcterms:modified xsi:type="dcterms:W3CDTF">2026-06-01T15:22:00Z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Revision 2 Draft — June 2026</vt:lpwstr>
  </property>
  <property fmtid="{D5CDD505-2E9C-101B-9397-08002B2CF9AE}" pid="3" name="subtitle">
    <vt:lpwstr>Fast Licensing Accident Response Engine</vt:lpwstr>
  </property>
</Properties>
</file>