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67D26F" w14:textId="77777777" w:rsidR="000F504F" w:rsidRDefault="00000000">
      <w:pPr>
        <w:pStyle w:val="Title"/>
      </w:pPr>
      <w:r>
        <w:t>FLARE Code Theory Manual</w:t>
      </w:r>
    </w:p>
    <w:p w14:paraId="1700D8AC" w14:textId="77777777" w:rsidR="000F504F" w:rsidRDefault="00000000">
      <w:pPr>
        <w:pStyle w:val="Subtitle"/>
      </w:pPr>
      <w:r>
        <w:t>Fast Licensing Accident Response Engine</w:t>
      </w:r>
    </w:p>
    <w:p w14:paraId="16850AFD" w14:textId="77777777" w:rsidR="000F504F" w:rsidRDefault="00000000">
      <w:pPr>
        <w:pStyle w:val="Author"/>
      </w:pPr>
      <w:r>
        <w:t>Robert P. Martin</w:t>
      </w:r>
    </w:p>
    <w:p w14:paraId="090350D9" w14:textId="0B71ECFA" w:rsidR="000F504F" w:rsidRDefault="00000000">
      <w:pPr>
        <w:pStyle w:val="Date"/>
      </w:pPr>
      <w:r>
        <w:t xml:space="preserve">Revision </w:t>
      </w:r>
      <w:r w:rsidR="00413995">
        <w:t>1</w:t>
      </w:r>
      <w:r>
        <w:t xml:space="preserve"> — June 2026</w:t>
      </w:r>
      <w:r>
        <w:br w:type="page"/>
      </w:r>
    </w:p>
    <w:p w14:paraId="5F414C81" w14:textId="77777777" w:rsidR="000F504F" w:rsidRDefault="00000000">
      <w:pPr>
        <w:pStyle w:val="TOCHeading"/>
        <w:spacing w:after="240"/>
      </w:pPr>
      <w:r>
        <w:rPr>
          <w:b/>
        </w:rPr>
        <w:lastRenderedPageBreak/>
        <w:t>Table of Contents</w:t>
      </w:r>
    </w:p>
    <w:sdt>
      <w:sdtPr>
        <w:id w:val="-1531103257"/>
        <w:docPartObj>
          <w:docPartGallery w:val="Table of Contents"/>
          <w:docPartUnique/>
        </w:docPartObj>
      </w:sdtPr>
      <w:sdtEndPr>
        <w:rPr>
          <w:b/>
          <w:bCs/>
          <w:noProof/>
        </w:rPr>
      </w:sdtEndPr>
      <w:sdtContent>
        <w:p w14:paraId="0D7CC57F" w14:textId="0D9483B0" w:rsidR="0089743A" w:rsidRDefault="00413995">
          <w:pPr>
            <w:pStyle w:val="TOC1"/>
            <w:tabs>
              <w:tab w:val="right" w:leader="dot" w:pos="9782"/>
            </w:tabs>
            <w:rPr>
              <w:rFonts w:asciiTheme="minorHAnsi" w:eastAsiaTheme="minorEastAsia" w:hAnsiTheme="minorHAnsi"/>
              <w:noProof/>
              <w:kern w:val="2"/>
              <w:sz w:val="24"/>
              <w14:ligatures w14:val="standardContextual"/>
            </w:rPr>
          </w:pPr>
          <w:r>
            <w:fldChar w:fldCharType="begin"/>
          </w:r>
          <w:r>
            <w:instrText xml:space="preserve"> TOC \o "1-3" \h \z \u </w:instrText>
          </w:r>
          <w:r>
            <w:fldChar w:fldCharType="separate"/>
          </w:r>
          <w:hyperlink w:anchor="_Toc231232846" w:history="1">
            <w:r w:rsidR="0089743A" w:rsidRPr="00C57672">
              <w:rPr>
                <w:rStyle w:val="Hyperlink"/>
                <w:noProof/>
              </w:rPr>
              <w:t>Revision History</w:t>
            </w:r>
            <w:r w:rsidR="0089743A">
              <w:rPr>
                <w:noProof/>
                <w:webHidden/>
              </w:rPr>
              <w:tab/>
            </w:r>
            <w:r w:rsidR="0089743A">
              <w:rPr>
                <w:noProof/>
                <w:webHidden/>
              </w:rPr>
              <w:fldChar w:fldCharType="begin"/>
            </w:r>
            <w:r w:rsidR="0089743A">
              <w:rPr>
                <w:noProof/>
                <w:webHidden/>
              </w:rPr>
              <w:instrText xml:space="preserve"> PAGEREF _Toc231232846 \h </w:instrText>
            </w:r>
            <w:r w:rsidR="0089743A">
              <w:rPr>
                <w:noProof/>
                <w:webHidden/>
              </w:rPr>
            </w:r>
            <w:r w:rsidR="0089743A">
              <w:rPr>
                <w:noProof/>
                <w:webHidden/>
              </w:rPr>
              <w:fldChar w:fldCharType="separate"/>
            </w:r>
            <w:r w:rsidR="0089743A">
              <w:rPr>
                <w:noProof/>
                <w:webHidden/>
              </w:rPr>
              <w:t>4</w:t>
            </w:r>
            <w:r w:rsidR="0089743A">
              <w:rPr>
                <w:noProof/>
                <w:webHidden/>
              </w:rPr>
              <w:fldChar w:fldCharType="end"/>
            </w:r>
          </w:hyperlink>
        </w:p>
        <w:p w14:paraId="06B161E5" w14:textId="52AE7C71"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7" w:history="1">
            <w:r w:rsidRPr="00C57672">
              <w:rPr>
                <w:rStyle w:val="Hyperlink"/>
                <w:noProof/>
              </w:rPr>
              <w:t>Preface</w:t>
            </w:r>
            <w:r>
              <w:rPr>
                <w:noProof/>
                <w:webHidden/>
              </w:rPr>
              <w:tab/>
            </w:r>
            <w:r>
              <w:rPr>
                <w:noProof/>
                <w:webHidden/>
              </w:rPr>
              <w:fldChar w:fldCharType="begin"/>
            </w:r>
            <w:r>
              <w:rPr>
                <w:noProof/>
                <w:webHidden/>
              </w:rPr>
              <w:instrText xml:space="preserve"> PAGEREF _Toc231232847 \h </w:instrText>
            </w:r>
            <w:r>
              <w:rPr>
                <w:noProof/>
                <w:webHidden/>
              </w:rPr>
            </w:r>
            <w:r>
              <w:rPr>
                <w:noProof/>
                <w:webHidden/>
              </w:rPr>
              <w:fldChar w:fldCharType="separate"/>
            </w:r>
            <w:r>
              <w:rPr>
                <w:noProof/>
                <w:webHidden/>
              </w:rPr>
              <w:t>5</w:t>
            </w:r>
            <w:r>
              <w:rPr>
                <w:noProof/>
                <w:webHidden/>
              </w:rPr>
              <w:fldChar w:fldCharType="end"/>
            </w:r>
          </w:hyperlink>
        </w:p>
        <w:p w14:paraId="5E054FFA" w14:textId="24BFB806"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48" w:history="1">
            <w:r w:rsidRPr="00C57672">
              <w:rPr>
                <w:rStyle w:val="Hyperlink"/>
                <w:noProof/>
              </w:rPr>
              <w:t>Chapter 1 — Introduction and Regulatory Context</w:t>
            </w:r>
            <w:r>
              <w:rPr>
                <w:noProof/>
                <w:webHidden/>
              </w:rPr>
              <w:tab/>
            </w:r>
            <w:r>
              <w:rPr>
                <w:noProof/>
                <w:webHidden/>
              </w:rPr>
              <w:fldChar w:fldCharType="begin"/>
            </w:r>
            <w:r>
              <w:rPr>
                <w:noProof/>
                <w:webHidden/>
              </w:rPr>
              <w:instrText xml:space="preserve"> PAGEREF _Toc231232848 \h </w:instrText>
            </w:r>
            <w:r>
              <w:rPr>
                <w:noProof/>
                <w:webHidden/>
              </w:rPr>
            </w:r>
            <w:r>
              <w:rPr>
                <w:noProof/>
                <w:webHidden/>
              </w:rPr>
              <w:fldChar w:fldCharType="separate"/>
            </w:r>
            <w:r>
              <w:rPr>
                <w:noProof/>
                <w:webHidden/>
              </w:rPr>
              <w:t>5</w:t>
            </w:r>
            <w:r>
              <w:rPr>
                <w:noProof/>
                <w:webHidden/>
              </w:rPr>
              <w:fldChar w:fldCharType="end"/>
            </w:r>
          </w:hyperlink>
        </w:p>
        <w:p w14:paraId="0CDA1618" w14:textId="2345938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49" w:history="1">
            <w:r w:rsidRPr="00C57672">
              <w:rPr>
                <w:rStyle w:val="Hyperlink"/>
                <w:noProof/>
              </w:rPr>
              <w:t>1.1 Purpose and Scope</w:t>
            </w:r>
            <w:r>
              <w:rPr>
                <w:noProof/>
                <w:webHidden/>
              </w:rPr>
              <w:tab/>
            </w:r>
            <w:r>
              <w:rPr>
                <w:noProof/>
                <w:webHidden/>
              </w:rPr>
              <w:fldChar w:fldCharType="begin"/>
            </w:r>
            <w:r>
              <w:rPr>
                <w:noProof/>
                <w:webHidden/>
              </w:rPr>
              <w:instrText xml:space="preserve"> PAGEREF _Toc231232849 \h </w:instrText>
            </w:r>
            <w:r>
              <w:rPr>
                <w:noProof/>
                <w:webHidden/>
              </w:rPr>
            </w:r>
            <w:r>
              <w:rPr>
                <w:noProof/>
                <w:webHidden/>
              </w:rPr>
              <w:fldChar w:fldCharType="separate"/>
            </w:r>
            <w:r>
              <w:rPr>
                <w:noProof/>
                <w:webHidden/>
              </w:rPr>
              <w:t>5</w:t>
            </w:r>
            <w:r>
              <w:rPr>
                <w:noProof/>
                <w:webHidden/>
              </w:rPr>
              <w:fldChar w:fldCharType="end"/>
            </w:r>
          </w:hyperlink>
        </w:p>
        <w:p w14:paraId="258E5C41" w14:textId="0F4049C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0" w:history="1">
            <w:r w:rsidRPr="00C57672">
              <w:rPr>
                <w:rStyle w:val="Hyperlink"/>
                <w:noProof/>
              </w:rPr>
              <w:t>1.2 Analytical Requirements and Model Fidelity</w:t>
            </w:r>
            <w:r>
              <w:rPr>
                <w:noProof/>
                <w:webHidden/>
              </w:rPr>
              <w:tab/>
            </w:r>
            <w:r>
              <w:rPr>
                <w:noProof/>
                <w:webHidden/>
              </w:rPr>
              <w:fldChar w:fldCharType="begin"/>
            </w:r>
            <w:r>
              <w:rPr>
                <w:noProof/>
                <w:webHidden/>
              </w:rPr>
              <w:instrText xml:space="preserve"> PAGEREF _Toc231232850 \h </w:instrText>
            </w:r>
            <w:r>
              <w:rPr>
                <w:noProof/>
                <w:webHidden/>
              </w:rPr>
            </w:r>
            <w:r>
              <w:rPr>
                <w:noProof/>
                <w:webHidden/>
              </w:rPr>
              <w:fldChar w:fldCharType="separate"/>
            </w:r>
            <w:r>
              <w:rPr>
                <w:noProof/>
                <w:webHidden/>
              </w:rPr>
              <w:t>6</w:t>
            </w:r>
            <w:r>
              <w:rPr>
                <w:noProof/>
                <w:webHidden/>
              </w:rPr>
              <w:fldChar w:fldCharType="end"/>
            </w:r>
          </w:hyperlink>
        </w:p>
        <w:p w14:paraId="6175F2AB" w14:textId="54E66D0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1" w:history="1">
            <w:r w:rsidRPr="00C57672">
              <w:rPr>
                <w:rStyle w:val="Hyperlink"/>
                <w:noProof/>
              </w:rPr>
              <w:t>1.3 Code Architecture</w:t>
            </w:r>
            <w:r>
              <w:rPr>
                <w:noProof/>
                <w:webHidden/>
              </w:rPr>
              <w:tab/>
            </w:r>
            <w:r>
              <w:rPr>
                <w:noProof/>
                <w:webHidden/>
              </w:rPr>
              <w:fldChar w:fldCharType="begin"/>
            </w:r>
            <w:r>
              <w:rPr>
                <w:noProof/>
                <w:webHidden/>
              </w:rPr>
              <w:instrText xml:space="preserve"> PAGEREF _Toc231232851 \h </w:instrText>
            </w:r>
            <w:r>
              <w:rPr>
                <w:noProof/>
                <w:webHidden/>
              </w:rPr>
            </w:r>
            <w:r>
              <w:rPr>
                <w:noProof/>
                <w:webHidden/>
              </w:rPr>
              <w:fldChar w:fldCharType="separate"/>
            </w:r>
            <w:r>
              <w:rPr>
                <w:noProof/>
                <w:webHidden/>
              </w:rPr>
              <w:t>6</w:t>
            </w:r>
            <w:r>
              <w:rPr>
                <w:noProof/>
                <w:webHidden/>
              </w:rPr>
              <w:fldChar w:fldCharType="end"/>
            </w:r>
          </w:hyperlink>
        </w:p>
        <w:p w14:paraId="04EB67C9" w14:textId="2CBEA8C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2" w:history="1">
            <w:r w:rsidRPr="00C57672">
              <w:rPr>
                <w:rStyle w:val="Hyperlink"/>
                <w:noProof/>
              </w:rPr>
              <w:t>1.4 Single-Node Approximation</w:t>
            </w:r>
            <w:r>
              <w:rPr>
                <w:noProof/>
                <w:webHidden/>
              </w:rPr>
              <w:tab/>
            </w:r>
            <w:r>
              <w:rPr>
                <w:noProof/>
                <w:webHidden/>
              </w:rPr>
              <w:fldChar w:fldCharType="begin"/>
            </w:r>
            <w:r>
              <w:rPr>
                <w:noProof/>
                <w:webHidden/>
              </w:rPr>
              <w:instrText xml:space="preserve"> PAGEREF _Toc231232852 \h </w:instrText>
            </w:r>
            <w:r>
              <w:rPr>
                <w:noProof/>
                <w:webHidden/>
              </w:rPr>
            </w:r>
            <w:r>
              <w:rPr>
                <w:noProof/>
                <w:webHidden/>
              </w:rPr>
              <w:fldChar w:fldCharType="separate"/>
            </w:r>
            <w:r>
              <w:rPr>
                <w:noProof/>
                <w:webHidden/>
              </w:rPr>
              <w:t>7</w:t>
            </w:r>
            <w:r>
              <w:rPr>
                <w:noProof/>
                <w:webHidden/>
              </w:rPr>
              <w:fldChar w:fldCharType="end"/>
            </w:r>
          </w:hyperlink>
        </w:p>
        <w:p w14:paraId="55F93F71" w14:textId="370EF09C"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53" w:history="1">
            <w:r w:rsidRPr="00C57672">
              <w:rPr>
                <w:rStyle w:val="Hyperlink"/>
                <w:noProof/>
              </w:rPr>
              <w:t>Chapter 2 — Thermal-Hydraulic System Model</w:t>
            </w:r>
            <w:r>
              <w:rPr>
                <w:noProof/>
                <w:webHidden/>
              </w:rPr>
              <w:tab/>
            </w:r>
            <w:r>
              <w:rPr>
                <w:noProof/>
                <w:webHidden/>
              </w:rPr>
              <w:fldChar w:fldCharType="begin"/>
            </w:r>
            <w:r>
              <w:rPr>
                <w:noProof/>
                <w:webHidden/>
              </w:rPr>
              <w:instrText xml:space="preserve"> PAGEREF _Toc231232853 \h </w:instrText>
            </w:r>
            <w:r>
              <w:rPr>
                <w:noProof/>
                <w:webHidden/>
              </w:rPr>
            </w:r>
            <w:r>
              <w:rPr>
                <w:noProof/>
                <w:webHidden/>
              </w:rPr>
              <w:fldChar w:fldCharType="separate"/>
            </w:r>
            <w:r>
              <w:rPr>
                <w:noProof/>
                <w:webHidden/>
              </w:rPr>
              <w:t>7</w:t>
            </w:r>
            <w:r>
              <w:rPr>
                <w:noProof/>
                <w:webHidden/>
              </w:rPr>
              <w:fldChar w:fldCharType="end"/>
            </w:r>
          </w:hyperlink>
        </w:p>
        <w:p w14:paraId="5603BF72" w14:textId="28F85EF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4" w:history="1">
            <w:r w:rsidRPr="00C57672">
              <w:rPr>
                <w:rStyle w:val="Hyperlink"/>
                <w:noProof/>
              </w:rPr>
              <w:t>2.1 Modeling Basis</w:t>
            </w:r>
            <w:r>
              <w:rPr>
                <w:noProof/>
                <w:webHidden/>
              </w:rPr>
              <w:tab/>
            </w:r>
            <w:r>
              <w:rPr>
                <w:noProof/>
                <w:webHidden/>
              </w:rPr>
              <w:fldChar w:fldCharType="begin"/>
            </w:r>
            <w:r>
              <w:rPr>
                <w:noProof/>
                <w:webHidden/>
              </w:rPr>
              <w:instrText xml:space="preserve"> PAGEREF _Toc231232854 \h </w:instrText>
            </w:r>
            <w:r>
              <w:rPr>
                <w:noProof/>
                <w:webHidden/>
              </w:rPr>
            </w:r>
            <w:r>
              <w:rPr>
                <w:noProof/>
                <w:webHidden/>
              </w:rPr>
              <w:fldChar w:fldCharType="separate"/>
            </w:r>
            <w:r>
              <w:rPr>
                <w:noProof/>
                <w:webHidden/>
              </w:rPr>
              <w:t>7</w:t>
            </w:r>
            <w:r>
              <w:rPr>
                <w:noProof/>
                <w:webHidden/>
              </w:rPr>
              <w:fldChar w:fldCharType="end"/>
            </w:r>
          </w:hyperlink>
        </w:p>
        <w:p w14:paraId="68D459BE" w14:textId="07F828F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5" w:history="1">
            <w:r w:rsidRPr="00C57672">
              <w:rPr>
                <w:rStyle w:val="Hyperlink"/>
                <w:noProof/>
              </w:rPr>
              <w:t>2.2 Control-Volume Mass Balance</w:t>
            </w:r>
            <w:r>
              <w:rPr>
                <w:noProof/>
                <w:webHidden/>
              </w:rPr>
              <w:tab/>
            </w:r>
            <w:r>
              <w:rPr>
                <w:noProof/>
                <w:webHidden/>
              </w:rPr>
              <w:fldChar w:fldCharType="begin"/>
            </w:r>
            <w:r>
              <w:rPr>
                <w:noProof/>
                <w:webHidden/>
              </w:rPr>
              <w:instrText xml:space="preserve"> PAGEREF _Toc231232855 \h </w:instrText>
            </w:r>
            <w:r>
              <w:rPr>
                <w:noProof/>
                <w:webHidden/>
              </w:rPr>
            </w:r>
            <w:r>
              <w:rPr>
                <w:noProof/>
                <w:webHidden/>
              </w:rPr>
              <w:fldChar w:fldCharType="separate"/>
            </w:r>
            <w:r>
              <w:rPr>
                <w:noProof/>
                <w:webHidden/>
              </w:rPr>
              <w:t>7</w:t>
            </w:r>
            <w:r>
              <w:rPr>
                <w:noProof/>
                <w:webHidden/>
              </w:rPr>
              <w:fldChar w:fldCharType="end"/>
            </w:r>
          </w:hyperlink>
        </w:p>
        <w:p w14:paraId="3583CC5A" w14:textId="1E682A4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6" w:history="1">
            <w:r w:rsidRPr="00C57672">
              <w:rPr>
                <w:rStyle w:val="Hyperlink"/>
                <w:noProof/>
              </w:rPr>
              <w:t>2.3 Volume Constraint and State Variable Selection</w:t>
            </w:r>
            <w:r>
              <w:rPr>
                <w:noProof/>
                <w:webHidden/>
              </w:rPr>
              <w:tab/>
            </w:r>
            <w:r>
              <w:rPr>
                <w:noProof/>
                <w:webHidden/>
              </w:rPr>
              <w:fldChar w:fldCharType="begin"/>
            </w:r>
            <w:r>
              <w:rPr>
                <w:noProof/>
                <w:webHidden/>
              </w:rPr>
              <w:instrText xml:space="preserve"> PAGEREF _Toc231232856 \h </w:instrText>
            </w:r>
            <w:r>
              <w:rPr>
                <w:noProof/>
                <w:webHidden/>
              </w:rPr>
            </w:r>
            <w:r>
              <w:rPr>
                <w:noProof/>
                <w:webHidden/>
              </w:rPr>
              <w:fldChar w:fldCharType="separate"/>
            </w:r>
            <w:r>
              <w:rPr>
                <w:noProof/>
                <w:webHidden/>
              </w:rPr>
              <w:t>8</w:t>
            </w:r>
            <w:r>
              <w:rPr>
                <w:noProof/>
                <w:webHidden/>
              </w:rPr>
              <w:fldChar w:fldCharType="end"/>
            </w:r>
          </w:hyperlink>
        </w:p>
        <w:p w14:paraId="1C437BFA" w14:textId="2BC4ADE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7" w:history="1">
            <w:r w:rsidRPr="00C57672">
              <w:rPr>
                <w:rStyle w:val="Hyperlink"/>
                <w:noProof/>
              </w:rPr>
              <w:t>2.4 Energy Balance</w:t>
            </w:r>
            <w:r>
              <w:rPr>
                <w:noProof/>
                <w:webHidden/>
              </w:rPr>
              <w:tab/>
            </w:r>
            <w:r>
              <w:rPr>
                <w:noProof/>
                <w:webHidden/>
              </w:rPr>
              <w:fldChar w:fldCharType="begin"/>
            </w:r>
            <w:r>
              <w:rPr>
                <w:noProof/>
                <w:webHidden/>
              </w:rPr>
              <w:instrText xml:space="preserve"> PAGEREF _Toc231232857 \h </w:instrText>
            </w:r>
            <w:r>
              <w:rPr>
                <w:noProof/>
                <w:webHidden/>
              </w:rPr>
            </w:r>
            <w:r>
              <w:rPr>
                <w:noProof/>
                <w:webHidden/>
              </w:rPr>
              <w:fldChar w:fldCharType="separate"/>
            </w:r>
            <w:r>
              <w:rPr>
                <w:noProof/>
                <w:webHidden/>
              </w:rPr>
              <w:t>8</w:t>
            </w:r>
            <w:r>
              <w:rPr>
                <w:noProof/>
                <w:webHidden/>
              </w:rPr>
              <w:fldChar w:fldCharType="end"/>
            </w:r>
          </w:hyperlink>
        </w:p>
        <w:p w14:paraId="63F7F325" w14:textId="43F936F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8" w:history="1">
            <w:r w:rsidRPr="00C57672">
              <w:rPr>
                <w:rStyle w:val="Hyperlink"/>
                <w:noProof/>
              </w:rPr>
              <w:t>2.5 Semi-Implicit Pressure-Enthalpy Update</w:t>
            </w:r>
            <w:r>
              <w:rPr>
                <w:noProof/>
                <w:webHidden/>
              </w:rPr>
              <w:tab/>
            </w:r>
            <w:r>
              <w:rPr>
                <w:noProof/>
                <w:webHidden/>
              </w:rPr>
              <w:fldChar w:fldCharType="begin"/>
            </w:r>
            <w:r>
              <w:rPr>
                <w:noProof/>
                <w:webHidden/>
              </w:rPr>
              <w:instrText xml:space="preserve"> PAGEREF _Toc231232858 \h </w:instrText>
            </w:r>
            <w:r>
              <w:rPr>
                <w:noProof/>
                <w:webHidden/>
              </w:rPr>
            </w:r>
            <w:r>
              <w:rPr>
                <w:noProof/>
                <w:webHidden/>
              </w:rPr>
              <w:fldChar w:fldCharType="separate"/>
            </w:r>
            <w:r>
              <w:rPr>
                <w:noProof/>
                <w:webHidden/>
              </w:rPr>
              <w:t>9</w:t>
            </w:r>
            <w:r>
              <w:rPr>
                <w:noProof/>
                <w:webHidden/>
              </w:rPr>
              <w:fldChar w:fldCharType="end"/>
            </w:r>
          </w:hyperlink>
        </w:p>
        <w:p w14:paraId="3A37BDAA" w14:textId="260B2E7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59" w:history="1">
            <w:r w:rsidRPr="00C57672">
              <w:rPr>
                <w:rStyle w:val="Hyperlink"/>
                <w:noProof/>
              </w:rPr>
              <w:t>2.6 Equation of State and Mixture Properties</w:t>
            </w:r>
            <w:r>
              <w:rPr>
                <w:noProof/>
                <w:webHidden/>
              </w:rPr>
              <w:tab/>
            </w:r>
            <w:r>
              <w:rPr>
                <w:noProof/>
                <w:webHidden/>
              </w:rPr>
              <w:fldChar w:fldCharType="begin"/>
            </w:r>
            <w:r>
              <w:rPr>
                <w:noProof/>
                <w:webHidden/>
              </w:rPr>
              <w:instrText xml:space="preserve"> PAGEREF _Toc231232859 \h </w:instrText>
            </w:r>
            <w:r>
              <w:rPr>
                <w:noProof/>
                <w:webHidden/>
              </w:rPr>
            </w:r>
            <w:r>
              <w:rPr>
                <w:noProof/>
                <w:webHidden/>
              </w:rPr>
              <w:fldChar w:fldCharType="separate"/>
            </w:r>
            <w:r>
              <w:rPr>
                <w:noProof/>
                <w:webHidden/>
              </w:rPr>
              <w:t>9</w:t>
            </w:r>
            <w:r>
              <w:rPr>
                <w:noProof/>
                <w:webHidden/>
              </w:rPr>
              <w:fldChar w:fldCharType="end"/>
            </w:r>
          </w:hyperlink>
        </w:p>
        <w:p w14:paraId="0773F9D4" w14:textId="18AF795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0" w:history="1">
            <w:r w:rsidRPr="00C57672">
              <w:rPr>
                <w:rStyle w:val="Hyperlink"/>
                <w:noProof/>
              </w:rPr>
              <w:t>2.7 Break Flow Model</w:t>
            </w:r>
            <w:r>
              <w:rPr>
                <w:noProof/>
                <w:webHidden/>
              </w:rPr>
              <w:tab/>
            </w:r>
            <w:r>
              <w:rPr>
                <w:noProof/>
                <w:webHidden/>
              </w:rPr>
              <w:fldChar w:fldCharType="begin"/>
            </w:r>
            <w:r>
              <w:rPr>
                <w:noProof/>
                <w:webHidden/>
              </w:rPr>
              <w:instrText xml:space="preserve"> PAGEREF _Toc231232860 \h </w:instrText>
            </w:r>
            <w:r>
              <w:rPr>
                <w:noProof/>
                <w:webHidden/>
              </w:rPr>
            </w:r>
            <w:r>
              <w:rPr>
                <w:noProof/>
                <w:webHidden/>
              </w:rPr>
              <w:fldChar w:fldCharType="separate"/>
            </w:r>
            <w:r>
              <w:rPr>
                <w:noProof/>
                <w:webHidden/>
              </w:rPr>
              <w:t>10</w:t>
            </w:r>
            <w:r>
              <w:rPr>
                <w:noProof/>
                <w:webHidden/>
              </w:rPr>
              <w:fldChar w:fldCharType="end"/>
            </w:r>
          </w:hyperlink>
        </w:p>
        <w:p w14:paraId="0743F00B" w14:textId="51771A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1" w:history="1">
            <w:r w:rsidRPr="00C57672">
              <w:rPr>
                <w:rStyle w:val="Hyperlink"/>
                <w:noProof/>
              </w:rPr>
              <w:t>2.8 PORV, Steam Generator, and Pump Models</w:t>
            </w:r>
            <w:r>
              <w:rPr>
                <w:noProof/>
                <w:webHidden/>
              </w:rPr>
              <w:tab/>
            </w:r>
            <w:r>
              <w:rPr>
                <w:noProof/>
                <w:webHidden/>
              </w:rPr>
              <w:fldChar w:fldCharType="begin"/>
            </w:r>
            <w:r>
              <w:rPr>
                <w:noProof/>
                <w:webHidden/>
              </w:rPr>
              <w:instrText xml:space="preserve"> PAGEREF _Toc231232861 \h </w:instrText>
            </w:r>
            <w:r>
              <w:rPr>
                <w:noProof/>
                <w:webHidden/>
              </w:rPr>
            </w:r>
            <w:r>
              <w:rPr>
                <w:noProof/>
                <w:webHidden/>
              </w:rPr>
              <w:fldChar w:fldCharType="separate"/>
            </w:r>
            <w:r>
              <w:rPr>
                <w:noProof/>
                <w:webHidden/>
              </w:rPr>
              <w:t>10</w:t>
            </w:r>
            <w:r>
              <w:rPr>
                <w:noProof/>
                <w:webHidden/>
              </w:rPr>
              <w:fldChar w:fldCharType="end"/>
            </w:r>
          </w:hyperlink>
        </w:p>
        <w:p w14:paraId="545C880C" w14:textId="044F27B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2" w:history="1">
            <w:r w:rsidRPr="00C57672">
              <w:rPr>
                <w:rStyle w:val="Hyperlink"/>
                <w:noProof/>
              </w:rPr>
              <w:t>2.9 Collapsed Level and Inventory Diagnostics</w:t>
            </w:r>
            <w:r>
              <w:rPr>
                <w:noProof/>
                <w:webHidden/>
              </w:rPr>
              <w:tab/>
            </w:r>
            <w:r>
              <w:rPr>
                <w:noProof/>
                <w:webHidden/>
              </w:rPr>
              <w:fldChar w:fldCharType="begin"/>
            </w:r>
            <w:r>
              <w:rPr>
                <w:noProof/>
                <w:webHidden/>
              </w:rPr>
              <w:instrText xml:space="preserve"> PAGEREF _Toc231232862 \h </w:instrText>
            </w:r>
            <w:r>
              <w:rPr>
                <w:noProof/>
                <w:webHidden/>
              </w:rPr>
            </w:r>
            <w:r>
              <w:rPr>
                <w:noProof/>
                <w:webHidden/>
              </w:rPr>
              <w:fldChar w:fldCharType="separate"/>
            </w:r>
            <w:r>
              <w:rPr>
                <w:noProof/>
                <w:webHidden/>
              </w:rPr>
              <w:t>11</w:t>
            </w:r>
            <w:r>
              <w:rPr>
                <w:noProof/>
                <w:webHidden/>
              </w:rPr>
              <w:fldChar w:fldCharType="end"/>
            </w:r>
          </w:hyperlink>
        </w:p>
        <w:p w14:paraId="7CDC1B15" w14:textId="2E596DF8"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3" w:history="1">
            <w:r w:rsidRPr="00C57672">
              <w:rPr>
                <w:rStyle w:val="Hyperlink"/>
                <w:noProof/>
              </w:rPr>
              <w:t>Chapter 3 — Accumulator and ECCS Models</w:t>
            </w:r>
            <w:r>
              <w:rPr>
                <w:noProof/>
                <w:webHidden/>
              </w:rPr>
              <w:tab/>
            </w:r>
            <w:r>
              <w:rPr>
                <w:noProof/>
                <w:webHidden/>
              </w:rPr>
              <w:fldChar w:fldCharType="begin"/>
            </w:r>
            <w:r>
              <w:rPr>
                <w:noProof/>
                <w:webHidden/>
              </w:rPr>
              <w:instrText xml:space="preserve"> PAGEREF _Toc231232863 \h </w:instrText>
            </w:r>
            <w:r>
              <w:rPr>
                <w:noProof/>
                <w:webHidden/>
              </w:rPr>
            </w:r>
            <w:r>
              <w:rPr>
                <w:noProof/>
                <w:webHidden/>
              </w:rPr>
              <w:fldChar w:fldCharType="separate"/>
            </w:r>
            <w:r>
              <w:rPr>
                <w:noProof/>
                <w:webHidden/>
              </w:rPr>
              <w:t>11</w:t>
            </w:r>
            <w:r>
              <w:rPr>
                <w:noProof/>
                <w:webHidden/>
              </w:rPr>
              <w:fldChar w:fldCharType="end"/>
            </w:r>
          </w:hyperlink>
        </w:p>
        <w:p w14:paraId="2307F5F5" w14:textId="2230348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4" w:history="1">
            <w:r w:rsidRPr="00C57672">
              <w:rPr>
                <w:rStyle w:val="Hyperlink"/>
                <w:noProof/>
              </w:rPr>
              <w:t>3.1 Accumulator Thermodynamic Model</w:t>
            </w:r>
            <w:r>
              <w:rPr>
                <w:noProof/>
                <w:webHidden/>
              </w:rPr>
              <w:tab/>
            </w:r>
            <w:r>
              <w:rPr>
                <w:noProof/>
                <w:webHidden/>
              </w:rPr>
              <w:fldChar w:fldCharType="begin"/>
            </w:r>
            <w:r>
              <w:rPr>
                <w:noProof/>
                <w:webHidden/>
              </w:rPr>
              <w:instrText xml:space="preserve"> PAGEREF _Toc231232864 \h </w:instrText>
            </w:r>
            <w:r>
              <w:rPr>
                <w:noProof/>
                <w:webHidden/>
              </w:rPr>
            </w:r>
            <w:r>
              <w:rPr>
                <w:noProof/>
                <w:webHidden/>
              </w:rPr>
              <w:fldChar w:fldCharType="separate"/>
            </w:r>
            <w:r>
              <w:rPr>
                <w:noProof/>
                <w:webHidden/>
              </w:rPr>
              <w:t>11</w:t>
            </w:r>
            <w:r>
              <w:rPr>
                <w:noProof/>
                <w:webHidden/>
              </w:rPr>
              <w:fldChar w:fldCharType="end"/>
            </w:r>
          </w:hyperlink>
        </w:p>
        <w:p w14:paraId="03737F44" w14:textId="0B6FE8A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5" w:history="1">
            <w:r w:rsidRPr="00C57672">
              <w:rPr>
                <w:rStyle w:val="Hyperlink"/>
                <w:noProof/>
              </w:rPr>
              <w:t>3.2 Pumped Safety Injection</w:t>
            </w:r>
            <w:r>
              <w:rPr>
                <w:noProof/>
                <w:webHidden/>
              </w:rPr>
              <w:tab/>
            </w:r>
            <w:r>
              <w:rPr>
                <w:noProof/>
                <w:webHidden/>
              </w:rPr>
              <w:fldChar w:fldCharType="begin"/>
            </w:r>
            <w:r>
              <w:rPr>
                <w:noProof/>
                <w:webHidden/>
              </w:rPr>
              <w:instrText xml:space="preserve"> PAGEREF _Toc231232865 \h </w:instrText>
            </w:r>
            <w:r>
              <w:rPr>
                <w:noProof/>
                <w:webHidden/>
              </w:rPr>
            </w:r>
            <w:r>
              <w:rPr>
                <w:noProof/>
                <w:webHidden/>
              </w:rPr>
              <w:fldChar w:fldCharType="separate"/>
            </w:r>
            <w:r>
              <w:rPr>
                <w:noProof/>
                <w:webHidden/>
              </w:rPr>
              <w:t>12</w:t>
            </w:r>
            <w:r>
              <w:rPr>
                <w:noProof/>
                <w:webHidden/>
              </w:rPr>
              <w:fldChar w:fldCharType="end"/>
            </w:r>
          </w:hyperlink>
        </w:p>
        <w:p w14:paraId="00E5FD38" w14:textId="4BD9EBC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6" w:history="1">
            <w:r w:rsidRPr="00C57672">
              <w:rPr>
                <w:rStyle w:val="Hyperlink"/>
                <w:noProof/>
              </w:rPr>
              <w:t>3.3 CVCS Makeup and Letdown</w:t>
            </w:r>
            <w:r>
              <w:rPr>
                <w:noProof/>
                <w:webHidden/>
              </w:rPr>
              <w:tab/>
            </w:r>
            <w:r>
              <w:rPr>
                <w:noProof/>
                <w:webHidden/>
              </w:rPr>
              <w:fldChar w:fldCharType="begin"/>
            </w:r>
            <w:r>
              <w:rPr>
                <w:noProof/>
                <w:webHidden/>
              </w:rPr>
              <w:instrText xml:space="preserve"> PAGEREF _Toc231232866 \h </w:instrText>
            </w:r>
            <w:r>
              <w:rPr>
                <w:noProof/>
                <w:webHidden/>
              </w:rPr>
            </w:r>
            <w:r>
              <w:rPr>
                <w:noProof/>
                <w:webHidden/>
              </w:rPr>
              <w:fldChar w:fldCharType="separate"/>
            </w:r>
            <w:r>
              <w:rPr>
                <w:noProof/>
                <w:webHidden/>
              </w:rPr>
              <w:t>12</w:t>
            </w:r>
            <w:r>
              <w:rPr>
                <w:noProof/>
                <w:webHidden/>
              </w:rPr>
              <w:fldChar w:fldCharType="end"/>
            </w:r>
          </w:hyperlink>
        </w:p>
        <w:p w14:paraId="122FF296" w14:textId="0DF6369F"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67" w:history="1">
            <w:r w:rsidRPr="00C57672">
              <w:rPr>
                <w:rStyle w:val="Hyperlink"/>
                <w:noProof/>
              </w:rPr>
              <w:t>Chapter 4 — Core and Fuel Models</w:t>
            </w:r>
            <w:r>
              <w:rPr>
                <w:noProof/>
                <w:webHidden/>
              </w:rPr>
              <w:tab/>
            </w:r>
            <w:r>
              <w:rPr>
                <w:noProof/>
                <w:webHidden/>
              </w:rPr>
              <w:fldChar w:fldCharType="begin"/>
            </w:r>
            <w:r>
              <w:rPr>
                <w:noProof/>
                <w:webHidden/>
              </w:rPr>
              <w:instrText xml:space="preserve"> PAGEREF _Toc231232867 \h </w:instrText>
            </w:r>
            <w:r>
              <w:rPr>
                <w:noProof/>
                <w:webHidden/>
              </w:rPr>
            </w:r>
            <w:r>
              <w:rPr>
                <w:noProof/>
                <w:webHidden/>
              </w:rPr>
              <w:fldChar w:fldCharType="separate"/>
            </w:r>
            <w:r>
              <w:rPr>
                <w:noProof/>
                <w:webHidden/>
              </w:rPr>
              <w:t>13</w:t>
            </w:r>
            <w:r>
              <w:rPr>
                <w:noProof/>
                <w:webHidden/>
              </w:rPr>
              <w:fldChar w:fldCharType="end"/>
            </w:r>
          </w:hyperlink>
        </w:p>
        <w:p w14:paraId="547A2288" w14:textId="6C1D209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8" w:history="1">
            <w:r w:rsidRPr="00C57672">
              <w:rPr>
                <w:rStyle w:val="Hyperlink"/>
                <w:noProof/>
              </w:rPr>
              <w:t>4.1 Rod-Bundle Geometry</w:t>
            </w:r>
            <w:r>
              <w:rPr>
                <w:noProof/>
                <w:webHidden/>
              </w:rPr>
              <w:tab/>
            </w:r>
            <w:r>
              <w:rPr>
                <w:noProof/>
                <w:webHidden/>
              </w:rPr>
              <w:fldChar w:fldCharType="begin"/>
            </w:r>
            <w:r>
              <w:rPr>
                <w:noProof/>
                <w:webHidden/>
              </w:rPr>
              <w:instrText xml:space="preserve"> PAGEREF _Toc231232868 \h </w:instrText>
            </w:r>
            <w:r>
              <w:rPr>
                <w:noProof/>
                <w:webHidden/>
              </w:rPr>
            </w:r>
            <w:r>
              <w:rPr>
                <w:noProof/>
                <w:webHidden/>
              </w:rPr>
              <w:fldChar w:fldCharType="separate"/>
            </w:r>
            <w:r>
              <w:rPr>
                <w:noProof/>
                <w:webHidden/>
              </w:rPr>
              <w:t>13</w:t>
            </w:r>
            <w:r>
              <w:rPr>
                <w:noProof/>
                <w:webHidden/>
              </w:rPr>
              <w:fldChar w:fldCharType="end"/>
            </w:r>
          </w:hyperlink>
        </w:p>
        <w:p w14:paraId="6C8BB008" w14:textId="185E683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69" w:history="1">
            <w:r w:rsidRPr="00C57672">
              <w:rPr>
                <w:rStyle w:val="Hyperlink"/>
                <w:noProof/>
              </w:rPr>
              <w:t>4.2 Fuel-Rod Heat Structure</w:t>
            </w:r>
            <w:r>
              <w:rPr>
                <w:noProof/>
                <w:webHidden/>
              </w:rPr>
              <w:tab/>
            </w:r>
            <w:r>
              <w:rPr>
                <w:noProof/>
                <w:webHidden/>
              </w:rPr>
              <w:fldChar w:fldCharType="begin"/>
            </w:r>
            <w:r>
              <w:rPr>
                <w:noProof/>
                <w:webHidden/>
              </w:rPr>
              <w:instrText xml:space="preserve"> PAGEREF _Toc231232869 \h </w:instrText>
            </w:r>
            <w:r>
              <w:rPr>
                <w:noProof/>
                <w:webHidden/>
              </w:rPr>
            </w:r>
            <w:r>
              <w:rPr>
                <w:noProof/>
                <w:webHidden/>
              </w:rPr>
              <w:fldChar w:fldCharType="separate"/>
            </w:r>
            <w:r>
              <w:rPr>
                <w:noProof/>
                <w:webHidden/>
              </w:rPr>
              <w:t>13</w:t>
            </w:r>
            <w:r>
              <w:rPr>
                <w:noProof/>
                <w:webHidden/>
              </w:rPr>
              <w:fldChar w:fldCharType="end"/>
            </w:r>
          </w:hyperlink>
        </w:p>
        <w:p w14:paraId="45ED055D" w14:textId="6A95656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0" w:history="1">
            <w:r w:rsidRPr="00C57672">
              <w:rPr>
                <w:rStyle w:val="Hyperlink"/>
                <w:noProof/>
              </w:rPr>
              <w:t>4.3 Convective Heat Transfer</w:t>
            </w:r>
            <w:r>
              <w:rPr>
                <w:noProof/>
                <w:webHidden/>
              </w:rPr>
              <w:tab/>
            </w:r>
            <w:r>
              <w:rPr>
                <w:noProof/>
                <w:webHidden/>
              </w:rPr>
              <w:fldChar w:fldCharType="begin"/>
            </w:r>
            <w:r>
              <w:rPr>
                <w:noProof/>
                <w:webHidden/>
              </w:rPr>
              <w:instrText xml:space="preserve"> PAGEREF _Toc231232870 \h </w:instrText>
            </w:r>
            <w:r>
              <w:rPr>
                <w:noProof/>
                <w:webHidden/>
              </w:rPr>
            </w:r>
            <w:r>
              <w:rPr>
                <w:noProof/>
                <w:webHidden/>
              </w:rPr>
              <w:fldChar w:fldCharType="separate"/>
            </w:r>
            <w:r>
              <w:rPr>
                <w:noProof/>
                <w:webHidden/>
              </w:rPr>
              <w:t>14</w:t>
            </w:r>
            <w:r>
              <w:rPr>
                <w:noProof/>
                <w:webHidden/>
              </w:rPr>
              <w:fldChar w:fldCharType="end"/>
            </w:r>
          </w:hyperlink>
        </w:p>
        <w:p w14:paraId="30F38E56" w14:textId="7390B50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1" w:history="1">
            <w:r w:rsidRPr="00C57672">
              <w:rPr>
                <w:rStyle w:val="Hyperlink"/>
                <w:noProof/>
              </w:rPr>
              <w:t>4.4 Critical Heat Flux, Post-CHF Cooling, and Dry Core</w:t>
            </w:r>
            <w:r>
              <w:rPr>
                <w:noProof/>
                <w:webHidden/>
              </w:rPr>
              <w:tab/>
            </w:r>
            <w:r>
              <w:rPr>
                <w:noProof/>
                <w:webHidden/>
              </w:rPr>
              <w:fldChar w:fldCharType="begin"/>
            </w:r>
            <w:r>
              <w:rPr>
                <w:noProof/>
                <w:webHidden/>
              </w:rPr>
              <w:instrText xml:space="preserve"> PAGEREF _Toc231232871 \h </w:instrText>
            </w:r>
            <w:r>
              <w:rPr>
                <w:noProof/>
                <w:webHidden/>
              </w:rPr>
            </w:r>
            <w:r>
              <w:rPr>
                <w:noProof/>
                <w:webHidden/>
              </w:rPr>
              <w:fldChar w:fldCharType="separate"/>
            </w:r>
            <w:r>
              <w:rPr>
                <w:noProof/>
                <w:webHidden/>
              </w:rPr>
              <w:t>15</w:t>
            </w:r>
            <w:r>
              <w:rPr>
                <w:noProof/>
                <w:webHidden/>
              </w:rPr>
              <w:fldChar w:fldCharType="end"/>
            </w:r>
          </w:hyperlink>
        </w:p>
        <w:p w14:paraId="0AA85303" w14:textId="49C5B1C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2" w:history="1">
            <w:r w:rsidRPr="00C57672">
              <w:rPr>
                <w:rStyle w:val="Hyperlink"/>
                <w:noProof/>
              </w:rPr>
              <w:t>4.5 Zirconium Oxidation and Hydrogen Generation</w:t>
            </w:r>
            <w:r>
              <w:rPr>
                <w:noProof/>
                <w:webHidden/>
              </w:rPr>
              <w:tab/>
            </w:r>
            <w:r>
              <w:rPr>
                <w:noProof/>
                <w:webHidden/>
              </w:rPr>
              <w:fldChar w:fldCharType="begin"/>
            </w:r>
            <w:r>
              <w:rPr>
                <w:noProof/>
                <w:webHidden/>
              </w:rPr>
              <w:instrText xml:space="preserve"> PAGEREF _Toc231232872 \h </w:instrText>
            </w:r>
            <w:r>
              <w:rPr>
                <w:noProof/>
                <w:webHidden/>
              </w:rPr>
            </w:r>
            <w:r>
              <w:rPr>
                <w:noProof/>
                <w:webHidden/>
              </w:rPr>
              <w:fldChar w:fldCharType="separate"/>
            </w:r>
            <w:r>
              <w:rPr>
                <w:noProof/>
                <w:webHidden/>
              </w:rPr>
              <w:t>15</w:t>
            </w:r>
            <w:r>
              <w:rPr>
                <w:noProof/>
                <w:webHidden/>
              </w:rPr>
              <w:fldChar w:fldCharType="end"/>
            </w:r>
          </w:hyperlink>
        </w:p>
        <w:p w14:paraId="76853E6D" w14:textId="6DFFD62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73" w:history="1">
            <w:r w:rsidRPr="00C57672">
              <w:rPr>
                <w:rStyle w:val="Hyperlink"/>
                <w:noProof/>
              </w:rPr>
              <w:t>4.6 Statistical Rod-State Model, Hot Pin, and Mean Oxidizing Rod</w:t>
            </w:r>
            <w:r>
              <w:rPr>
                <w:noProof/>
                <w:webHidden/>
              </w:rPr>
              <w:tab/>
            </w:r>
            <w:r>
              <w:rPr>
                <w:noProof/>
                <w:webHidden/>
              </w:rPr>
              <w:fldChar w:fldCharType="begin"/>
            </w:r>
            <w:r>
              <w:rPr>
                <w:noProof/>
                <w:webHidden/>
              </w:rPr>
              <w:instrText xml:space="preserve"> PAGEREF _Toc231232873 \h </w:instrText>
            </w:r>
            <w:r>
              <w:rPr>
                <w:noProof/>
                <w:webHidden/>
              </w:rPr>
            </w:r>
            <w:r>
              <w:rPr>
                <w:noProof/>
                <w:webHidden/>
              </w:rPr>
              <w:fldChar w:fldCharType="separate"/>
            </w:r>
            <w:r>
              <w:rPr>
                <w:noProof/>
                <w:webHidden/>
              </w:rPr>
              <w:t>16</w:t>
            </w:r>
            <w:r>
              <w:rPr>
                <w:noProof/>
                <w:webHidden/>
              </w:rPr>
              <w:fldChar w:fldCharType="end"/>
            </w:r>
          </w:hyperlink>
        </w:p>
        <w:p w14:paraId="70B8DF78" w14:textId="247EFC1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4" w:history="1">
            <w:r w:rsidRPr="00C57672">
              <w:rPr>
                <w:rStyle w:val="Hyperlink"/>
                <w:noProof/>
              </w:rPr>
              <w:t>4.6.1 Rod-State Reconstruction from a Lumped-Parameter Core</w:t>
            </w:r>
            <w:r>
              <w:rPr>
                <w:noProof/>
                <w:webHidden/>
              </w:rPr>
              <w:tab/>
            </w:r>
            <w:r>
              <w:rPr>
                <w:noProof/>
                <w:webHidden/>
              </w:rPr>
              <w:fldChar w:fldCharType="begin"/>
            </w:r>
            <w:r>
              <w:rPr>
                <w:noProof/>
                <w:webHidden/>
              </w:rPr>
              <w:instrText xml:space="preserve"> PAGEREF _Toc231232874 \h </w:instrText>
            </w:r>
            <w:r>
              <w:rPr>
                <w:noProof/>
                <w:webHidden/>
              </w:rPr>
            </w:r>
            <w:r>
              <w:rPr>
                <w:noProof/>
                <w:webHidden/>
              </w:rPr>
              <w:fldChar w:fldCharType="separate"/>
            </w:r>
            <w:r>
              <w:rPr>
                <w:noProof/>
                <w:webHidden/>
              </w:rPr>
              <w:t>16</w:t>
            </w:r>
            <w:r>
              <w:rPr>
                <w:noProof/>
                <w:webHidden/>
              </w:rPr>
              <w:fldChar w:fldCharType="end"/>
            </w:r>
          </w:hyperlink>
        </w:p>
        <w:p w14:paraId="7F61F2CE" w14:textId="482FDA8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5" w:history="1">
            <w:r w:rsidRPr="00C57672">
              <w:rPr>
                <w:rStyle w:val="Hyperlink"/>
                <w:noProof/>
              </w:rPr>
              <w:t>4.6.2 Normal Rod-State Distribution</w:t>
            </w:r>
            <w:r>
              <w:rPr>
                <w:noProof/>
                <w:webHidden/>
              </w:rPr>
              <w:tab/>
            </w:r>
            <w:r>
              <w:rPr>
                <w:noProof/>
                <w:webHidden/>
              </w:rPr>
              <w:fldChar w:fldCharType="begin"/>
            </w:r>
            <w:r>
              <w:rPr>
                <w:noProof/>
                <w:webHidden/>
              </w:rPr>
              <w:instrText xml:space="preserve"> PAGEREF _Toc231232875 \h </w:instrText>
            </w:r>
            <w:r>
              <w:rPr>
                <w:noProof/>
                <w:webHidden/>
              </w:rPr>
            </w:r>
            <w:r>
              <w:rPr>
                <w:noProof/>
                <w:webHidden/>
              </w:rPr>
              <w:fldChar w:fldCharType="separate"/>
            </w:r>
            <w:r>
              <w:rPr>
                <w:noProof/>
                <w:webHidden/>
              </w:rPr>
              <w:t>17</w:t>
            </w:r>
            <w:r>
              <w:rPr>
                <w:noProof/>
                <w:webHidden/>
              </w:rPr>
              <w:fldChar w:fldCharType="end"/>
            </w:r>
          </w:hyperlink>
        </w:p>
        <w:p w14:paraId="6BACBE8C" w14:textId="74FFC97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6" w:history="1">
            <w:r w:rsidRPr="00C57672">
              <w:rPr>
                <w:rStyle w:val="Hyperlink"/>
                <w:noProof/>
              </w:rPr>
              <w:t>4.6.3 Temperature Mapping</w:t>
            </w:r>
            <w:r>
              <w:rPr>
                <w:noProof/>
                <w:webHidden/>
              </w:rPr>
              <w:tab/>
            </w:r>
            <w:r>
              <w:rPr>
                <w:noProof/>
                <w:webHidden/>
              </w:rPr>
              <w:fldChar w:fldCharType="begin"/>
            </w:r>
            <w:r>
              <w:rPr>
                <w:noProof/>
                <w:webHidden/>
              </w:rPr>
              <w:instrText xml:space="preserve"> PAGEREF _Toc231232876 \h </w:instrText>
            </w:r>
            <w:r>
              <w:rPr>
                <w:noProof/>
                <w:webHidden/>
              </w:rPr>
            </w:r>
            <w:r>
              <w:rPr>
                <w:noProof/>
                <w:webHidden/>
              </w:rPr>
              <w:fldChar w:fldCharType="separate"/>
            </w:r>
            <w:r>
              <w:rPr>
                <w:noProof/>
                <w:webHidden/>
              </w:rPr>
              <w:t>17</w:t>
            </w:r>
            <w:r>
              <w:rPr>
                <w:noProof/>
                <w:webHidden/>
              </w:rPr>
              <w:fldChar w:fldCharType="end"/>
            </w:r>
          </w:hyperlink>
        </w:p>
        <w:p w14:paraId="5D16E87C" w14:textId="29B19E9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7" w:history="1">
            <w:r w:rsidRPr="00C57672">
              <w:rPr>
                <w:rStyle w:val="Hyperlink"/>
                <w:noProof/>
              </w:rPr>
              <w:t>4.6.4 Failed-Rod Fraction</w:t>
            </w:r>
            <w:r>
              <w:rPr>
                <w:noProof/>
                <w:webHidden/>
              </w:rPr>
              <w:tab/>
            </w:r>
            <w:r>
              <w:rPr>
                <w:noProof/>
                <w:webHidden/>
              </w:rPr>
              <w:fldChar w:fldCharType="begin"/>
            </w:r>
            <w:r>
              <w:rPr>
                <w:noProof/>
                <w:webHidden/>
              </w:rPr>
              <w:instrText xml:space="preserve"> PAGEREF _Toc231232877 \h </w:instrText>
            </w:r>
            <w:r>
              <w:rPr>
                <w:noProof/>
                <w:webHidden/>
              </w:rPr>
            </w:r>
            <w:r>
              <w:rPr>
                <w:noProof/>
                <w:webHidden/>
              </w:rPr>
              <w:fldChar w:fldCharType="separate"/>
            </w:r>
            <w:r>
              <w:rPr>
                <w:noProof/>
                <w:webHidden/>
              </w:rPr>
              <w:t>18</w:t>
            </w:r>
            <w:r>
              <w:rPr>
                <w:noProof/>
                <w:webHidden/>
              </w:rPr>
              <w:fldChar w:fldCharType="end"/>
            </w:r>
          </w:hyperlink>
        </w:p>
        <w:p w14:paraId="52E1BEFA" w14:textId="0E27A4A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8" w:history="1">
            <w:r w:rsidRPr="00C57672">
              <w:rPr>
                <w:rStyle w:val="Hyperlink"/>
                <w:noProof/>
              </w:rPr>
              <w:t>4.6.5 Hot Pin</w:t>
            </w:r>
            <w:r>
              <w:rPr>
                <w:noProof/>
                <w:webHidden/>
              </w:rPr>
              <w:tab/>
            </w:r>
            <w:r>
              <w:rPr>
                <w:noProof/>
                <w:webHidden/>
              </w:rPr>
              <w:fldChar w:fldCharType="begin"/>
            </w:r>
            <w:r>
              <w:rPr>
                <w:noProof/>
                <w:webHidden/>
              </w:rPr>
              <w:instrText xml:space="preserve"> PAGEREF _Toc231232878 \h </w:instrText>
            </w:r>
            <w:r>
              <w:rPr>
                <w:noProof/>
                <w:webHidden/>
              </w:rPr>
            </w:r>
            <w:r>
              <w:rPr>
                <w:noProof/>
                <w:webHidden/>
              </w:rPr>
              <w:fldChar w:fldCharType="separate"/>
            </w:r>
            <w:r>
              <w:rPr>
                <w:noProof/>
                <w:webHidden/>
              </w:rPr>
              <w:t>19</w:t>
            </w:r>
            <w:r>
              <w:rPr>
                <w:noProof/>
                <w:webHidden/>
              </w:rPr>
              <w:fldChar w:fldCharType="end"/>
            </w:r>
          </w:hyperlink>
        </w:p>
        <w:p w14:paraId="3968662C" w14:textId="7DB6F45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79" w:history="1">
            <w:r w:rsidRPr="00C57672">
              <w:rPr>
                <w:rStyle w:val="Hyperlink"/>
                <w:noProof/>
              </w:rPr>
              <w:t>4.6.6 Mean Oxidizing Rod</w:t>
            </w:r>
            <w:r>
              <w:rPr>
                <w:noProof/>
                <w:webHidden/>
              </w:rPr>
              <w:tab/>
            </w:r>
            <w:r>
              <w:rPr>
                <w:noProof/>
                <w:webHidden/>
              </w:rPr>
              <w:fldChar w:fldCharType="begin"/>
            </w:r>
            <w:r>
              <w:rPr>
                <w:noProof/>
                <w:webHidden/>
              </w:rPr>
              <w:instrText xml:space="preserve"> PAGEREF _Toc231232879 \h </w:instrText>
            </w:r>
            <w:r>
              <w:rPr>
                <w:noProof/>
                <w:webHidden/>
              </w:rPr>
            </w:r>
            <w:r>
              <w:rPr>
                <w:noProof/>
                <w:webHidden/>
              </w:rPr>
              <w:fldChar w:fldCharType="separate"/>
            </w:r>
            <w:r>
              <w:rPr>
                <w:noProof/>
                <w:webHidden/>
              </w:rPr>
              <w:t>19</w:t>
            </w:r>
            <w:r>
              <w:rPr>
                <w:noProof/>
                <w:webHidden/>
              </w:rPr>
              <w:fldChar w:fldCharType="end"/>
            </w:r>
          </w:hyperlink>
        </w:p>
        <w:p w14:paraId="7524684B" w14:textId="134D8D7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0" w:history="1">
            <w:r w:rsidRPr="00C57672">
              <w:rPr>
                <w:rStyle w:val="Hyperlink"/>
                <w:noProof/>
              </w:rPr>
              <w:t>4.6.7 Population Weighting for Hydrogen Generation</w:t>
            </w:r>
            <w:r>
              <w:rPr>
                <w:noProof/>
                <w:webHidden/>
              </w:rPr>
              <w:tab/>
            </w:r>
            <w:r>
              <w:rPr>
                <w:noProof/>
                <w:webHidden/>
              </w:rPr>
              <w:fldChar w:fldCharType="begin"/>
            </w:r>
            <w:r>
              <w:rPr>
                <w:noProof/>
                <w:webHidden/>
              </w:rPr>
              <w:instrText xml:space="preserve"> PAGEREF _Toc231232880 \h </w:instrText>
            </w:r>
            <w:r>
              <w:rPr>
                <w:noProof/>
                <w:webHidden/>
              </w:rPr>
            </w:r>
            <w:r>
              <w:rPr>
                <w:noProof/>
                <w:webHidden/>
              </w:rPr>
              <w:fldChar w:fldCharType="separate"/>
            </w:r>
            <w:r>
              <w:rPr>
                <w:noProof/>
                <w:webHidden/>
              </w:rPr>
              <w:t>20</w:t>
            </w:r>
            <w:r>
              <w:rPr>
                <w:noProof/>
                <w:webHidden/>
              </w:rPr>
              <w:fldChar w:fldCharType="end"/>
            </w:r>
          </w:hyperlink>
        </w:p>
        <w:p w14:paraId="10C1FBF0" w14:textId="3A58133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1" w:history="1">
            <w:r w:rsidRPr="00C57672">
              <w:rPr>
                <w:rStyle w:val="Hyperlink"/>
                <w:noProof/>
              </w:rPr>
              <w:t>4.6.8 Figures-of-Merit Tracked from the Rod-State Model</w:t>
            </w:r>
            <w:r>
              <w:rPr>
                <w:noProof/>
                <w:webHidden/>
              </w:rPr>
              <w:tab/>
            </w:r>
            <w:r>
              <w:rPr>
                <w:noProof/>
                <w:webHidden/>
              </w:rPr>
              <w:fldChar w:fldCharType="begin"/>
            </w:r>
            <w:r>
              <w:rPr>
                <w:noProof/>
                <w:webHidden/>
              </w:rPr>
              <w:instrText xml:space="preserve"> PAGEREF _Toc231232881 \h </w:instrText>
            </w:r>
            <w:r>
              <w:rPr>
                <w:noProof/>
                <w:webHidden/>
              </w:rPr>
            </w:r>
            <w:r>
              <w:rPr>
                <w:noProof/>
                <w:webHidden/>
              </w:rPr>
              <w:fldChar w:fldCharType="separate"/>
            </w:r>
            <w:r>
              <w:rPr>
                <w:noProof/>
                <w:webHidden/>
              </w:rPr>
              <w:t>20</w:t>
            </w:r>
            <w:r>
              <w:rPr>
                <w:noProof/>
                <w:webHidden/>
              </w:rPr>
              <w:fldChar w:fldCharType="end"/>
            </w:r>
          </w:hyperlink>
        </w:p>
        <w:p w14:paraId="7CEACEDF" w14:textId="3DD3FEA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2" w:history="1">
            <w:r w:rsidRPr="00C57672">
              <w:rPr>
                <w:rStyle w:val="Hyperlink"/>
                <w:noProof/>
              </w:rPr>
              <w:t>4.6.9 Assumptions and Limitations</w:t>
            </w:r>
            <w:r>
              <w:rPr>
                <w:noProof/>
                <w:webHidden/>
              </w:rPr>
              <w:tab/>
            </w:r>
            <w:r>
              <w:rPr>
                <w:noProof/>
                <w:webHidden/>
              </w:rPr>
              <w:fldChar w:fldCharType="begin"/>
            </w:r>
            <w:r>
              <w:rPr>
                <w:noProof/>
                <w:webHidden/>
              </w:rPr>
              <w:instrText xml:space="preserve"> PAGEREF _Toc231232882 \h </w:instrText>
            </w:r>
            <w:r>
              <w:rPr>
                <w:noProof/>
                <w:webHidden/>
              </w:rPr>
            </w:r>
            <w:r>
              <w:rPr>
                <w:noProof/>
                <w:webHidden/>
              </w:rPr>
              <w:fldChar w:fldCharType="separate"/>
            </w:r>
            <w:r>
              <w:rPr>
                <w:noProof/>
                <w:webHidden/>
              </w:rPr>
              <w:t>21</w:t>
            </w:r>
            <w:r>
              <w:rPr>
                <w:noProof/>
                <w:webHidden/>
              </w:rPr>
              <w:fldChar w:fldCharType="end"/>
            </w:r>
          </w:hyperlink>
        </w:p>
        <w:p w14:paraId="570F330D" w14:textId="1E647F42"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83" w:history="1">
            <w:r w:rsidRPr="00C57672">
              <w:rPr>
                <w:rStyle w:val="Hyperlink"/>
                <w:noProof/>
              </w:rPr>
              <w:t>4.7 Zirconium Oxidation and Hydrogen Generation</w:t>
            </w:r>
            <w:r>
              <w:rPr>
                <w:noProof/>
                <w:webHidden/>
              </w:rPr>
              <w:tab/>
            </w:r>
            <w:r>
              <w:rPr>
                <w:noProof/>
                <w:webHidden/>
              </w:rPr>
              <w:fldChar w:fldCharType="begin"/>
            </w:r>
            <w:r>
              <w:rPr>
                <w:noProof/>
                <w:webHidden/>
              </w:rPr>
              <w:instrText xml:space="preserve"> PAGEREF _Toc231232883 \h </w:instrText>
            </w:r>
            <w:r>
              <w:rPr>
                <w:noProof/>
                <w:webHidden/>
              </w:rPr>
            </w:r>
            <w:r>
              <w:rPr>
                <w:noProof/>
                <w:webHidden/>
              </w:rPr>
              <w:fldChar w:fldCharType="separate"/>
            </w:r>
            <w:r>
              <w:rPr>
                <w:noProof/>
                <w:webHidden/>
              </w:rPr>
              <w:t>21</w:t>
            </w:r>
            <w:r>
              <w:rPr>
                <w:noProof/>
                <w:webHidden/>
              </w:rPr>
              <w:fldChar w:fldCharType="end"/>
            </w:r>
          </w:hyperlink>
        </w:p>
        <w:p w14:paraId="7D26653E" w14:textId="1E676EC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4" w:history="1">
            <w:r w:rsidRPr="00C57672">
              <w:rPr>
                <w:rStyle w:val="Hyperlink"/>
                <w:noProof/>
              </w:rPr>
              <w:t>4.7.1 Zirconium-Steam Reaction</w:t>
            </w:r>
            <w:r>
              <w:rPr>
                <w:noProof/>
                <w:webHidden/>
              </w:rPr>
              <w:tab/>
            </w:r>
            <w:r>
              <w:rPr>
                <w:noProof/>
                <w:webHidden/>
              </w:rPr>
              <w:fldChar w:fldCharType="begin"/>
            </w:r>
            <w:r>
              <w:rPr>
                <w:noProof/>
                <w:webHidden/>
              </w:rPr>
              <w:instrText xml:space="preserve"> PAGEREF _Toc231232884 \h </w:instrText>
            </w:r>
            <w:r>
              <w:rPr>
                <w:noProof/>
                <w:webHidden/>
              </w:rPr>
            </w:r>
            <w:r>
              <w:rPr>
                <w:noProof/>
                <w:webHidden/>
              </w:rPr>
              <w:fldChar w:fldCharType="separate"/>
            </w:r>
            <w:r>
              <w:rPr>
                <w:noProof/>
                <w:webHidden/>
              </w:rPr>
              <w:t>22</w:t>
            </w:r>
            <w:r>
              <w:rPr>
                <w:noProof/>
                <w:webHidden/>
              </w:rPr>
              <w:fldChar w:fldCharType="end"/>
            </w:r>
          </w:hyperlink>
        </w:p>
        <w:p w14:paraId="4506EE77" w14:textId="32C143F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5" w:history="1">
            <w:r w:rsidRPr="00C57672">
              <w:rPr>
                <w:rStyle w:val="Hyperlink"/>
                <w:noProof/>
              </w:rPr>
              <w:t>4.7.2 Baker-Just Parabolic Oxidation Law</w:t>
            </w:r>
            <w:r>
              <w:rPr>
                <w:noProof/>
                <w:webHidden/>
              </w:rPr>
              <w:tab/>
            </w:r>
            <w:r>
              <w:rPr>
                <w:noProof/>
                <w:webHidden/>
              </w:rPr>
              <w:fldChar w:fldCharType="begin"/>
            </w:r>
            <w:r>
              <w:rPr>
                <w:noProof/>
                <w:webHidden/>
              </w:rPr>
              <w:instrText xml:space="preserve"> PAGEREF _Toc231232885 \h </w:instrText>
            </w:r>
            <w:r>
              <w:rPr>
                <w:noProof/>
                <w:webHidden/>
              </w:rPr>
            </w:r>
            <w:r>
              <w:rPr>
                <w:noProof/>
                <w:webHidden/>
              </w:rPr>
              <w:fldChar w:fldCharType="separate"/>
            </w:r>
            <w:r>
              <w:rPr>
                <w:noProof/>
                <w:webHidden/>
              </w:rPr>
              <w:t>22</w:t>
            </w:r>
            <w:r>
              <w:rPr>
                <w:noProof/>
                <w:webHidden/>
              </w:rPr>
              <w:fldChar w:fldCharType="end"/>
            </w:r>
          </w:hyperlink>
        </w:p>
        <w:p w14:paraId="35F71749" w14:textId="5E72533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6" w:history="1">
            <w:r w:rsidRPr="00C57672">
              <w:rPr>
                <w:rStyle w:val="Hyperlink"/>
                <w:noProof/>
              </w:rPr>
              <w:t>4.7.3 Numerical Integration of Oxide Weight Gain</w:t>
            </w:r>
            <w:r>
              <w:rPr>
                <w:noProof/>
                <w:webHidden/>
              </w:rPr>
              <w:tab/>
            </w:r>
            <w:r>
              <w:rPr>
                <w:noProof/>
                <w:webHidden/>
              </w:rPr>
              <w:fldChar w:fldCharType="begin"/>
            </w:r>
            <w:r>
              <w:rPr>
                <w:noProof/>
                <w:webHidden/>
              </w:rPr>
              <w:instrText xml:space="preserve"> PAGEREF _Toc231232886 \h </w:instrText>
            </w:r>
            <w:r>
              <w:rPr>
                <w:noProof/>
                <w:webHidden/>
              </w:rPr>
            </w:r>
            <w:r>
              <w:rPr>
                <w:noProof/>
                <w:webHidden/>
              </w:rPr>
              <w:fldChar w:fldCharType="separate"/>
            </w:r>
            <w:r>
              <w:rPr>
                <w:noProof/>
                <w:webHidden/>
              </w:rPr>
              <w:t>23</w:t>
            </w:r>
            <w:r>
              <w:rPr>
                <w:noProof/>
                <w:webHidden/>
              </w:rPr>
              <w:fldChar w:fldCharType="end"/>
            </w:r>
          </w:hyperlink>
        </w:p>
        <w:p w14:paraId="63450D01" w14:textId="39008F8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7" w:history="1">
            <w:r w:rsidRPr="00C57672">
              <w:rPr>
                <w:rStyle w:val="Hyperlink"/>
                <w:noProof/>
              </w:rPr>
              <w:t>4.7.4 Equivalent Cladding Reacted Fraction</w:t>
            </w:r>
            <w:r>
              <w:rPr>
                <w:noProof/>
                <w:webHidden/>
              </w:rPr>
              <w:tab/>
            </w:r>
            <w:r>
              <w:rPr>
                <w:noProof/>
                <w:webHidden/>
              </w:rPr>
              <w:fldChar w:fldCharType="begin"/>
            </w:r>
            <w:r>
              <w:rPr>
                <w:noProof/>
                <w:webHidden/>
              </w:rPr>
              <w:instrText xml:space="preserve"> PAGEREF _Toc231232887 \h </w:instrText>
            </w:r>
            <w:r>
              <w:rPr>
                <w:noProof/>
                <w:webHidden/>
              </w:rPr>
            </w:r>
            <w:r>
              <w:rPr>
                <w:noProof/>
                <w:webHidden/>
              </w:rPr>
              <w:fldChar w:fldCharType="separate"/>
            </w:r>
            <w:r>
              <w:rPr>
                <w:noProof/>
                <w:webHidden/>
              </w:rPr>
              <w:t>23</w:t>
            </w:r>
            <w:r>
              <w:rPr>
                <w:noProof/>
                <w:webHidden/>
              </w:rPr>
              <w:fldChar w:fldCharType="end"/>
            </w:r>
          </w:hyperlink>
        </w:p>
        <w:p w14:paraId="6B10D61F" w14:textId="297366F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8" w:history="1">
            <w:r w:rsidRPr="00C57672">
              <w:rPr>
                <w:rStyle w:val="Hyperlink"/>
                <w:noProof/>
              </w:rPr>
              <w:t>4.7.5 Hot-Pin Oxidation</w:t>
            </w:r>
            <w:r>
              <w:rPr>
                <w:noProof/>
                <w:webHidden/>
              </w:rPr>
              <w:tab/>
            </w:r>
            <w:r>
              <w:rPr>
                <w:noProof/>
                <w:webHidden/>
              </w:rPr>
              <w:fldChar w:fldCharType="begin"/>
            </w:r>
            <w:r>
              <w:rPr>
                <w:noProof/>
                <w:webHidden/>
              </w:rPr>
              <w:instrText xml:space="preserve"> PAGEREF _Toc231232888 \h </w:instrText>
            </w:r>
            <w:r>
              <w:rPr>
                <w:noProof/>
                <w:webHidden/>
              </w:rPr>
            </w:r>
            <w:r>
              <w:rPr>
                <w:noProof/>
                <w:webHidden/>
              </w:rPr>
              <w:fldChar w:fldCharType="separate"/>
            </w:r>
            <w:r>
              <w:rPr>
                <w:noProof/>
                <w:webHidden/>
              </w:rPr>
              <w:t>24</w:t>
            </w:r>
            <w:r>
              <w:rPr>
                <w:noProof/>
                <w:webHidden/>
              </w:rPr>
              <w:fldChar w:fldCharType="end"/>
            </w:r>
          </w:hyperlink>
        </w:p>
        <w:p w14:paraId="7FF35FA4" w14:textId="4FB442D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89" w:history="1">
            <w:r w:rsidRPr="00C57672">
              <w:rPr>
                <w:rStyle w:val="Hyperlink"/>
                <w:noProof/>
              </w:rPr>
              <w:t>4.7.6 Mean Oxidizing Rod Oxidation</w:t>
            </w:r>
            <w:r>
              <w:rPr>
                <w:noProof/>
                <w:webHidden/>
              </w:rPr>
              <w:tab/>
            </w:r>
            <w:r>
              <w:rPr>
                <w:noProof/>
                <w:webHidden/>
              </w:rPr>
              <w:fldChar w:fldCharType="begin"/>
            </w:r>
            <w:r>
              <w:rPr>
                <w:noProof/>
                <w:webHidden/>
              </w:rPr>
              <w:instrText xml:space="preserve"> PAGEREF _Toc231232889 \h </w:instrText>
            </w:r>
            <w:r>
              <w:rPr>
                <w:noProof/>
                <w:webHidden/>
              </w:rPr>
            </w:r>
            <w:r>
              <w:rPr>
                <w:noProof/>
                <w:webHidden/>
              </w:rPr>
              <w:fldChar w:fldCharType="separate"/>
            </w:r>
            <w:r>
              <w:rPr>
                <w:noProof/>
                <w:webHidden/>
              </w:rPr>
              <w:t>24</w:t>
            </w:r>
            <w:r>
              <w:rPr>
                <w:noProof/>
                <w:webHidden/>
              </w:rPr>
              <w:fldChar w:fldCharType="end"/>
            </w:r>
          </w:hyperlink>
        </w:p>
        <w:p w14:paraId="36A90480" w14:textId="1B6D8BF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0" w:history="1">
            <w:r w:rsidRPr="00C57672">
              <w:rPr>
                <w:rStyle w:val="Hyperlink"/>
                <w:noProof/>
              </w:rPr>
              <w:t>4.7.7 Core-Wide Hydrogen Generation</w:t>
            </w:r>
            <w:r>
              <w:rPr>
                <w:noProof/>
                <w:webHidden/>
              </w:rPr>
              <w:tab/>
            </w:r>
            <w:r>
              <w:rPr>
                <w:noProof/>
                <w:webHidden/>
              </w:rPr>
              <w:fldChar w:fldCharType="begin"/>
            </w:r>
            <w:r>
              <w:rPr>
                <w:noProof/>
                <w:webHidden/>
              </w:rPr>
              <w:instrText xml:space="preserve"> PAGEREF _Toc231232890 \h </w:instrText>
            </w:r>
            <w:r>
              <w:rPr>
                <w:noProof/>
                <w:webHidden/>
              </w:rPr>
            </w:r>
            <w:r>
              <w:rPr>
                <w:noProof/>
                <w:webHidden/>
              </w:rPr>
              <w:fldChar w:fldCharType="separate"/>
            </w:r>
            <w:r>
              <w:rPr>
                <w:noProof/>
                <w:webHidden/>
              </w:rPr>
              <w:t>25</w:t>
            </w:r>
            <w:r>
              <w:rPr>
                <w:noProof/>
                <w:webHidden/>
              </w:rPr>
              <w:fldChar w:fldCharType="end"/>
            </w:r>
          </w:hyperlink>
        </w:p>
        <w:p w14:paraId="0D1E67F6" w14:textId="7B6AFB5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1" w:history="1">
            <w:r w:rsidRPr="00C57672">
              <w:rPr>
                <w:rStyle w:val="Hyperlink"/>
                <w:noProof/>
              </w:rPr>
              <w:t>4.7.8 Relationship to 10 CFR 50.46 Figures-of-Merit</w:t>
            </w:r>
            <w:r>
              <w:rPr>
                <w:noProof/>
                <w:webHidden/>
              </w:rPr>
              <w:tab/>
            </w:r>
            <w:r>
              <w:rPr>
                <w:noProof/>
                <w:webHidden/>
              </w:rPr>
              <w:fldChar w:fldCharType="begin"/>
            </w:r>
            <w:r>
              <w:rPr>
                <w:noProof/>
                <w:webHidden/>
              </w:rPr>
              <w:instrText xml:space="preserve"> PAGEREF _Toc231232891 \h </w:instrText>
            </w:r>
            <w:r>
              <w:rPr>
                <w:noProof/>
                <w:webHidden/>
              </w:rPr>
            </w:r>
            <w:r>
              <w:rPr>
                <w:noProof/>
                <w:webHidden/>
              </w:rPr>
              <w:fldChar w:fldCharType="separate"/>
            </w:r>
            <w:r>
              <w:rPr>
                <w:noProof/>
                <w:webHidden/>
              </w:rPr>
              <w:t>25</w:t>
            </w:r>
            <w:r>
              <w:rPr>
                <w:noProof/>
                <w:webHidden/>
              </w:rPr>
              <w:fldChar w:fldCharType="end"/>
            </w:r>
          </w:hyperlink>
        </w:p>
        <w:p w14:paraId="62870A74" w14:textId="17232B5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2" w:history="1">
            <w:r w:rsidRPr="00C57672">
              <w:rPr>
                <w:rStyle w:val="Hyperlink"/>
                <w:noProof/>
              </w:rPr>
              <w:t>4.7.9 Coupling to Source Term and Containment Hydrogen</w:t>
            </w:r>
            <w:r>
              <w:rPr>
                <w:noProof/>
                <w:webHidden/>
              </w:rPr>
              <w:tab/>
            </w:r>
            <w:r>
              <w:rPr>
                <w:noProof/>
                <w:webHidden/>
              </w:rPr>
              <w:fldChar w:fldCharType="begin"/>
            </w:r>
            <w:r>
              <w:rPr>
                <w:noProof/>
                <w:webHidden/>
              </w:rPr>
              <w:instrText xml:space="preserve"> PAGEREF _Toc231232892 \h </w:instrText>
            </w:r>
            <w:r>
              <w:rPr>
                <w:noProof/>
                <w:webHidden/>
              </w:rPr>
            </w:r>
            <w:r>
              <w:rPr>
                <w:noProof/>
                <w:webHidden/>
              </w:rPr>
              <w:fldChar w:fldCharType="separate"/>
            </w:r>
            <w:r>
              <w:rPr>
                <w:noProof/>
                <w:webHidden/>
              </w:rPr>
              <w:t>26</w:t>
            </w:r>
            <w:r>
              <w:rPr>
                <w:noProof/>
                <w:webHidden/>
              </w:rPr>
              <w:fldChar w:fldCharType="end"/>
            </w:r>
          </w:hyperlink>
        </w:p>
        <w:p w14:paraId="71A8E5EB" w14:textId="16C34D0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3" w:history="1">
            <w:r w:rsidRPr="00C57672">
              <w:rPr>
                <w:rStyle w:val="Hyperlink"/>
                <w:noProof/>
              </w:rPr>
              <w:t>4.7.10 Assumptions and Limitations</w:t>
            </w:r>
            <w:r>
              <w:rPr>
                <w:noProof/>
                <w:webHidden/>
              </w:rPr>
              <w:tab/>
            </w:r>
            <w:r>
              <w:rPr>
                <w:noProof/>
                <w:webHidden/>
              </w:rPr>
              <w:fldChar w:fldCharType="begin"/>
            </w:r>
            <w:r>
              <w:rPr>
                <w:noProof/>
                <w:webHidden/>
              </w:rPr>
              <w:instrText xml:space="preserve"> PAGEREF _Toc231232893 \h </w:instrText>
            </w:r>
            <w:r>
              <w:rPr>
                <w:noProof/>
                <w:webHidden/>
              </w:rPr>
            </w:r>
            <w:r>
              <w:rPr>
                <w:noProof/>
                <w:webHidden/>
              </w:rPr>
              <w:fldChar w:fldCharType="separate"/>
            </w:r>
            <w:r>
              <w:rPr>
                <w:noProof/>
                <w:webHidden/>
              </w:rPr>
              <w:t>26</w:t>
            </w:r>
            <w:r>
              <w:rPr>
                <w:noProof/>
                <w:webHidden/>
              </w:rPr>
              <w:fldChar w:fldCharType="end"/>
            </w:r>
          </w:hyperlink>
        </w:p>
        <w:p w14:paraId="77896A25" w14:textId="1FDC0673"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4" w:history="1">
            <w:r w:rsidRPr="00C57672">
              <w:rPr>
                <w:rStyle w:val="Hyperlink"/>
                <w:noProof/>
              </w:rPr>
              <w:t>Chapter 5 — Point Kinetics and Reactivity Models</w:t>
            </w:r>
            <w:r>
              <w:rPr>
                <w:noProof/>
                <w:webHidden/>
              </w:rPr>
              <w:tab/>
            </w:r>
            <w:r>
              <w:rPr>
                <w:noProof/>
                <w:webHidden/>
              </w:rPr>
              <w:fldChar w:fldCharType="begin"/>
            </w:r>
            <w:r>
              <w:rPr>
                <w:noProof/>
                <w:webHidden/>
              </w:rPr>
              <w:instrText xml:space="preserve"> PAGEREF _Toc231232894 \h </w:instrText>
            </w:r>
            <w:r>
              <w:rPr>
                <w:noProof/>
                <w:webHidden/>
              </w:rPr>
            </w:r>
            <w:r>
              <w:rPr>
                <w:noProof/>
                <w:webHidden/>
              </w:rPr>
              <w:fldChar w:fldCharType="separate"/>
            </w:r>
            <w:r>
              <w:rPr>
                <w:noProof/>
                <w:webHidden/>
              </w:rPr>
              <w:t>26</w:t>
            </w:r>
            <w:r>
              <w:rPr>
                <w:noProof/>
                <w:webHidden/>
              </w:rPr>
              <w:fldChar w:fldCharType="end"/>
            </w:r>
          </w:hyperlink>
        </w:p>
        <w:p w14:paraId="6DB9FE5B" w14:textId="56FD9CF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5" w:history="1">
            <w:r w:rsidRPr="00C57672">
              <w:rPr>
                <w:rStyle w:val="Hyperlink"/>
                <w:noProof/>
              </w:rPr>
              <w:t>5.1 Point-Kinetics Equations</w:t>
            </w:r>
            <w:r>
              <w:rPr>
                <w:noProof/>
                <w:webHidden/>
              </w:rPr>
              <w:tab/>
            </w:r>
            <w:r>
              <w:rPr>
                <w:noProof/>
                <w:webHidden/>
              </w:rPr>
              <w:fldChar w:fldCharType="begin"/>
            </w:r>
            <w:r>
              <w:rPr>
                <w:noProof/>
                <w:webHidden/>
              </w:rPr>
              <w:instrText xml:space="preserve"> PAGEREF _Toc231232895 \h </w:instrText>
            </w:r>
            <w:r>
              <w:rPr>
                <w:noProof/>
                <w:webHidden/>
              </w:rPr>
            </w:r>
            <w:r>
              <w:rPr>
                <w:noProof/>
                <w:webHidden/>
              </w:rPr>
              <w:fldChar w:fldCharType="separate"/>
            </w:r>
            <w:r>
              <w:rPr>
                <w:noProof/>
                <w:webHidden/>
              </w:rPr>
              <w:t>26</w:t>
            </w:r>
            <w:r>
              <w:rPr>
                <w:noProof/>
                <w:webHidden/>
              </w:rPr>
              <w:fldChar w:fldCharType="end"/>
            </w:r>
          </w:hyperlink>
        </w:p>
        <w:p w14:paraId="135FDF13" w14:textId="0031B0A8"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6" w:history="1">
            <w:r w:rsidRPr="00C57672">
              <w:rPr>
                <w:rStyle w:val="Hyperlink"/>
                <w:noProof/>
              </w:rPr>
              <w:t>5.2 Reactivity Feedback</w:t>
            </w:r>
            <w:r>
              <w:rPr>
                <w:noProof/>
                <w:webHidden/>
              </w:rPr>
              <w:tab/>
            </w:r>
            <w:r>
              <w:rPr>
                <w:noProof/>
                <w:webHidden/>
              </w:rPr>
              <w:fldChar w:fldCharType="begin"/>
            </w:r>
            <w:r>
              <w:rPr>
                <w:noProof/>
                <w:webHidden/>
              </w:rPr>
              <w:instrText xml:space="preserve"> PAGEREF _Toc231232896 \h </w:instrText>
            </w:r>
            <w:r>
              <w:rPr>
                <w:noProof/>
                <w:webHidden/>
              </w:rPr>
            </w:r>
            <w:r>
              <w:rPr>
                <w:noProof/>
                <w:webHidden/>
              </w:rPr>
              <w:fldChar w:fldCharType="separate"/>
            </w:r>
            <w:r>
              <w:rPr>
                <w:noProof/>
                <w:webHidden/>
              </w:rPr>
              <w:t>27</w:t>
            </w:r>
            <w:r>
              <w:rPr>
                <w:noProof/>
                <w:webHidden/>
              </w:rPr>
              <w:fldChar w:fldCharType="end"/>
            </w:r>
          </w:hyperlink>
        </w:p>
        <w:p w14:paraId="5FFD92AC" w14:textId="3E99EB7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7" w:history="1">
            <w:r w:rsidRPr="00C57672">
              <w:rPr>
                <w:rStyle w:val="Hyperlink"/>
                <w:noProof/>
              </w:rPr>
              <w:t>5.3 Prompt Jump, Prompt Criticality, and Decay Heat</w:t>
            </w:r>
            <w:r>
              <w:rPr>
                <w:noProof/>
                <w:webHidden/>
              </w:rPr>
              <w:tab/>
            </w:r>
            <w:r>
              <w:rPr>
                <w:noProof/>
                <w:webHidden/>
              </w:rPr>
              <w:fldChar w:fldCharType="begin"/>
            </w:r>
            <w:r>
              <w:rPr>
                <w:noProof/>
                <w:webHidden/>
              </w:rPr>
              <w:instrText xml:space="preserve"> PAGEREF _Toc231232897 \h </w:instrText>
            </w:r>
            <w:r>
              <w:rPr>
                <w:noProof/>
                <w:webHidden/>
              </w:rPr>
            </w:r>
            <w:r>
              <w:rPr>
                <w:noProof/>
                <w:webHidden/>
              </w:rPr>
              <w:fldChar w:fldCharType="separate"/>
            </w:r>
            <w:r>
              <w:rPr>
                <w:noProof/>
                <w:webHidden/>
              </w:rPr>
              <w:t>27</w:t>
            </w:r>
            <w:r>
              <w:rPr>
                <w:noProof/>
                <w:webHidden/>
              </w:rPr>
              <w:fldChar w:fldCharType="end"/>
            </w:r>
          </w:hyperlink>
        </w:p>
        <w:p w14:paraId="1DF0C839" w14:textId="7E3CB4AB"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898" w:history="1">
            <w:r w:rsidRPr="00C57672">
              <w:rPr>
                <w:rStyle w:val="Hyperlink"/>
                <w:noProof/>
              </w:rPr>
              <w:t>Chapter 6 — Trip and Protection System Models</w:t>
            </w:r>
            <w:r>
              <w:rPr>
                <w:noProof/>
                <w:webHidden/>
              </w:rPr>
              <w:tab/>
            </w:r>
            <w:r>
              <w:rPr>
                <w:noProof/>
                <w:webHidden/>
              </w:rPr>
              <w:fldChar w:fldCharType="begin"/>
            </w:r>
            <w:r>
              <w:rPr>
                <w:noProof/>
                <w:webHidden/>
              </w:rPr>
              <w:instrText xml:space="preserve"> PAGEREF _Toc231232898 \h </w:instrText>
            </w:r>
            <w:r>
              <w:rPr>
                <w:noProof/>
                <w:webHidden/>
              </w:rPr>
            </w:r>
            <w:r>
              <w:rPr>
                <w:noProof/>
                <w:webHidden/>
              </w:rPr>
              <w:fldChar w:fldCharType="separate"/>
            </w:r>
            <w:r>
              <w:rPr>
                <w:noProof/>
                <w:webHidden/>
              </w:rPr>
              <w:t>28</w:t>
            </w:r>
            <w:r>
              <w:rPr>
                <w:noProof/>
                <w:webHidden/>
              </w:rPr>
              <w:fldChar w:fldCharType="end"/>
            </w:r>
          </w:hyperlink>
        </w:p>
        <w:p w14:paraId="393DF039" w14:textId="6BE7F312"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899" w:history="1">
            <w:r w:rsidRPr="00C57672">
              <w:rPr>
                <w:rStyle w:val="Hyperlink"/>
                <w:noProof/>
              </w:rPr>
              <w:t>6.1 Trip Logic</w:t>
            </w:r>
            <w:r>
              <w:rPr>
                <w:noProof/>
                <w:webHidden/>
              </w:rPr>
              <w:tab/>
            </w:r>
            <w:r>
              <w:rPr>
                <w:noProof/>
                <w:webHidden/>
              </w:rPr>
              <w:fldChar w:fldCharType="begin"/>
            </w:r>
            <w:r>
              <w:rPr>
                <w:noProof/>
                <w:webHidden/>
              </w:rPr>
              <w:instrText xml:space="preserve"> PAGEREF _Toc231232899 \h </w:instrText>
            </w:r>
            <w:r>
              <w:rPr>
                <w:noProof/>
                <w:webHidden/>
              </w:rPr>
            </w:r>
            <w:r>
              <w:rPr>
                <w:noProof/>
                <w:webHidden/>
              </w:rPr>
              <w:fldChar w:fldCharType="separate"/>
            </w:r>
            <w:r>
              <w:rPr>
                <w:noProof/>
                <w:webHidden/>
              </w:rPr>
              <w:t>28</w:t>
            </w:r>
            <w:r>
              <w:rPr>
                <w:noProof/>
                <w:webHidden/>
              </w:rPr>
              <w:fldChar w:fldCharType="end"/>
            </w:r>
          </w:hyperlink>
        </w:p>
        <w:p w14:paraId="1835996B" w14:textId="06105F5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0" w:history="1">
            <w:r w:rsidRPr="00C57672">
              <w:rPr>
                <w:rStyle w:val="Hyperlink"/>
                <w:noProof/>
              </w:rPr>
              <w:t>6.2 ESFAS Actuation</w:t>
            </w:r>
            <w:r>
              <w:rPr>
                <w:noProof/>
                <w:webHidden/>
              </w:rPr>
              <w:tab/>
            </w:r>
            <w:r>
              <w:rPr>
                <w:noProof/>
                <w:webHidden/>
              </w:rPr>
              <w:fldChar w:fldCharType="begin"/>
            </w:r>
            <w:r>
              <w:rPr>
                <w:noProof/>
                <w:webHidden/>
              </w:rPr>
              <w:instrText xml:space="preserve"> PAGEREF _Toc231232900 \h </w:instrText>
            </w:r>
            <w:r>
              <w:rPr>
                <w:noProof/>
                <w:webHidden/>
              </w:rPr>
            </w:r>
            <w:r>
              <w:rPr>
                <w:noProof/>
                <w:webHidden/>
              </w:rPr>
              <w:fldChar w:fldCharType="separate"/>
            </w:r>
            <w:r>
              <w:rPr>
                <w:noProof/>
                <w:webHidden/>
              </w:rPr>
              <w:t>28</w:t>
            </w:r>
            <w:r>
              <w:rPr>
                <w:noProof/>
                <w:webHidden/>
              </w:rPr>
              <w:fldChar w:fldCharType="end"/>
            </w:r>
          </w:hyperlink>
        </w:p>
        <w:p w14:paraId="5B4B6820" w14:textId="706684B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1" w:history="1">
            <w:r w:rsidRPr="00C57672">
              <w:rPr>
                <w:rStyle w:val="Hyperlink"/>
                <w:noProof/>
              </w:rPr>
              <w:t>6.3 Numerical Latching and Event Reporting</w:t>
            </w:r>
            <w:r>
              <w:rPr>
                <w:noProof/>
                <w:webHidden/>
              </w:rPr>
              <w:tab/>
            </w:r>
            <w:r>
              <w:rPr>
                <w:noProof/>
                <w:webHidden/>
              </w:rPr>
              <w:fldChar w:fldCharType="begin"/>
            </w:r>
            <w:r>
              <w:rPr>
                <w:noProof/>
                <w:webHidden/>
              </w:rPr>
              <w:instrText xml:space="preserve"> PAGEREF _Toc231232901 \h </w:instrText>
            </w:r>
            <w:r>
              <w:rPr>
                <w:noProof/>
                <w:webHidden/>
              </w:rPr>
            </w:r>
            <w:r>
              <w:rPr>
                <w:noProof/>
                <w:webHidden/>
              </w:rPr>
              <w:fldChar w:fldCharType="separate"/>
            </w:r>
            <w:r>
              <w:rPr>
                <w:noProof/>
                <w:webHidden/>
              </w:rPr>
              <w:t>28</w:t>
            </w:r>
            <w:r>
              <w:rPr>
                <w:noProof/>
                <w:webHidden/>
              </w:rPr>
              <w:fldChar w:fldCharType="end"/>
            </w:r>
          </w:hyperlink>
        </w:p>
        <w:p w14:paraId="76E66DB0" w14:textId="708BC419"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2" w:history="1">
            <w:r w:rsidRPr="00C57672">
              <w:rPr>
                <w:rStyle w:val="Hyperlink"/>
                <w:noProof/>
              </w:rPr>
              <w:t>Chapter 7 — FLARECON Containment Response Model</w:t>
            </w:r>
            <w:r>
              <w:rPr>
                <w:noProof/>
                <w:webHidden/>
              </w:rPr>
              <w:tab/>
            </w:r>
            <w:r>
              <w:rPr>
                <w:noProof/>
                <w:webHidden/>
              </w:rPr>
              <w:fldChar w:fldCharType="begin"/>
            </w:r>
            <w:r>
              <w:rPr>
                <w:noProof/>
                <w:webHidden/>
              </w:rPr>
              <w:instrText xml:space="preserve"> PAGEREF _Toc231232902 \h </w:instrText>
            </w:r>
            <w:r>
              <w:rPr>
                <w:noProof/>
                <w:webHidden/>
              </w:rPr>
            </w:r>
            <w:r>
              <w:rPr>
                <w:noProof/>
                <w:webHidden/>
              </w:rPr>
              <w:fldChar w:fldCharType="separate"/>
            </w:r>
            <w:r>
              <w:rPr>
                <w:noProof/>
                <w:webHidden/>
              </w:rPr>
              <w:t>28</w:t>
            </w:r>
            <w:r>
              <w:rPr>
                <w:noProof/>
                <w:webHidden/>
              </w:rPr>
              <w:fldChar w:fldCharType="end"/>
            </w:r>
          </w:hyperlink>
        </w:p>
        <w:p w14:paraId="010ADF85" w14:textId="346E3B0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3" w:history="1">
            <w:r w:rsidRPr="00C57672">
              <w:rPr>
                <w:rStyle w:val="Hyperlink"/>
                <w:noProof/>
              </w:rPr>
              <w:t>7.1 Physical Scope</w:t>
            </w:r>
            <w:r>
              <w:rPr>
                <w:noProof/>
                <w:webHidden/>
              </w:rPr>
              <w:tab/>
            </w:r>
            <w:r>
              <w:rPr>
                <w:noProof/>
                <w:webHidden/>
              </w:rPr>
              <w:fldChar w:fldCharType="begin"/>
            </w:r>
            <w:r>
              <w:rPr>
                <w:noProof/>
                <w:webHidden/>
              </w:rPr>
              <w:instrText xml:space="preserve"> PAGEREF _Toc231232903 \h </w:instrText>
            </w:r>
            <w:r>
              <w:rPr>
                <w:noProof/>
                <w:webHidden/>
              </w:rPr>
            </w:r>
            <w:r>
              <w:rPr>
                <w:noProof/>
                <w:webHidden/>
              </w:rPr>
              <w:fldChar w:fldCharType="separate"/>
            </w:r>
            <w:r>
              <w:rPr>
                <w:noProof/>
                <w:webHidden/>
              </w:rPr>
              <w:t>28</w:t>
            </w:r>
            <w:r>
              <w:rPr>
                <w:noProof/>
                <w:webHidden/>
              </w:rPr>
              <w:fldChar w:fldCharType="end"/>
            </w:r>
          </w:hyperlink>
        </w:p>
        <w:p w14:paraId="192D980F" w14:textId="3EC9EC0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4" w:history="1">
            <w:r w:rsidRPr="00C57672">
              <w:rPr>
                <w:rStyle w:val="Hyperlink"/>
                <w:noProof/>
              </w:rPr>
              <w:t>7.2 Species Mass Balances</w:t>
            </w:r>
            <w:r>
              <w:rPr>
                <w:noProof/>
                <w:webHidden/>
              </w:rPr>
              <w:tab/>
            </w:r>
            <w:r>
              <w:rPr>
                <w:noProof/>
                <w:webHidden/>
              </w:rPr>
              <w:fldChar w:fldCharType="begin"/>
            </w:r>
            <w:r>
              <w:rPr>
                <w:noProof/>
                <w:webHidden/>
              </w:rPr>
              <w:instrText xml:space="preserve"> PAGEREF _Toc231232904 \h </w:instrText>
            </w:r>
            <w:r>
              <w:rPr>
                <w:noProof/>
                <w:webHidden/>
              </w:rPr>
            </w:r>
            <w:r>
              <w:rPr>
                <w:noProof/>
                <w:webHidden/>
              </w:rPr>
              <w:fldChar w:fldCharType="separate"/>
            </w:r>
            <w:r>
              <w:rPr>
                <w:noProof/>
                <w:webHidden/>
              </w:rPr>
              <w:t>29</w:t>
            </w:r>
            <w:r>
              <w:rPr>
                <w:noProof/>
                <w:webHidden/>
              </w:rPr>
              <w:fldChar w:fldCharType="end"/>
            </w:r>
          </w:hyperlink>
        </w:p>
        <w:p w14:paraId="052F2769" w14:textId="7462AC2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5" w:history="1">
            <w:r w:rsidRPr="00C57672">
              <w:rPr>
                <w:rStyle w:val="Hyperlink"/>
                <w:noProof/>
              </w:rPr>
              <w:t>7.3 Gas Equation of State</w:t>
            </w:r>
            <w:r>
              <w:rPr>
                <w:noProof/>
                <w:webHidden/>
              </w:rPr>
              <w:tab/>
            </w:r>
            <w:r>
              <w:rPr>
                <w:noProof/>
                <w:webHidden/>
              </w:rPr>
              <w:fldChar w:fldCharType="begin"/>
            </w:r>
            <w:r>
              <w:rPr>
                <w:noProof/>
                <w:webHidden/>
              </w:rPr>
              <w:instrText xml:space="preserve"> PAGEREF _Toc231232905 \h </w:instrText>
            </w:r>
            <w:r>
              <w:rPr>
                <w:noProof/>
                <w:webHidden/>
              </w:rPr>
            </w:r>
            <w:r>
              <w:rPr>
                <w:noProof/>
                <w:webHidden/>
              </w:rPr>
              <w:fldChar w:fldCharType="separate"/>
            </w:r>
            <w:r>
              <w:rPr>
                <w:noProof/>
                <w:webHidden/>
              </w:rPr>
              <w:t>29</w:t>
            </w:r>
            <w:r>
              <w:rPr>
                <w:noProof/>
                <w:webHidden/>
              </w:rPr>
              <w:fldChar w:fldCharType="end"/>
            </w:r>
          </w:hyperlink>
        </w:p>
        <w:p w14:paraId="7D078959" w14:textId="36E39F6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6" w:history="1">
            <w:r w:rsidRPr="00C57672">
              <w:rPr>
                <w:rStyle w:val="Hyperlink"/>
                <w:noProof/>
              </w:rPr>
              <w:t>7.4 Containment Gas Energy Balance</w:t>
            </w:r>
            <w:r>
              <w:rPr>
                <w:noProof/>
                <w:webHidden/>
              </w:rPr>
              <w:tab/>
            </w:r>
            <w:r>
              <w:rPr>
                <w:noProof/>
                <w:webHidden/>
              </w:rPr>
              <w:fldChar w:fldCharType="begin"/>
            </w:r>
            <w:r>
              <w:rPr>
                <w:noProof/>
                <w:webHidden/>
              </w:rPr>
              <w:instrText xml:space="preserve"> PAGEREF _Toc231232906 \h </w:instrText>
            </w:r>
            <w:r>
              <w:rPr>
                <w:noProof/>
                <w:webHidden/>
              </w:rPr>
            </w:r>
            <w:r>
              <w:rPr>
                <w:noProof/>
                <w:webHidden/>
              </w:rPr>
              <w:fldChar w:fldCharType="separate"/>
            </w:r>
            <w:r>
              <w:rPr>
                <w:noProof/>
                <w:webHidden/>
              </w:rPr>
              <w:t>29</w:t>
            </w:r>
            <w:r>
              <w:rPr>
                <w:noProof/>
                <w:webHidden/>
              </w:rPr>
              <w:fldChar w:fldCharType="end"/>
            </w:r>
          </w:hyperlink>
        </w:p>
        <w:p w14:paraId="252D053F" w14:textId="57C7A99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7" w:history="1">
            <w:r w:rsidRPr="00C57672">
              <w:rPr>
                <w:rStyle w:val="Hyperlink"/>
                <w:noProof/>
              </w:rPr>
              <w:t>7.5 Wall, Condensation, Spray, and Sump Cooling</w:t>
            </w:r>
            <w:r>
              <w:rPr>
                <w:noProof/>
                <w:webHidden/>
              </w:rPr>
              <w:tab/>
            </w:r>
            <w:r>
              <w:rPr>
                <w:noProof/>
                <w:webHidden/>
              </w:rPr>
              <w:fldChar w:fldCharType="begin"/>
            </w:r>
            <w:r>
              <w:rPr>
                <w:noProof/>
                <w:webHidden/>
              </w:rPr>
              <w:instrText xml:space="preserve"> PAGEREF _Toc231232907 \h </w:instrText>
            </w:r>
            <w:r>
              <w:rPr>
                <w:noProof/>
                <w:webHidden/>
              </w:rPr>
            </w:r>
            <w:r>
              <w:rPr>
                <w:noProof/>
                <w:webHidden/>
              </w:rPr>
              <w:fldChar w:fldCharType="separate"/>
            </w:r>
            <w:r>
              <w:rPr>
                <w:noProof/>
                <w:webHidden/>
              </w:rPr>
              <w:t>30</w:t>
            </w:r>
            <w:r>
              <w:rPr>
                <w:noProof/>
                <w:webHidden/>
              </w:rPr>
              <w:fldChar w:fldCharType="end"/>
            </w:r>
          </w:hyperlink>
        </w:p>
        <w:p w14:paraId="4B2EFEF4" w14:textId="02B5743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08" w:history="1">
            <w:r w:rsidRPr="00C57672">
              <w:rPr>
                <w:rStyle w:val="Hyperlink"/>
                <w:noProof/>
              </w:rPr>
              <w:t>7.6 Hydrogen Flammability Status and Coupling Limitation</w:t>
            </w:r>
            <w:r>
              <w:rPr>
                <w:noProof/>
                <w:webHidden/>
              </w:rPr>
              <w:tab/>
            </w:r>
            <w:r>
              <w:rPr>
                <w:noProof/>
                <w:webHidden/>
              </w:rPr>
              <w:fldChar w:fldCharType="begin"/>
            </w:r>
            <w:r>
              <w:rPr>
                <w:noProof/>
                <w:webHidden/>
              </w:rPr>
              <w:instrText xml:space="preserve"> PAGEREF _Toc231232908 \h </w:instrText>
            </w:r>
            <w:r>
              <w:rPr>
                <w:noProof/>
                <w:webHidden/>
              </w:rPr>
            </w:r>
            <w:r>
              <w:rPr>
                <w:noProof/>
                <w:webHidden/>
              </w:rPr>
              <w:fldChar w:fldCharType="separate"/>
            </w:r>
            <w:r>
              <w:rPr>
                <w:noProof/>
                <w:webHidden/>
              </w:rPr>
              <w:t>30</w:t>
            </w:r>
            <w:r>
              <w:rPr>
                <w:noProof/>
                <w:webHidden/>
              </w:rPr>
              <w:fldChar w:fldCharType="end"/>
            </w:r>
          </w:hyperlink>
        </w:p>
        <w:p w14:paraId="64F7B1E7" w14:textId="0BDBC277"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09" w:history="1">
            <w:r w:rsidRPr="00C57672">
              <w:rPr>
                <w:rStyle w:val="Hyperlink"/>
                <w:noProof/>
              </w:rPr>
              <w:t>Chapter 8 — Uncertainty Analysis</w:t>
            </w:r>
            <w:r>
              <w:rPr>
                <w:noProof/>
                <w:webHidden/>
              </w:rPr>
              <w:tab/>
            </w:r>
            <w:r>
              <w:rPr>
                <w:noProof/>
                <w:webHidden/>
              </w:rPr>
              <w:fldChar w:fldCharType="begin"/>
            </w:r>
            <w:r>
              <w:rPr>
                <w:noProof/>
                <w:webHidden/>
              </w:rPr>
              <w:instrText xml:space="preserve"> PAGEREF _Toc231232909 \h </w:instrText>
            </w:r>
            <w:r>
              <w:rPr>
                <w:noProof/>
                <w:webHidden/>
              </w:rPr>
            </w:r>
            <w:r>
              <w:rPr>
                <w:noProof/>
                <w:webHidden/>
              </w:rPr>
              <w:fldChar w:fldCharType="separate"/>
            </w:r>
            <w:r>
              <w:rPr>
                <w:noProof/>
                <w:webHidden/>
              </w:rPr>
              <w:t>31</w:t>
            </w:r>
            <w:r>
              <w:rPr>
                <w:noProof/>
                <w:webHidden/>
              </w:rPr>
              <w:fldChar w:fldCharType="end"/>
            </w:r>
          </w:hyperlink>
        </w:p>
        <w:p w14:paraId="0D70CDE7" w14:textId="4A3CC38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0" w:history="1">
            <w:r w:rsidRPr="00C57672">
              <w:rPr>
                <w:rStyle w:val="Hyperlink"/>
                <w:noProof/>
              </w:rPr>
              <w:t>8.1 Role of Uncertainty Analysis in FLARE</w:t>
            </w:r>
            <w:r>
              <w:rPr>
                <w:noProof/>
                <w:webHidden/>
              </w:rPr>
              <w:tab/>
            </w:r>
            <w:r>
              <w:rPr>
                <w:noProof/>
                <w:webHidden/>
              </w:rPr>
              <w:fldChar w:fldCharType="begin"/>
            </w:r>
            <w:r>
              <w:rPr>
                <w:noProof/>
                <w:webHidden/>
              </w:rPr>
              <w:instrText xml:space="preserve"> PAGEREF _Toc231232910 \h </w:instrText>
            </w:r>
            <w:r>
              <w:rPr>
                <w:noProof/>
                <w:webHidden/>
              </w:rPr>
            </w:r>
            <w:r>
              <w:rPr>
                <w:noProof/>
                <w:webHidden/>
              </w:rPr>
              <w:fldChar w:fldCharType="separate"/>
            </w:r>
            <w:r>
              <w:rPr>
                <w:noProof/>
                <w:webHidden/>
              </w:rPr>
              <w:t>31</w:t>
            </w:r>
            <w:r>
              <w:rPr>
                <w:noProof/>
                <w:webHidden/>
              </w:rPr>
              <w:fldChar w:fldCharType="end"/>
            </w:r>
          </w:hyperlink>
        </w:p>
        <w:p w14:paraId="3B97C85F" w14:textId="1A3CF9B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1" w:history="1">
            <w:r w:rsidRPr="00C57672">
              <w:rPr>
                <w:rStyle w:val="Hyperlink"/>
                <w:noProof/>
              </w:rPr>
              <w:t>8.2 Sampling of Input Uncertainties</w:t>
            </w:r>
            <w:r>
              <w:rPr>
                <w:noProof/>
                <w:webHidden/>
              </w:rPr>
              <w:tab/>
            </w:r>
            <w:r>
              <w:rPr>
                <w:noProof/>
                <w:webHidden/>
              </w:rPr>
              <w:fldChar w:fldCharType="begin"/>
            </w:r>
            <w:r>
              <w:rPr>
                <w:noProof/>
                <w:webHidden/>
              </w:rPr>
              <w:instrText xml:space="preserve"> PAGEREF _Toc231232911 \h </w:instrText>
            </w:r>
            <w:r>
              <w:rPr>
                <w:noProof/>
                <w:webHidden/>
              </w:rPr>
            </w:r>
            <w:r>
              <w:rPr>
                <w:noProof/>
                <w:webHidden/>
              </w:rPr>
              <w:fldChar w:fldCharType="separate"/>
            </w:r>
            <w:r>
              <w:rPr>
                <w:noProof/>
                <w:webHidden/>
              </w:rPr>
              <w:t>32</w:t>
            </w:r>
            <w:r>
              <w:rPr>
                <w:noProof/>
                <w:webHidden/>
              </w:rPr>
              <w:fldChar w:fldCharType="end"/>
            </w:r>
          </w:hyperlink>
        </w:p>
        <w:p w14:paraId="48EEB9DB" w14:textId="777A3DE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2" w:history="1">
            <w:r w:rsidRPr="00C57672">
              <w:rPr>
                <w:rStyle w:val="Hyperlink"/>
                <w:noProof/>
              </w:rPr>
              <w:t>8.3 Order Statistics and the One-Sided Tolerance Limit</w:t>
            </w:r>
            <w:r>
              <w:rPr>
                <w:noProof/>
                <w:webHidden/>
              </w:rPr>
              <w:tab/>
            </w:r>
            <w:r>
              <w:rPr>
                <w:noProof/>
                <w:webHidden/>
              </w:rPr>
              <w:fldChar w:fldCharType="begin"/>
            </w:r>
            <w:r>
              <w:rPr>
                <w:noProof/>
                <w:webHidden/>
              </w:rPr>
              <w:instrText xml:space="preserve"> PAGEREF _Toc231232912 \h </w:instrText>
            </w:r>
            <w:r>
              <w:rPr>
                <w:noProof/>
                <w:webHidden/>
              </w:rPr>
            </w:r>
            <w:r>
              <w:rPr>
                <w:noProof/>
                <w:webHidden/>
              </w:rPr>
              <w:fldChar w:fldCharType="separate"/>
            </w:r>
            <w:r>
              <w:rPr>
                <w:noProof/>
                <w:webHidden/>
              </w:rPr>
              <w:t>32</w:t>
            </w:r>
            <w:r>
              <w:rPr>
                <w:noProof/>
                <w:webHidden/>
              </w:rPr>
              <w:fldChar w:fldCharType="end"/>
            </w:r>
          </w:hyperlink>
        </w:p>
        <w:p w14:paraId="095CDC21" w14:textId="07CA1FC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3" w:history="1">
            <w:r w:rsidRPr="00C57672">
              <w:rPr>
                <w:rStyle w:val="Hyperlink"/>
                <w:noProof/>
              </w:rPr>
              <w:t>8.4 First-Order Wilks Formula</w:t>
            </w:r>
            <w:r>
              <w:rPr>
                <w:noProof/>
                <w:webHidden/>
              </w:rPr>
              <w:tab/>
            </w:r>
            <w:r>
              <w:rPr>
                <w:noProof/>
                <w:webHidden/>
              </w:rPr>
              <w:fldChar w:fldCharType="begin"/>
            </w:r>
            <w:r>
              <w:rPr>
                <w:noProof/>
                <w:webHidden/>
              </w:rPr>
              <w:instrText xml:space="preserve"> PAGEREF _Toc231232913 \h </w:instrText>
            </w:r>
            <w:r>
              <w:rPr>
                <w:noProof/>
                <w:webHidden/>
              </w:rPr>
            </w:r>
            <w:r>
              <w:rPr>
                <w:noProof/>
                <w:webHidden/>
              </w:rPr>
              <w:fldChar w:fldCharType="separate"/>
            </w:r>
            <w:r>
              <w:rPr>
                <w:noProof/>
                <w:webHidden/>
              </w:rPr>
              <w:t>33</w:t>
            </w:r>
            <w:r>
              <w:rPr>
                <w:noProof/>
                <w:webHidden/>
              </w:rPr>
              <w:fldChar w:fldCharType="end"/>
            </w:r>
          </w:hyperlink>
        </w:p>
        <w:p w14:paraId="4A75A219" w14:textId="685C592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4" w:history="1">
            <w:r w:rsidRPr="00C57672">
              <w:rPr>
                <w:rStyle w:val="Hyperlink"/>
                <w:noProof/>
              </w:rPr>
              <w:t>8.5 Higher-Order Wilks Estimates</w:t>
            </w:r>
            <w:r>
              <w:rPr>
                <w:noProof/>
                <w:webHidden/>
              </w:rPr>
              <w:tab/>
            </w:r>
            <w:r>
              <w:rPr>
                <w:noProof/>
                <w:webHidden/>
              </w:rPr>
              <w:fldChar w:fldCharType="begin"/>
            </w:r>
            <w:r>
              <w:rPr>
                <w:noProof/>
                <w:webHidden/>
              </w:rPr>
              <w:instrText xml:space="preserve"> PAGEREF _Toc231232914 \h </w:instrText>
            </w:r>
            <w:r>
              <w:rPr>
                <w:noProof/>
                <w:webHidden/>
              </w:rPr>
            </w:r>
            <w:r>
              <w:rPr>
                <w:noProof/>
                <w:webHidden/>
              </w:rPr>
              <w:fldChar w:fldCharType="separate"/>
            </w:r>
            <w:r>
              <w:rPr>
                <w:noProof/>
                <w:webHidden/>
              </w:rPr>
              <w:t>33</w:t>
            </w:r>
            <w:r>
              <w:rPr>
                <w:noProof/>
                <w:webHidden/>
              </w:rPr>
              <w:fldChar w:fldCharType="end"/>
            </w:r>
          </w:hyperlink>
        </w:p>
        <w:p w14:paraId="1DD87732" w14:textId="5E01E73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5" w:history="1">
            <w:r w:rsidRPr="00C57672">
              <w:rPr>
                <w:rStyle w:val="Hyperlink"/>
                <w:noProof/>
              </w:rPr>
              <w:t>8.6 Acceptance Criteria Versus Tolerance Limits</w:t>
            </w:r>
            <w:r>
              <w:rPr>
                <w:noProof/>
                <w:webHidden/>
              </w:rPr>
              <w:tab/>
            </w:r>
            <w:r>
              <w:rPr>
                <w:noProof/>
                <w:webHidden/>
              </w:rPr>
              <w:fldChar w:fldCharType="begin"/>
            </w:r>
            <w:r>
              <w:rPr>
                <w:noProof/>
                <w:webHidden/>
              </w:rPr>
              <w:instrText xml:space="preserve"> PAGEREF _Toc231232915 \h </w:instrText>
            </w:r>
            <w:r>
              <w:rPr>
                <w:noProof/>
                <w:webHidden/>
              </w:rPr>
            </w:r>
            <w:r>
              <w:rPr>
                <w:noProof/>
                <w:webHidden/>
              </w:rPr>
              <w:fldChar w:fldCharType="separate"/>
            </w:r>
            <w:r>
              <w:rPr>
                <w:noProof/>
                <w:webHidden/>
              </w:rPr>
              <w:t>34</w:t>
            </w:r>
            <w:r>
              <w:rPr>
                <w:noProof/>
                <w:webHidden/>
              </w:rPr>
              <w:fldChar w:fldCharType="end"/>
            </w:r>
          </w:hyperlink>
        </w:p>
        <w:p w14:paraId="1461720A" w14:textId="3B956C1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6" w:history="1">
            <w:r w:rsidRPr="00C57672">
              <w:rPr>
                <w:rStyle w:val="Hyperlink"/>
                <w:noProof/>
              </w:rPr>
              <w:t>8.7 Testing Method for Fixed Acceptance Limits</w:t>
            </w:r>
            <w:r>
              <w:rPr>
                <w:noProof/>
                <w:webHidden/>
              </w:rPr>
              <w:tab/>
            </w:r>
            <w:r>
              <w:rPr>
                <w:noProof/>
                <w:webHidden/>
              </w:rPr>
              <w:fldChar w:fldCharType="begin"/>
            </w:r>
            <w:r>
              <w:rPr>
                <w:noProof/>
                <w:webHidden/>
              </w:rPr>
              <w:instrText xml:space="preserve"> PAGEREF _Toc231232916 \h </w:instrText>
            </w:r>
            <w:r>
              <w:rPr>
                <w:noProof/>
                <w:webHidden/>
              </w:rPr>
            </w:r>
            <w:r>
              <w:rPr>
                <w:noProof/>
                <w:webHidden/>
              </w:rPr>
              <w:fldChar w:fldCharType="separate"/>
            </w:r>
            <w:r>
              <w:rPr>
                <w:noProof/>
                <w:webHidden/>
              </w:rPr>
              <w:t>34</w:t>
            </w:r>
            <w:r>
              <w:rPr>
                <w:noProof/>
                <w:webHidden/>
              </w:rPr>
              <w:fldChar w:fldCharType="end"/>
            </w:r>
          </w:hyperlink>
        </w:p>
        <w:p w14:paraId="796097EF" w14:textId="16DD507E"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7" w:history="1">
            <w:r w:rsidRPr="00C57672">
              <w:rPr>
                <w:rStyle w:val="Hyperlink"/>
                <w:noProof/>
              </w:rPr>
              <w:t>8.8 FLARE Implementation and Reporting</w:t>
            </w:r>
            <w:r>
              <w:rPr>
                <w:noProof/>
                <w:webHidden/>
              </w:rPr>
              <w:tab/>
            </w:r>
            <w:r>
              <w:rPr>
                <w:noProof/>
                <w:webHidden/>
              </w:rPr>
              <w:fldChar w:fldCharType="begin"/>
            </w:r>
            <w:r>
              <w:rPr>
                <w:noProof/>
                <w:webHidden/>
              </w:rPr>
              <w:instrText xml:space="preserve"> PAGEREF _Toc231232917 \h </w:instrText>
            </w:r>
            <w:r>
              <w:rPr>
                <w:noProof/>
                <w:webHidden/>
              </w:rPr>
            </w:r>
            <w:r>
              <w:rPr>
                <w:noProof/>
                <w:webHidden/>
              </w:rPr>
              <w:fldChar w:fldCharType="separate"/>
            </w:r>
            <w:r>
              <w:rPr>
                <w:noProof/>
                <w:webHidden/>
              </w:rPr>
              <w:t>35</w:t>
            </w:r>
            <w:r>
              <w:rPr>
                <w:noProof/>
                <w:webHidden/>
              </w:rPr>
              <w:fldChar w:fldCharType="end"/>
            </w:r>
          </w:hyperlink>
        </w:p>
        <w:p w14:paraId="09B1B5C5" w14:textId="2D6A5AF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18" w:history="1">
            <w:r w:rsidRPr="00C57672">
              <w:rPr>
                <w:rStyle w:val="Hyperlink"/>
                <w:noProof/>
              </w:rPr>
              <w:t>8.9 Interpretation and Limitations</w:t>
            </w:r>
            <w:r>
              <w:rPr>
                <w:noProof/>
                <w:webHidden/>
              </w:rPr>
              <w:tab/>
            </w:r>
            <w:r>
              <w:rPr>
                <w:noProof/>
                <w:webHidden/>
              </w:rPr>
              <w:fldChar w:fldCharType="begin"/>
            </w:r>
            <w:r>
              <w:rPr>
                <w:noProof/>
                <w:webHidden/>
              </w:rPr>
              <w:instrText xml:space="preserve"> PAGEREF _Toc231232918 \h </w:instrText>
            </w:r>
            <w:r>
              <w:rPr>
                <w:noProof/>
                <w:webHidden/>
              </w:rPr>
            </w:r>
            <w:r>
              <w:rPr>
                <w:noProof/>
                <w:webHidden/>
              </w:rPr>
              <w:fldChar w:fldCharType="separate"/>
            </w:r>
            <w:r>
              <w:rPr>
                <w:noProof/>
                <w:webHidden/>
              </w:rPr>
              <w:t>35</w:t>
            </w:r>
            <w:r>
              <w:rPr>
                <w:noProof/>
                <w:webHidden/>
              </w:rPr>
              <w:fldChar w:fldCharType="end"/>
            </w:r>
          </w:hyperlink>
        </w:p>
        <w:p w14:paraId="0197097B" w14:textId="29A0F43B"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19" w:history="1">
            <w:r w:rsidRPr="00C57672">
              <w:rPr>
                <w:rStyle w:val="Hyperlink"/>
                <w:noProof/>
              </w:rPr>
              <w:t>Chapter 9 — Source-Term and Radiological Dose Models: NOTBADTRAD</w:t>
            </w:r>
            <w:r>
              <w:rPr>
                <w:noProof/>
                <w:webHidden/>
              </w:rPr>
              <w:tab/>
            </w:r>
            <w:r>
              <w:rPr>
                <w:noProof/>
                <w:webHidden/>
              </w:rPr>
              <w:fldChar w:fldCharType="begin"/>
            </w:r>
            <w:r>
              <w:rPr>
                <w:noProof/>
                <w:webHidden/>
              </w:rPr>
              <w:instrText xml:space="preserve"> PAGEREF _Toc231232919 \h </w:instrText>
            </w:r>
            <w:r>
              <w:rPr>
                <w:noProof/>
                <w:webHidden/>
              </w:rPr>
            </w:r>
            <w:r>
              <w:rPr>
                <w:noProof/>
                <w:webHidden/>
              </w:rPr>
              <w:fldChar w:fldCharType="separate"/>
            </w:r>
            <w:r>
              <w:rPr>
                <w:noProof/>
                <w:webHidden/>
              </w:rPr>
              <w:t>36</w:t>
            </w:r>
            <w:r>
              <w:rPr>
                <w:noProof/>
                <w:webHidden/>
              </w:rPr>
              <w:fldChar w:fldCharType="end"/>
            </w:r>
          </w:hyperlink>
        </w:p>
        <w:p w14:paraId="1A536F08" w14:textId="361EDA0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0" w:history="1">
            <w:r w:rsidRPr="00C57672">
              <w:rPr>
                <w:rStyle w:val="Hyperlink"/>
                <w:noProof/>
              </w:rPr>
              <w:t>9.1 Purpose and Scope</w:t>
            </w:r>
            <w:r>
              <w:rPr>
                <w:noProof/>
                <w:webHidden/>
              </w:rPr>
              <w:tab/>
            </w:r>
            <w:r>
              <w:rPr>
                <w:noProof/>
                <w:webHidden/>
              </w:rPr>
              <w:fldChar w:fldCharType="begin"/>
            </w:r>
            <w:r>
              <w:rPr>
                <w:noProof/>
                <w:webHidden/>
              </w:rPr>
              <w:instrText xml:space="preserve"> PAGEREF _Toc231232920 \h </w:instrText>
            </w:r>
            <w:r>
              <w:rPr>
                <w:noProof/>
                <w:webHidden/>
              </w:rPr>
            </w:r>
            <w:r>
              <w:rPr>
                <w:noProof/>
                <w:webHidden/>
              </w:rPr>
              <w:fldChar w:fldCharType="separate"/>
            </w:r>
            <w:r>
              <w:rPr>
                <w:noProof/>
                <w:webHidden/>
              </w:rPr>
              <w:t>36</w:t>
            </w:r>
            <w:r>
              <w:rPr>
                <w:noProof/>
                <w:webHidden/>
              </w:rPr>
              <w:fldChar w:fldCharType="end"/>
            </w:r>
          </w:hyperlink>
        </w:p>
        <w:p w14:paraId="0DD733FE" w14:textId="46C8144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1" w:history="1">
            <w:r w:rsidRPr="00C57672">
              <w:rPr>
                <w:rStyle w:val="Hyperlink"/>
                <w:noProof/>
              </w:rPr>
              <w:t>9.2 Relationship to RADTRAD and Similar Codes</w:t>
            </w:r>
            <w:r>
              <w:rPr>
                <w:noProof/>
                <w:webHidden/>
              </w:rPr>
              <w:tab/>
            </w:r>
            <w:r>
              <w:rPr>
                <w:noProof/>
                <w:webHidden/>
              </w:rPr>
              <w:fldChar w:fldCharType="begin"/>
            </w:r>
            <w:r>
              <w:rPr>
                <w:noProof/>
                <w:webHidden/>
              </w:rPr>
              <w:instrText xml:space="preserve"> PAGEREF _Toc231232921 \h </w:instrText>
            </w:r>
            <w:r>
              <w:rPr>
                <w:noProof/>
                <w:webHidden/>
              </w:rPr>
            </w:r>
            <w:r>
              <w:rPr>
                <w:noProof/>
                <w:webHidden/>
              </w:rPr>
              <w:fldChar w:fldCharType="separate"/>
            </w:r>
            <w:r>
              <w:rPr>
                <w:noProof/>
                <w:webHidden/>
              </w:rPr>
              <w:t>36</w:t>
            </w:r>
            <w:r>
              <w:rPr>
                <w:noProof/>
                <w:webHidden/>
              </w:rPr>
              <w:fldChar w:fldCharType="end"/>
            </w:r>
          </w:hyperlink>
        </w:p>
        <w:p w14:paraId="13F24B17" w14:textId="1BBFA12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2" w:history="1">
            <w:r w:rsidRPr="00C57672">
              <w:rPr>
                <w:rStyle w:val="Hyperlink"/>
                <w:noProof/>
              </w:rPr>
              <w:t>9.3 Reduced Radionuclide Group Structure</w:t>
            </w:r>
            <w:r>
              <w:rPr>
                <w:noProof/>
                <w:webHidden/>
              </w:rPr>
              <w:tab/>
            </w:r>
            <w:r>
              <w:rPr>
                <w:noProof/>
                <w:webHidden/>
              </w:rPr>
              <w:fldChar w:fldCharType="begin"/>
            </w:r>
            <w:r>
              <w:rPr>
                <w:noProof/>
                <w:webHidden/>
              </w:rPr>
              <w:instrText xml:space="preserve"> PAGEREF _Toc231232922 \h </w:instrText>
            </w:r>
            <w:r>
              <w:rPr>
                <w:noProof/>
                <w:webHidden/>
              </w:rPr>
            </w:r>
            <w:r>
              <w:rPr>
                <w:noProof/>
                <w:webHidden/>
              </w:rPr>
              <w:fldChar w:fldCharType="separate"/>
            </w:r>
            <w:r>
              <w:rPr>
                <w:noProof/>
                <w:webHidden/>
              </w:rPr>
              <w:t>37</w:t>
            </w:r>
            <w:r>
              <w:rPr>
                <w:noProof/>
                <w:webHidden/>
              </w:rPr>
              <w:fldChar w:fldCharType="end"/>
            </w:r>
          </w:hyperlink>
        </w:p>
        <w:p w14:paraId="513768D7" w14:textId="6DAEEB0F"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3" w:history="1">
            <w:r w:rsidRPr="00C57672">
              <w:rPr>
                <w:rStyle w:val="Hyperlink"/>
                <w:noProof/>
              </w:rPr>
              <w:t>9.4 Release-Fraction Library and Source-Term Options</w:t>
            </w:r>
            <w:r>
              <w:rPr>
                <w:noProof/>
                <w:webHidden/>
              </w:rPr>
              <w:tab/>
            </w:r>
            <w:r>
              <w:rPr>
                <w:noProof/>
                <w:webHidden/>
              </w:rPr>
              <w:fldChar w:fldCharType="begin"/>
            </w:r>
            <w:r>
              <w:rPr>
                <w:noProof/>
                <w:webHidden/>
              </w:rPr>
              <w:instrText xml:space="preserve"> PAGEREF _Toc231232923 \h </w:instrText>
            </w:r>
            <w:r>
              <w:rPr>
                <w:noProof/>
                <w:webHidden/>
              </w:rPr>
            </w:r>
            <w:r>
              <w:rPr>
                <w:noProof/>
                <w:webHidden/>
              </w:rPr>
              <w:fldChar w:fldCharType="separate"/>
            </w:r>
            <w:r>
              <w:rPr>
                <w:noProof/>
                <w:webHidden/>
              </w:rPr>
              <w:t>37</w:t>
            </w:r>
            <w:r>
              <w:rPr>
                <w:noProof/>
                <w:webHidden/>
              </w:rPr>
              <w:fldChar w:fldCharType="end"/>
            </w:r>
          </w:hyperlink>
        </w:p>
        <w:p w14:paraId="55BDDA21" w14:textId="49EABDE6"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4" w:history="1">
            <w:r w:rsidRPr="00C57672">
              <w:rPr>
                <w:rStyle w:val="Hyperlink"/>
                <w:noProof/>
              </w:rPr>
              <w:t>9.5 DBA Release Fractions Based on RG 1.183 and NUREG-1465</w:t>
            </w:r>
            <w:r>
              <w:rPr>
                <w:noProof/>
                <w:webHidden/>
              </w:rPr>
              <w:tab/>
            </w:r>
            <w:r>
              <w:rPr>
                <w:noProof/>
                <w:webHidden/>
              </w:rPr>
              <w:fldChar w:fldCharType="begin"/>
            </w:r>
            <w:r>
              <w:rPr>
                <w:noProof/>
                <w:webHidden/>
              </w:rPr>
              <w:instrText xml:space="preserve"> PAGEREF _Toc231232924 \h </w:instrText>
            </w:r>
            <w:r>
              <w:rPr>
                <w:noProof/>
                <w:webHidden/>
              </w:rPr>
            </w:r>
            <w:r>
              <w:rPr>
                <w:noProof/>
                <w:webHidden/>
              </w:rPr>
              <w:fldChar w:fldCharType="separate"/>
            </w:r>
            <w:r>
              <w:rPr>
                <w:noProof/>
                <w:webHidden/>
              </w:rPr>
              <w:t>38</w:t>
            </w:r>
            <w:r>
              <w:rPr>
                <w:noProof/>
                <w:webHidden/>
              </w:rPr>
              <w:fldChar w:fldCharType="end"/>
            </w:r>
          </w:hyperlink>
        </w:p>
        <w:p w14:paraId="6F661A39" w14:textId="59AB779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5" w:history="1">
            <w:r w:rsidRPr="00C57672">
              <w:rPr>
                <w:rStyle w:val="Hyperlink"/>
                <w:noProof/>
              </w:rPr>
              <w:t>9.6 Severe Core-Melt Release Fractions Used in FLARE</w:t>
            </w:r>
            <w:r>
              <w:rPr>
                <w:noProof/>
                <w:webHidden/>
              </w:rPr>
              <w:tab/>
            </w:r>
            <w:r>
              <w:rPr>
                <w:noProof/>
                <w:webHidden/>
              </w:rPr>
              <w:fldChar w:fldCharType="begin"/>
            </w:r>
            <w:r>
              <w:rPr>
                <w:noProof/>
                <w:webHidden/>
              </w:rPr>
              <w:instrText xml:space="preserve"> PAGEREF _Toc231232925 \h </w:instrText>
            </w:r>
            <w:r>
              <w:rPr>
                <w:noProof/>
                <w:webHidden/>
              </w:rPr>
            </w:r>
            <w:r>
              <w:rPr>
                <w:noProof/>
                <w:webHidden/>
              </w:rPr>
              <w:fldChar w:fldCharType="separate"/>
            </w:r>
            <w:r>
              <w:rPr>
                <w:noProof/>
                <w:webHidden/>
              </w:rPr>
              <w:t>39</w:t>
            </w:r>
            <w:r>
              <w:rPr>
                <w:noProof/>
                <w:webHidden/>
              </w:rPr>
              <w:fldChar w:fldCharType="end"/>
            </w:r>
          </w:hyperlink>
        </w:p>
        <w:p w14:paraId="3B08EEAC" w14:textId="5BF95C9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6" w:history="1">
            <w:r w:rsidRPr="00C57672">
              <w:rPr>
                <w:rStyle w:val="Hyperlink"/>
                <w:noProof/>
              </w:rPr>
              <w:t>9.7 Time-Dependent Release Shape</w:t>
            </w:r>
            <w:r>
              <w:rPr>
                <w:noProof/>
                <w:webHidden/>
              </w:rPr>
              <w:tab/>
            </w:r>
            <w:r>
              <w:rPr>
                <w:noProof/>
                <w:webHidden/>
              </w:rPr>
              <w:fldChar w:fldCharType="begin"/>
            </w:r>
            <w:r>
              <w:rPr>
                <w:noProof/>
                <w:webHidden/>
              </w:rPr>
              <w:instrText xml:space="preserve"> PAGEREF _Toc231232926 \h </w:instrText>
            </w:r>
            <w:r>
              <w:rPr>
                <w:noProof/>
                <w:webHidden/>
              </w:rPr>
            </w:r>
            <w:r>
              <w:rPr>
                <w:noProof/>
                <w:webHidden/>
              </w:rPr>
              <w:fldChar w:fldCharType="separate"/>
            </w:r>
            <w:r>
              <w:rPr>
                <w:noProof/>
                <w:webHidden/>
              </w:rPr>
              <w:t>40</w:t>
            </w:r>
            <w:r>
              <w:rPr>
                <w:noProof/>
                <w:webHidden/>
              </w:rPr>
              <w:fldChar w:fldCharType="end"/>
            </w:r>
          </w:hyperlink>
        </w:p>
        <w:p w14:paraId="60B920F6" w14:textId="44F22DF4"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7" w:history="1">
            <w:r w:rsidRPr="00C57672">
              <w:rPr>
                <w:rStyle w:val="Hyperlink"/>
                <w:noProof/>
              </w:rPr>
              <w:t>9.8 Single-Compartment Transport and Removal</w:t>
            </w:r>
            <w:r>
              <w:rPr>
                <w:noProof/>
                <w:webHidden/>
              </w:rPr>
              <w:tab/>
            </w:r>
            <w:r>
              <w:rPr>
                <w:noProof/>
                <w:webHidden/>
              </w:rPr>
              <w:fldChar w:fldCharType="begin"/>
            </w:r>
            <w:r>
              <w:rPr>
                <w:noProof/>
                <w:webHidden/>
              </w:rPr>
              <w:instrText xml:space="preserve"> PAGEREF _Toc231232927 \h </w:instrText>
            </w:r>
            <w:r>
              <w:rPr>
                <w:noProof/>
                <w:webHidden/>
              </w:rPr>
            </w:r>
            <w:r>
              <w:rPr>
                <w:noProof/>
                <w:webHidden/>
              </w:rPr>
              <w:fldChar w:fldCharType="separate"/>
            </w:r>
            <w:r>
              <w:rPr>
                <w:noProof/>
                <w:webHidden/>
              </w:rPr>
              <w:t>41</w:t>
            </w:r>
            <w:r>
              <w:rPr>
                <w:noProof/>
                <w:webHidden/>
              </w:rPr>
              <w:fldChar w:fldCharType="end"/>
            </w:r>
          </w:hyperlink>
        </w:p>
        <w:p w14:paraId="39326D76" w14:textId="50640BE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8" w:history="1">
            <w:r w:rsidRPr="00C57672">
              <w:rPr>
                <w:rStyle w:val="Hyperlink"/>
                <w:noProof/>
              </w:rPr>
              <w:t>9.9 Atmospheric Dispersion Model</w:t>
            </w:r>
            <w:r>
              <w:rPr>
                <w:noProof/>
                <w:webHidden/>
              </w:rPr>
              <w:tab/>
            </w:r>
            <w:r>
              <w:rPr>
                <w:noProof/>
                <w:webHidden/>
              </w:rPr>
              <w:fldChar w:fldCharType="begin"/>
            </w:r>
            <w:r>
              <w:rPr>
                <w:noProof/>
                <w:webHidden/>
              </w:rPr>
              <w:instrText xml:space="preserve"> PAGEREF _Toc231232928 \h </w:instrText>
            </w:r>
            <w:r>
              <w:rPr>
                <w:noProof/>
                <w:webHidden/>
              </w:rPr>
            </w:r>
            <w:r>
              <w:rPr>
                <w:noProof/>
                <w:webHidden/>
              </w:rPr>
              <w:fldChar w:fldCharType="separate"/>
            </w:r>
            <w:r>
              <w:rPr>
                <w:noProof/>
                <w:webHidden/>
              </w:rPr>
              <w:t>41</w:t>
            </w:r>
            <w:r>
              <w:rPr>
                <w:noProof/>
                <w:webHidden/>
              </w:rPr>
              <w:fldChar w:fldCharType="end"/>
            </w:r>
          </w:hyperlink>
        </w:p>
        <w:p w14:paraId="5E9E1784" w14:textId="4E2154C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29" w:history="1">
            <w:r w:rsidRPr="00C57672">
              <w:rPr>
                <w:rStyle w:val="Hyperlink"/>
                <w:noProof/>
              </w:rPr>
              <w:t>9.10 Dose Calculation</w:t>
            </w:r>
            <w:r>
              <w:rPr>
                <w:noProof/>
                <w:webHidden/>
              </w:rPr>
              <w:tab/>
            </w:r>
            <w:r>
              <w:rPr>
                <w:noProof/>
                <w:webHidden/>
              </w:rPr>
              <w:fldChar w:fldCharType="begin"/>
            </w:r>
            <w:r>
              <w:rPr>
                <w:noProof/>
                <w:webHidden/>
              </w:rPr>
              <w:instrText xml:space="preserve"> PAGEREF _Toc231232929 \h </w:instrText>
            </w:r>
            <w:r>
              <w:rPr>
                <w:noProof/>
                <w:webHidden/>
              </w:rPr>
            </w:r>
            <w:r>
              <w:rPr>
                <w:noProof/>
                <w:webHidden/>
              </w:rPr>
              <w:fldChar w:fldCharType="separate"/>
            </w:r>
            <w:r>
              <w:rPr>
                <w:noProof/>
                <w:webHidden/>
              </w:rPr>
              <w:t>42</w:t>
            </w:r>
            <w:r>
              <w:rPr>
                <w:noProof/>
                <w:webHidden/>
              </w:rPr>
              <w:fldChar w:fldCharType="end"/>
            </w:r>
          </w:hyperlink>
        </w:p>
        <w:p w14:paraId="71F90003" w14:textId="589AB3C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0" w:history="1">
            <w:r w:rsidRPr="00C57672">
              <w:rPr>
                <w:rStyle w:val="Hyperlink"/>
                <w:noProof/>
              </w:rPr>
              <w:t>9.11 Control-Room Dose Approximation</w:t>
            </w:r>
            <w:r>
              <w:rPr>
                <w:noProof/>
                <w:webHidden/>
              </w:rPr>
              <w:tab/>
            </w:r>
            <w:r>
              <w:rPr>
                <w:noProof/>
                <w:webHidden/>
              </w:rPr>
              <w:fldChar w:fldCharType="begin"/>
            </w:r>
            <w:r>
              <w:rPr>
                <w:noProof/>
                <w:webHidden/>
              </w:rPr>
              <w:instrText xml:space="preserve"> PAGEREF _Toc231232930 \h </w:instrText>
            </w:r>
            <w:r>
              <w:rPr>
                <w:noProof/>
                <w:webHidden/>
              </w:rPr>
            </w:r>
            <w:r>
              <w:rPr>
                <w:noProof/>
                <w:webHidden/>
              </w:rPr>
              <w:fldChar w:fldCharType="separate"/>
            </w:r>
            <w:r>
              <w:rPr>
                <w:noProof/>
                <w:webHidden/>
              </w:rPr>
              <w:t>42</w:t>
            </w:r>
            <w:r>
              <w:rPr>
                <w:noProof/>
                <w:webHidden/>
              </w:rPr>
              <w:fldChar w:fldCharType="end"/>
            </w:r>
          </w:hyperlink>
        </w:p>
        <w:p w14:paraId="788263DB" w14:textId="7DE6A497"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1" w:history="1">
            <w:r w:rsidRPr="00C57672">
              <w:rPr>
                <w:rStyle w:val="Hyperlink"/>
                <w:noProof/>
              </w:rPr>
              <w:t>9.12 Iodine Spike and Coolant-Activity Contributions</w:t>
            </w:r>
            <w:r>
              <w:rPr>
                <w:noProof/>
                <w:webHidden/>
              </w:rPr>
              <w:tab/>
            </w:r>
            <w:r>
              <w:rPr>
                <w:noProof/>
                <w:webHidden/>
              </w:rPr>
              <w:fldChar w:fldCharType="begin"/>
            </w:r>
            <w:r>
              <w:rPr>
                <w:noProof/>
                <w:webHidden/>
              </w:rPr>
              <w:instrText xml:space="preserve"> PAGEREF _Toc231232931 \h </w:instrText>
            </w:r>
            <w:r>
              <w:rPr>
                <w:noProof/>
                <w:webHidden/>
              </w:rPr>
            </w:r>
            <w:r>
              <w:rPr>
                <w:noProof/>
                <w:webHidden/>
              </w:rPr>
              <w:fldChar w:fldCharType="separate"/>
            </w:r>
            <w:r>
              <w:rPr>
                <w:noProof/>
                <w:webHidden/>
              </w:rPr>
              <w:t>43</w:t>
            </w:r>
            <w:r>
              <w:rPr>
                <w:noProof/>
                <w:webHidden/>
              </w:rPr>
              <w:fldChar w:fldCharType="end"/>
            </w:r>
          </w:hyperlink>
        </w:p>
        <w:p w14:paraId="3D3DB0A2" w14:textId="3CD5206C"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2" w:history="1">
            <w:r w:rsidRPr="00C57672">
              <w:rPr>
                <w:rStyle w:val="Hyperlink"/>
                <w:noProof/>
              </w:rPr>
              <w:t>9.13 Numerical Integration</w:t>
            </w:r>
            <w:r>
              <w:rPr>
                <w:noProof/>
                <w:webHidden/>
              </w:rPr>
              <w:tab/>
            </w:r>
            <w:r>
              <w:rPr>
                <w:noProof/>
                <w:webHidden/>
              </w:rPr>
              <w:fldChar w:fldCharType="begin"/>
            </w:r>
            <w:r>
              <w:rPr>
                <w:noProof/>
                <w:webHidden/>
              </w:rPr>
              <w:instrText xml:space="preserve"> PAGEREF _Toc231232932 \h </w:instrText>
            </w:r>
            <w:r>
              <w:rPr>
                <w:noProof/>
                <w:webHidden/>
              </w:rPr>
            </w:r>
            <w:r>
              <w:rPr>
                <w:noProof/>
                <w:webHidden/>
              </w:rPr>
              <w:fldChar w:fldCharType="separate"/>
            </w:r>
            <w:r>
              <w:rPr>
                <w:noProof/>
                <w:webHidden/>
              </w:rPr>
              <w:t>43</w:t>
            </w:r>
            <w:r>
              <w:rPr>
                <w:noProof/>
                <w:webHidden/>
              </w:rPr>
              <w:fldChar w:fldCharType="end"/>
            </w:r>
          </w:hyperlink>
        </w:p>
        <w:p w14:paraId="02AE1C3C" w14:textId="3FD3F07B"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3" w:history="1">
            <w:r w:rsidRPr="00C57672">
              <w:rPr>
                <w:rStyle w:val="Hyperlink"/>
                <w:noProof/>
              </w:rPr>
              <w:t>9.14 Output Quantities</w:t>
            </w:r>
            <w:r>
              <w:rPr>
                <w:noProof/>
                <w:webHidden/>
              </w:rPr>
              <w:tab/>
            </w:r>
            <w:r>
              <w:rPr>
                <w:noProof/>
                <w:webHidden/>
              </w:rPr>
              <w:fldChar w:fldCharType="begin"/>
            </w:r>
            <w:r>
              <w:rPr>
                <w:noProof/>
                <w:webHidden/>
              </w:rPr>
              <w:instrText xml:space="preserve"> PAGEREF _Toc231232933 \h </w:instrText>
            </w:r>
            <w:r>
              <w:rPr>
                <w:noProof/>
                <w:webHidden/>
              </w:rPr>
            </w:r>
            <w:r>
              <w:rPr>
                <w:noProof/>
                <w:webHidden/>
              </w:rPr>
              <w:fldChar w:fldCharType="separate"/>
            </w:r>
            <w:r>
              <w:rPr>
                <w:noProof/>
                <w:webHidden/>
              </w:rPr>
              <w:t>44</w:t>
            </w:r>
            <w:r>
              <w:rPr>
                <w:noProof/>
                <w:webHidden/>
              </w:rPr>
              <w:fldChar w:fldCharType="end"/>
            </w:r>
          </w:hyperlink>
        </w:p>
        <w:p w14:paraId="6C7DD40E" w14:textId="3E472F8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4" w:history="1">
            <w:r w:rsidRPr="00C57672">
              <w:rPr>
                <w:rStyle w:val="Hyperlink"/>
                <w:noProof/>
              </w:rPr>
              <w:t>9.15 Principal Assumptions and Limitations</w:t>
            </w:r>
            <w:r>
              <w:rPr>
                <w:noProof/>
                <w:webHidden/>
              </w:rPr>
              <w:tab/>
            </w:r>
            <w:r>
              <w:rPr>
                <w:noProof/>
                <w:webHidden/>
              </w:rPr>
              <w:fldChar w:fldCharType="begin"/>
            </w:r>
            <w:r>
              <w:rPr>
                <w:noProof/>
                <w:webHidden/>
              </w:rPr>
              <w:instrText xml:space="preserve"> PAGEREF _Toc231232934 \h </w:instrText>
            </w:r>
            <w:r>
              <w:rPr>
                <w:noProof/>
                <w:webHidden/>
              </w:rPr>
            </w:r>
            <w:r>
              <w:rPr>
                <w:noProof/>
                <w:webHidden/>
              </w:rPr>
              <w:fldChar w:fldCharType="separate"/>
            </w:r>
            <w:r>
              <w:rPr>
                <w:noProof/>
                <w:webHidden/>
              </w:rPr>
              <w:t>44</w:t>
            </w:r>
            <w:r>
              <w:rPr>
                <w:noProof/>
                <w:webHidden/>
              </w:rPr>
              <w:fldChar w:fldCharType="end"/>
            </w:r>
          </w:hyperlink>
        </w:p>
        <w:p w14:paraId="323D0803" w14:textId="07D59B41"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35" w:history="1">
            <w:r w:rsidRPr="00C57672">
              <w:rPr>
                <w:rStyle w:val="Hyperlink"/>
                <w:noProof/>
              </w:rPr>
              <w:t>Chapter 10 — Risk Assessment Tool Theory</w:t>
            </w:r>
            <w:r>
              <w:rPr>
                <w:noProof/>
                <w:webHidden/>
              </w:rPr>
              <w:tab/>
            </w:r>
            <w:r>
              <w:rPr>
                <w:noProof/>
                <w:webHidden/>
              </w:rPr>
              <w:fldChar w:fldCharType="begin"/>
            </w:r>
            <w:r>
              <w:rPr>
                <w:noProof/>
                <w:webHidden/>
              </w:rPr>
              <w:instrText xml:space="preserve"> PAGEREF _Toc231232935 \h </w:instrText>
            </w:r>
            <w:r>
              <w:rPr>
                <w:noProof/>
                <w:webHidden/>
              </w:rPr>
            </w:r>
            <w:r>
              <w:rPr>
                <w:noProof/>
                <w:webHidden/>
              </w:rPr>
              <w:fldChar w:fldCharType="separate"/>
            </w:r>
            <w:r>
              <w:rPr>
                <w:noProof/>
                <w:webHidden/>
              </w:rPr>
              <w:t>45</w:t>
            </w:r>
            <w:r>
              <w:rPr>
                <w:noProof/>
                <w:webHidden/>
              </w:rPr>
              <w:fldChar w:fldCharType="end"/>
            </w:r>
          </w:hyperlink>
        </w:p>
        <w:p w14:paraId="6A692D49" w14:textId="453A2E8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6" w:history="1">
            <w:r w:rsidRPr="00C57672">
              <w:rPr>
                <w:rStyle w:val="Hyperlink"/>
                <w:noProof/>
              </w:rPr>
              <w:t>10.1 Purpose and Scope</w:t>
            </w:r>
            <w:r>
              <w:rPr>
                <w:noProof/>
                <w:webHidden/>
              </w:rPr>
              <w:tab/>
            </w:r>
            <w:r>
              <w:rPr>
                <w:noProof/>
                <w:webHidden/>
              </w:rPr>
              <w:fldChar w:fldCharType="begin"/>
            </w:r>
            <w:r>
              <w:rPr>
                <w:noProof/>
                <w:webHidden/>
              </w:rPr>
              <w:instrText xml:space="preserve"> PAGEREF _Toc231232936 \h </w:instrText>
            </w:r>
            <w:r>
              <w:rPr>
                <w:noProof/>
                <w:webHidden/>
              </w:rPr>
            </w:r>
            <w:r>
              <w:rPr>
                <w:noProof/>
                <w:webHidden/>
              </w:rPr>
              <w:fldChar w:fldCharType="separate"/>
            </w:r>
            <w:r>
              <w:rPr>
                <w:noProof/>
                <w:webHidden/>
              </w:rPr>
              <w:t>45</w:t>
            </w:r>
            <w:r>
              <w:rPr>
                <w:noProof/>
                <w:webHidden/>
              </w:rPr>
              <w:fldChar w:fldCharType="end"/>
            </w:r>
          </w:hyperlink>
        </w:p>
        <w:p w14:paraId="5FFB2D53" w14:textId="5B8793A0"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7" w:history="1">
            <w:r w:rsidRPr="00C57672">
              <w:rPr>
                <w:rStyle w:val="Hyperlink"/>
                <w:noProof/>
              </w:rPr>
              <w:t>10.2 Farmer Curve Concept</w:t>
            </w:r>
            <w:r>
              <w:rPr>
                <w:noProof/>
                <w:webHidden/>
              </w:rPr>
              <w:tab/>
            </w:r>
            <w:r>
              <w:rPr>
                <w:noProof/>
                <w:webHidden/>
              </w:rPr>
              <w:fldChar w:fldCharType="begin"/>
            </w:r>
            <w:r>
              <w:rPr>
                <w:noProof/>
                <w:webHidden/>
              </w:rPr>
              <w:instrText xml:space="preserve"> PAGEREF _Toc231232937 \h </w:instrText>
            </w:r>
            <w:r>
              <w:rPr>
                <w:noProof/>
                <w:webHidden/>
              </w:rPr>
            </w:r>
            <w:r>
              <w:rPr>
                <w:noProof/>
                <w:webHidden/>
              </w:rPr>
              <w:fldChar w:fldCharType="separate"/>
            </w:r>
            <w:r>
              <w:rPr>
                <w:noProof/>
                <w:webHidden/>
              </w:rPr>
              <w:t>45</w:t>
            </w:r>
            <w:r>
              <w:rPr>
                <w:noProof/>
                <w:webHidden/>
              </w:rPr>
              <w:fldChar w:fldCharType="end"/>
            </w:r>
          </w:hyperlink>
        </w:p>
        <w:p w14:paraId="4206A0E5" w14:textId="114282E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8" w:history="1">
            <w:r w:rsidRPr="00C57672">
              <w:rPr>
                <w:rStyle w:val="Hyperlink"/>
                <w:noProof/>
              </w:rPr>
              <w:t>10.3 Consequence Metric Used in FLARE</w:t>
            </w:r>
            <w:r>
              <w:rPr>
                <w:noProof/>
                <w:webHidden/>
              </w:rPr>
              <w:tab/>
            </w:r>
            <w:r>
              <w:rPr>
                <w:noProof/>
                <w:webHidden/>
              </w:rPr>
              <w:fldChar w:fldCharType="begin"/>
            </w:r>
            <w:r>
              <w:rPr>
                <w:noProof/>
                <w:webHidden/>
              </w:rPr>
              <w:instrText xml:space="preserve"> PAGEREF _Toc231232938 \h </w:instrText>
            </w:r>
            <w:r>
              <w:rPr>
                <w:noProof/>
                <w:webHidden/>
              </w:rPr>
            </w:r>
            <w:r>
              <w:rPr>
                <w:noProof/>
                <w:webHidden/>
              </w:rPr>
              <w:fldChar w:fldCharType="separate"/>
            </w:r>
            <w:r>
              <w:rPr>
                <w:noProof/>
                <w:webHidden/>
              </w:rPr>
              <w:t>46</w:t>
            </w:r>
            <w:r>
              <w:rPr>
                <w:noProof/>
                <w:webHidden/>
              </w:rPr>
              <w:fldChar w:fldCharType="end"/>
            </w:r>
          </w:hyperlink>
        </w:p>
        <w:p w14:paraId="13573F92" w14:textId="05593165"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39" w:history="1">
            <w:r w:rsidRPr="00C57672">
              <w:rPr>
                <w:rStyle w:val="Hyperlink"/>
                <w:noProof/>
              </w:rPr>
              <w:t>10.4 Event Frequency Assignment</w:t>
            </w:r>
            <w:r>
              <w:rPr>
                <w:noProof/>
                <w:webHidden/>
              </w:rPr>
              <w:tab/>
            </w:r>
            <w:r>
              <w:rPr>
                <w:noProof/>
                <w:webHidden/>
              </w:rPr>
              <w:fldChar w:fldCharType="begin"/>
            </w:r>
            <w:r>
              <w:rPr>
                <w:noProof/>
                <w:webHidden/>
              </w:rPr>
              <w:instrText xml:space="preserve"> PAGEREF _Toc231232939 \h </w:instrText>
            </w:r>
            <w:r>
              <w:rPr>
                <w:noProof/>
                <w:webHidden/>
              </w:rPr>
            </w:r>
            <w:r>
              <w:rPr>
                <w:noProof/>
                <w:webHidden/>
              </w:rPr>
              <w:fldChar w:fldCharType="separate"/>
            </w:r>
            <w:r>
              <w:rPr>
                <w:noProof/>
                <w:webHidden/>
              </w:rPr>
              <w:t>46</w:t>
            </w:r>
            <w:r>
              <w:rPr>
                <w:noProof/>
                <w:webHidden/>
              </w:rPr>
              <w:fldChar w:fldCharType="end"/>
            </w:r>
          </w:hyperlink>
        </w:p>
        <w:p w14:paraId="152E775E" w14:textId="32F4659A"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0" w:history="1">
            <w:r w:rsidRPr="00C57672">
              <w:rPr>
                <w:rStyle w:val="Hyperlink"/>
                <w:noProof/>
              </w:rPr>
              <w:t>10.5 Frequency-Consequence Boundary Representation</w:t>
            </w:r>
            <w:r>
              <w:rPr>
                <w:noProof/>
                <w:webHidden/>
              </w:rPr>
              <w:tab/>
            </w:r>
            <w:r>
              <w:rPr>
                <w:noProof/>
                <w:webHidden/>
              </w:rPr>
              <w:fldChar w:fldCharType="begin"/>
            </w:r>
            <w:r>
              <w:rPr>
                <w:noProof/>
                <w:webHidden/>
              </w:rPr>
              <w:instrText xml:space="preserve"> PAGEREF _Toc231232940 \h </w:instrText>
            </w:r>
            <w:r>
              <w:rPr>
                <w:noProof/>
                <w:webHidden/>
              </w:rPr>
            </w:r>
            <w:r>
              <w:rPr>
                <w:noProof/>
                <w:webHidden/>
              </w:rPr>
              <w:fldChar w:fldCharType="separate"/>
            </w:r>
            <w:r>
              <w:rPr>
                <w:noProof/>
                <w:webHidden/>
              </w:rPr>
              <w:t>46</w:t>
            </w:r>
            <w:r>
              <w:rPr>
                <w:noProof/>
                <w:webHidden/>
              </w:rPr>
              <w:fldChar w:fldCharType="end"/>
            </w:r>
          </w:hyperlink>
        </w:p>
        <w:p w14:paraId="32A614E2" w14:textId="16B523E3"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1" w:history="1">
            <w:r w:rsidRPr="00C57672">
              <w:rPr>
                <w:rStyle w:val="Hyperlink"/>
                <w:noProof/>
              </w:rPr>
              <w:t>10.6 NEI 18-04/LMP Interpretation</w:t>
            </w:r>
            <w:r>
              <w:rPr>
                <w:noProof/>
                <w:webHidden/>
              </w:rPr>
              <w:tab/>
            </w:r>
            <w:r>
              <w:rPr>
                <w:noProof/>
                <w:webHidden/>
              </w:rPr>
              <w:fldChar w:fldCharType="begin"/>
            </w:r>
            <w:r>
              <w:rPr>
                <w:noProof/>
                <w:webHidden/>
              </w:rPr>
              <w:instrText xml:space="preserve"> PAGEREF _Toc231232941 \h </w:instrText>
            </w:r>
            <w:r>
              <w:rPr>
                <w:noProof/>
                <w:webHidden/>
              </w:rPr>
            </w:r>
            <w:r>
              <w:rPr>
                <w:noProof/>
                <w:webHidden/>
              </w:rPr>
              <w:fldChar w:fldCharType="separate"/>
            </w:r>
            <w:r>
              <w:rPr>
                <w:noProof/>
                <w:webHidden/>
              </w:rPr>
              <w:t>47</w:t>
            </w:r>
            <w:r>
              <w:rPr>
                <w:noProof/>
                <w:webHidden/>
              </w:rPr>
              <w:fldChar w:fldCharType="end"/>
            </w:r>
          </w:hyperlink>
        </w:p>
        <w:p w14:paraId="287C03BC" w14:textId="161268D9"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2" w:history="1">
            <w:r w:rsidRPr="00C57672">
              <w:rPr>
                <w:rStyle w:val="Hyperlink"/>
                <w:noProof/>
              </w:rPr>
              <w:t>10.7 Treatment of Uncertainty</w:t>
            </w:r>
            <w:r>
              <w:rPr>
                <w:noProof/>
                <w:webHidden/>
              </w:rPr>
              <w:tab/>
            </w:r>
            <w:r>
              <w:rPr>
                <w:noProof/>
                <w:webHidden/>
              </w:rPr>
              <w:fldChar w:fldCharType="begin"/>
            </w:r>
            <w:r>
              <w:rPr>
                <w:noProof/>
                <w:webHidden/>
              </w:rPr>
              <w:instrText xml:space="preserve"> PAGEREF _Toc231232942 \h </w:instrText>
            </w:r>
            <w:r>
              <w:rPr>
                <w:noProof/>
                <w:webHidden/>
              </w:rPr>
            </w:r>
            <w:r>
              <w:rPr>
                <w:noProof/>
                <w:webHidden/>
              </w:rPr>
              <w:fldChar w:fldCharType="separate"/>
            </w:r>
            <w:r>
              <w:rPr>
                <w:noProof/>
                <w:webHidden/>
              </w:rPr>
              <w:t>47</w:t>
            </w:r>
            <w:r>
              <w:rPr>
                <w:noProof/>
                <w:webHidden/>
              </w:rPr>
              <w:fldChar w:fldCharType="end"/>
            </w:r>
          </w:hyperlink>
        </w:p>
        <w:p w14:paraId="38A810C6" w14:textId="340BE8A1"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3" w:history="1">
            <w:r w:rsidRPr="00C57672">
              <w:rPr>
                <w:rStyle w:val="Hyperlink"/>
                <w:noProof/>
              </w:rPr>
              <w:t>10.8 Relationship to Deterministic Acceptance Criteria</w:t>
            </w:r>
            <w:r>
              <w:rPr>
                <w:noProof/>
                <w:webHidden/>
              </w:rPr>
              <w:tab/>
            </w:r>
            <w:r>
              <w:rPr>
                <w:noProof/>
                <w:webHidden/>
              </w:rPr>
              <w:fldChar w:fldCharType="begin"/>
            </w:r>
            <w:r>
              <w:rPr>
                <w:noProof/>
                <w:webHidden/>
              </w:rPr>
              <w:instrText xml:space="preserve"> PAGEREF _Toc231232943 \h </w:instrText>
            </w:r>
            <w:r>
              <w:rPr>
                <w:noProof/>
                <w:webHidden/>
              </w:rPr>
            </w:r>
            <w:r>
              <w:rPr>
                <w:noProof/>
                <w:webHidden/>
              </w:rPr>
              <w:fldChar w:fldCharType="separate"/>
            </w:r>
            <w:r>
              <w:rPr>
                <w:noProof/>
                <w:webHidden/>
              </w:rPr>
              <w:t>48</w:t>
            </w:r>
            <w:r>
              <w:rPr>
                <w:noProof/>
                <w:webHidden/>
              </w:rPr>
              <w:fldChar w:fldCharType="end"/>
            </w:r>
          </w:hyperlink>
        </w:p>
        <w:p w14:paraId="22984EBA" w14:textId="357054BD" w:rsidR="0089743A" w:rsidRDefault="0089743A">
          <w:pPr>
            <w:pStyle w:val="TOC2"/>
            <w:tabs>
              <w:tab w:val="right" w:leader="dot" w:pos="9782"/>
            </w:tabs>
            <w:rPr>
              <w:rFonts w:asciiTheme="minorHAnsi" w:eastAsiaTheme="minorEastAsia" w:hAnsiTheme="minorHAnsi"/>
              <w:noProof/>
              <w:kern w:val="2"/>
              <w:sz w:val="24"/>
              <w14:ligatures w14:val="standardContextual"/>
            </w:rPr>
          </w:pPr>
          <w:hyperlink w:anchor="_Toc231232944" w:history="1">
            <w:r w:rsidRPr="00C57672">
              <w:rPr>
                <w:rStyle w:val="Hyperlink"/>
                <w:noProof/>
              </w:rPr>
              <w:t>10.9 Limitations</w:t>
            </w:r>
            <w:r>
              <w:rPr>
                <w:noProof/>
                <w:webHidden/>
              </w:rPr>
              <w:tab/>
            </w:r>
            <w:r>
              <w:rPr>
                <w:noProof/>
                <w:webHidden/>
              </w:rPr>
              <w:fldChar w:fldCharType="begin"/>
            </w:r>
            <w:r>
              <w:rPr>
                <w:noProof/>
                <w:webHidden/>
              </w:rPr>
              <w:instrText xml:space="preserve"> PAGEREF _Toc231232944 \h </w:instrText>
            </w:r>
            <w:r>
              <w:rPr>
                <w:noProof/>
                <w:webHidden/>
              </w:rPr>
            </w:r>
            <w:r>
              <w:rPr>
                <w:noProof/>
                <w:webHidden/>
              </w:rPr>
              <w:fldChar w:fldCharType="separate"/>
            </w:r>
            <w:r>
              <w:rPr>
                <w:noProof/>
                <w:webHidden/>
              </w:rPr>
              <w:t>48</w:t>
            </w:r>
            <w:r>
              <w:rPr>
                <w:noProof/>
                <w:webHidden/>
              </w:rPr>
              <w:fldChar w:fldCharType="end"/>
            </w:r>
          </w:hyperlink>
        </w:p>
        <w:p w14:paraId="48110465" w14:textId="23C4BC55"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5" w:history="1">
            <w:r w:rsidRPr="00C57672">
              <w:rPr>
                <w:rStyle w:val="Hyperlink"/>
                <w:noProof/>
              </w:rPr>
              <w:t>Appendix A — Nomenclature</w:t>
            </w:r>
            <w:r>
              <w:rPr>
                <w:noProof/>
                <w:webHidden/>
              </w:rPr>
              <w:tab/>
            </w:r>
            <w:r>
              <w:rPr>
                <w:noProof/>
                <w:webHidden/>
              </w:rPr>
              <w:fldChar w:fldCharType="begin"/>
            </w:r>
            <w:r>
              <w:rPr>
                <w:noProof/>
                <w:webHidden/>
              </w:rPr>
              <w:instrText xml:space="preserve"> PAGEREF _Toc231232945 \h </w:instrText>
            </w:r>
            <w:r>
              <w:rPr>
                <w:noProof/>
                <w:webHidden/>
              </w:rPr>
            </w:r>
            <w:r>
              <w:rPr>
                <w:noProof/>
                <w:webHidden/>
              </w:rPr>
              <w:fldChar w:fldCharType="separate"/>
            </w:r>
            <w:r>
              <w:rPr>
                <w:noProof/>
                <w:webHidden/>
              </w:rPr>
              <w:t>49</w:t>
            </w:r>
            <w:r>
              <w:rPr>
                <w:noProof/>
                <w:webHidden/>
              </w:rPr>
              <w:fldChar w:fldCharType="end"/>
            </w:r>
          </w:hyperlink>
        </w:p>
        <w:p w14:paraId="4FE273D4" w14:textId="52BA3B0A"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6" w:history="1">
            <w:r w:rsidRPr="00C57672">
              <w:rPr>
                <w:rStyle w:val="Hyperlink"/>
                <w:noProof/>
              </w:rPr>
              <w:t>Appendix B — Model Flags Reference</w:t>
            </w:r>
            <w:r>
              <w:rPr>
                <w:noProof/>
                <w:webHidden/>
              </w:rPr>
              <w:tab/>
            </w:r>
            <w:r>
              <w:rPr>
                <w:noProof/>
                <w:webHidden/>
              </w:rPr>
              <w:fldChar w:fldCharType="begin"/>
            </w:r>
            <w:r>
              <w:rPr>
                <w:noProof/>
                <w:webHidden/>
              </w:rPr>
              <w:instrText xml:space="preserve"> PAGEREF _Toc231232946 \h </w:instrText>
            </w:r>
            <w:r>
              <w:rPr>
                <w:noProof/>
                <w:webHidden/>
              </w:rPr>
            </w:r>
            <w:r>
              <w:rPr>
                <w:noProof/>
                <w:webHidden/>
              </w:rPr>
              <w:fldChar w:fldCharType="separate"/>
            </w:r>
            <w:r>
              <w:rPr>
                <w:noProof/>
                <w:webHidden/>
              </w:rPr>
              <w:t>50</w:t>
            </w:r>
            <w:r>
              <w:rPr>
                <w:noProof/>
                <w:webHidden/>
              </w:rPr>
              <w:fldChar w:fldCharType="end"/>
            </w:r>
          </w:hyperlink>
        </w:p>
        <w:p w14:paraId="3D825D63" w14:textId="08D3CA4E" w:rsidR="0089743A" w:rsidRDefault="0089743A">
          <w:pPr>
            <w:pStyle w:val="TOC1"/>
            <w:tabs>
              <w:tab w:val="right" w:leader="dot" w:pos="9782"/>
            </w:tabs>
            <w:rPr>
              <w:rFonts w:asciiTheme="minorHAnsi" w:eastAsiaTheme="minorEastAsia" w:hAnsiTheme="minorHAnsi"/>
              <w:noProof/>
              <w:kern w:val="2"/>
              <w:sz w:val="24"/>
              <w14:ligatures w14:val="standardContextual"/>
            </w:rPr>
          </w:pPr>
          <w:hyperlink w:anchor="_Toc231232947" w:history="1">
            <w:r w:rsidRPr="00C57672">
              <w:rPr>
                <w:rStyle w:val="Hyperlink"/>
                <w:noProof/>
              </w:rPr>
              <w:t>References</w:t>
            </w:r>
            <w:r>
              <w:rPr>
                <w:noProof/>
                <w:webHidden/>
              </w:rPr>
              <w:tab/>
            </w:r>
            <w:r>
              <w:rPr>
                <w:noProof/>
                <w:webHidden/>
              </w:rPr>
              <w:fldChar w:fldCharType="begin"/>
            </w:r>
            <w:r>
              <w:rPr>
                <w:noProof/>
                <w:webHidden/>
              </w:rPr>
              <w:instrText xml:space="preserve"> PAGEREF _Toc231232947 \h </w:instrText>
            </w:r>
            <w:r>
              <w:rPr>
                <w:noProof/>
                <w:webHidden/>
              </w:rPr>
            </w:r>
            <w:r>
              <w:rPr>
                <w:noProof/>
                <w:webHidden/>
              </w:rPr>
              <w:fldChar w:fldCharType="separate"/>
            </w:r>
            <w:r>
              <w:rPr>
                <w:noProof/>
                <w:webHidden/>
              </w:rPr>
              <w:t>51</w:t>
            </w:r>
            <w:r>
              <w:rPr>
                <w:noProof/>
                <w:webHidden/>
              </w:rPr>
              <w:fldChar w:fldCharType="end"/>
            </w:r>
          </w:hyperlink>
        </w:p>
        <w:p w14:paraId="3456662E" w14:textId="4D4582D8" w:rsidR="00413995" w:rsidRDefault="00413995">
          <w:r>
            <w:rPr>
              <w:b/>
              <w:bCs/>
              <w:noProof/>
            </w:rPr>
            <w:fldChar w:fldCharType="end"/>
          </w:r>
        </w:p>
      </w:sdtContent>
    </w:sdt>
    <w:p w14:paraId="74C224CC" w14:textId="6E05D64F" w:rsidR="000F504F" w:rsidRDefault="000F504F"/>
    <w:p w14:paraId="570A9B4C" w14:textId="77777777" w:rsidR="000F504F" w:rsidRDefault="00000000">
      <w:pPr>
        <w:pStyle w:val="Heading1"/>
      </w:pPr>
      <w:bookmarkStart w:id="0" w:name="revision-history"/>
      <w:bookmarkStart w:id="1" w:name="_Toc231232846"/>
      <w:r>
        <w:t>Revision History</w:t>
      </w:r>
      <w:bookmarkEnd w:id="1"/>
    </w:p>
    <w:tbl>
      <w:tblPr>
        <w:tblStyle w:val="Table"/>
        <w:tblW w:w="5000" w:type="pct"/>
        <w:tblLayout w:type="fixed"/>
        <w:tblLook w:val="0020" w:firstRow="1" w:lastRow="0" w:firstColumn="0" w:lastColumn="0" w:noHBand="0" w:noVBand="0"/>
      </w:tblPr>
      <w:tblGrid>
        <w:gridCol w:w="3003"/>
        <w:gridCol w:w="4003"/>
        <w:gridCol w:w="3002"/>
      </w:tblGrid>
      <w:tr w:rsidR="000F504F" w14:paraId="1C949AC5" w14:textId="77777777" w:rsidTr="00413995">
        <w:trPr>
          <w:cnfStyle w:val="100000000000" w:firstRow="1" w:lastRow="0" w:firstColumn="0" w:lastColumn="0" w:oddVBand="0" w:evenVBand="0" w:oddHBand="0" w:evenHBand="0" w:firstRowFirstColumn="0" w:firstRowLastColumn="0" w:lastRowFirstColumn="0" w:lastRowLastColumn="0"/>
          <w:tblHeader/>
        </w:trPr>
        <w:tc>
          <w:tcPr>
            <w:tcW w:w="3003" w:type="dxa"/>
          </w:tcPr>
          <w:p w14:paraId="4CF48FBF" w14:textId="77777777" w:rsidR="000F504F" w:rsidRDefault="00000000">
            <w:pPr>
              <w:pStyle w:val="Compact"/>
            </w:pPr>
            <w:r>
              <w:t>Revision</w:t>
            </w:r>
          </w:p>
        </w:tc>
        <w:tc>
          <w:tcPr>
            <w:tcW w:w="4003" w:type="dxa"/>
          </w:tcPr>
          <w:p w14:paraId="5D3B63C2" w14:textId="77777777" w:rsidR="000F504F" w:rsidRDefault="00000000">
            <w:pPr>
              <w:pStyle w:val="Compact"/>
              <w:jc w:val="right"/>
            </w:pPr>
            <w:r>
              <w:t>Date</w:t>
            </w:r>
          </w:p>
        </w:tc>
        <w:tc>
          <w:tcPr>
            <w:tcW w:w="3002" w:type="dxa"/>
          </w:tcPr>
          <w:p w14:paraId="4A6EED5B" w14:textId="77777777" w:rsidR="000F504F" w:rsidRDefault="00000000">
            <w:pPr>
              <w:pStyle w:val="Compact"/>
            </w:pPr>
            <w:r>
              <w:t>Summary of Changes</w:t>
            </w:r>
          </w:p>
        </w:tc>
      </w:tr>
      <w:tr w:rsidR="000F504F" w14:paraId="2C88E875" w14:textId="77777777" w:rsidTr="00413995">
        <w:tc>
          <w:tcPr>
            <w:tcW w:w="3003" w:type="dxa"/>
          </w:tcPr>
          <w:p w14:paraId="0C0241D3" w14:textId="77777777" w:rsidR="000F504F" w:rsidRDefault="00000000">
            <w:pPr>
              <w:pStyle w:val="Compact"/>
            </w:pPr>
            <w:r>
              <w:t>Rev. 0</w:t>
            </w:r>
          </w:p>
        </w:tc>
        <w:tc>
          <w:tcPr>
            <w:tcW w:w="4003" w:type="dxa"/>
          </w:tcPr>
          <w:p w14:paraId="4DA3EF5A" w14:textId="77777777" w:rsidR="000F504F" w:rsidRDefault="00000000">
            <w:pPr>
              <w:pStyle w:val="Compact"/>
              <w:jc w:val="right"/>
            </w:pPr>
            <w:r>
              <w:t>May 2026</w:t>
            </w:r>
          </w:p>
        </w:tc>
        <w:tc>
          <w:tcPr>
            <w:tcW w:w="3002" w:type="dxa"/>
          </w:tcPr>
          <w:p w14:paraId="25223646" w14:textId="77777777" w:rsidR="000F504F" w:rsidRDefault="00000000">
            <w:pPr>
              <w:pStyle w:val="Compact"/>
            </w:pPr>
            <w:r>
              <w:t>Initial release. HEM thermal-hydraulics, ERM critical flow, ANS-1979 decay heat, heat-transfer correlations, oxidation, dose screening, and uncertainty-analysis framework.</w:t>
            </w:r>
          </w:p>
        </w:tc>
      </w:tr>
      <w:tr w:rsidR="000F504F" w14:paraId="6C8372EE" w14:textId="77777777" w:rsidTr="00413995">
        <w:tc>
          <w:tcPr>
            <w:tcW w:w="3003" w:type="dxa"/>
          </w:tcPr>
          <w:p w14:paraId="1B4A9FDB" w14:textId="77777777" w:rsidR="000F504F" w:rsidRDefault="00000000">
            <w:pPr>
              <w:pStyle w:val="Compact"/>
            </w:pPr>
            <w:r>
              <w:t>Rev. 1</w:t>
            </w:r>
          </w:p>
        </w:tc>
        <w:tc>
          <w:tcPr>
            <w:tcW w:w="4003" w:type="dxa"/>
          </w:tcPr>
          <w:p w14:paraId="18E355C0" w14:textId="77777777" w:rsidR="000F504F" w:rsidRDefault="00000000">
            <w:pPr>
              <w:pStyle w:val="Compact"/>
              <w:jc w:val="right"/>
            </w:pPr>
            <w:r>
              <w:t>June 2026</w:t>
            </w:r>
          </w:p>
        </w:tc>
        <w:tc>
          <w:tcPr>
            <w:tcW w:w="3002" w:type="dxa"/>
          </w:tcPr>
          <w:p w14:paraId="645D5B46" w14:textId="77777777" w:rsidR="000F504F" w:rsidRDefault="00000000">
            <w:pPr>
              <w:pStyle w:val="Compact"/>
            </w:pPr>
            <w:r>
              <w:t xml:space="preserve">Added FLARECON dry-containment response model and updated heat-transfer package, AI event narrative system, Model Editor, Plant </w:t>
            </w:r>
            <w:r>
              <w:lastRenderedPageBreak/>
              <w:t>Analyzer, and architecture listing.</w:t>
            </w:r>
          </w:p>
        </w:tc>
      </w:tr>
    </w:tbl>
    <w:p w14:paraId="28D68A05" w14:textId="77777777" w:rsidR="000F504F" w:rsidRDefault="00000000">
      <w:pPr>
        <w:pStyle w:val="Heading1"/>
      </w:pPr>
      <w:bookmarkStart w:id="2" w:name="_Toc231232847"/>
      <w:bookmarkEnd w:id="0"/>
      <w:r>
        <w:lastRenderedPageBreak/>
        <w:t>Preface</w:t>
      </w:r>
      <w:bookmarkEnd w:id="2"/>
    </w:p>
    <w:p w14:paraId="49799A3D" w14:textId="77777777" w:rsidR="000F504F" w:rsidRDefault="00000000">
      <w:pPr>
        <w:pStyle w:val="FirstParagraph"/>
      </w:pPr>
      <w:r>
        <w:t>FLARE (Fast Licensing Accident Response Engine) is a reduced-order reactor safety analysis code developed for rapid evaluation of design-basis and selected beyond-design-basis transients in pressurized-water reactors and small modular reactors. It is not intended to replace production licensing codes such as RELAP5, TRACE, CATHARE, ATHLET, or containment codes used in formal safety analysis. Its purpose is narrower: FLARE provides a transparent, computationally affordable, single-node analytical framework for understanding the dominant mass, energy, power, fuel-temperature, source-term, and containment-response trends that govern light-water reactor accident progression.</w:t>
      </w:r>
    </w:p>
    <w:p w14:paraId="591EE762" w14:textId="77777777" w:rsidR="000F504F" w:rsidRDefault="00000000">
      <w:pPr>
        <w:pStyle w:val="BodyText"/>
      </w:pPr>
      <w:r>
        <w:t>This manual documents the mathematical basis of FLARE. The emphasis is on traceability: the reader should be able to understand how physical conservation laws are simplified, how those simplifications are translated into governing equations and constitutive relations, and how the numerical solution is advanced in time. The manual therefore distinguishes among governing conservation equations, closure or constitutive relations, numerical approximations, and user-controlled modeling assumptions. This distinction is essential because many differences among accident-analysis codes arise not from disagreement about conservation laws, but from differences in closure, nodalization, solution method, and judgment about which phenomena must be represented explicitly.</w:t>
      </w:r>
    </w:p>
    <w:p w14:paraId="2CAD6B73" w14:textId="77777777" w:rsidR="000F504F" w:rsidRDefault="00000000">
      <w:pPr>
        <w:pStyle w:val="Heading1"/>
      </w:pPr>
      <w:bookmarkStart w:id="3" w:name="_Toc231232848"/>
      <w:r>
        <w:t>Chapter 1 — Introduction and Regulatory Context</w:t>
      </w:r>
      <w:bookmarkEnd w:id="3"/>
    </w:p>
    <w:p w14:paraId="13FFE449" w14:textId="77777777" w:rsidR="000F504F" w:rsidRDefault="00000000">
      <w:pPr>
        <w:pStyle w:val="Heading2"/>
      </w:pPr>
      <w:bookmarkStart w:id="4" w:name="_Toc231232849"/>
      <w:r>
        <w:t>1.1 Purpose and Scope</w:t>
      </w:r>
      <w:bookmarkEnd w:id="4"/>
    </w:p>
    <w:p w14:paraId="5AE57F43" w14:textId="77777777" w:rsidR="000F504F" w:rsidRDefault="00000000">
      <w:pPr>
        <w:pStyle w:val="FirstParagraph"/>
      </w:pPr>
      <w:r>
        <w:t>Design-basis accident analysis is a multi-physics calculation. Even highly idealized accidents combine reactor kinetics, single-phase and two-phase thermal-hydraulics, heat transfer, transient conduction, material oxidation, engineered safety-system actuation, and radiological transport. The purpose of FLARE is to assemble those coupled effects into a transparent reduced-order model that is suitable for scoping analysis, methods demonstrations, sensitivity studies, uncertainty analysis, risk-informed screening, and educational use.</w:t>
      </w:r>
    </w:p>
    <w:p w14:paraId="315016C4" w14:textId="77777777" w:rsidR="000F504F" w:rsidRDefault="00000000">
      <w:pPr>
        <w:pStyle w:val="BodyText"/>
      </w:pPr>
      <w:r>
        <w:t>The principal safety quantities of interest are the integrity of the fuel cladding, the pressure boundary of the reactor coolant system, and the containment barrier. In FLARE, those barriers are represented by the following calculated figures of merit:</w:t>
      </w:r>
    </w:p>
    <w:tbl>
      <w:tblPr>
        <w:tblStyle w:val="Table"/>
        <w:tblW w:w="5000" w:type="pct"/>
        <w:tblLayout w:type="fixed"/>
        <w:tblLook w:val="0020" w:firstRow="1" w:lastRow="0" w:firstColumn="0" w:lastColumn="0" w:noHBand="0" w:noVBand="0"/>
      </w:tblPr>
      <w:tblGrid>
        <w:gridCol w:w="3336"/>
        <w:gridCol w:w="3336"/>
        <w:gridCol w:w="3336"/>
      </w:tblGrid>
      <w:tr w:rsidR="000F504F" w14:paraId="44FCAA01"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886267B" w14:textId="77777777" w:rsidR="000F504F" w:rsidRDefault="00000000">
            <w:pPr>
              <w:pStyle w:val="Compact"/>
            </w:pPr>
            <w:r>
              <w:t>Barrier or function</w:t>
            </w:r>
          </w:p>
        </w:tc>
        <w:tc>
          <w:tcPr>
            <w:tcW w:w="2640" w:type="dxa"/>
          </w:tcPr>
          <w:p w14:paraId="7D7F2F3F" w14:textId="77777777" w:rsidR="000F504F" w:rsidRDefault="00000000">
            <w:pPr>
              <w:pStyle w:val="Compact"/>
            </w:pPr>
            <w:r>
              <w:t>Primary FLARE metric</w:t>
            </w:r>
          </w:p>
        </w:tc>
        <w:tc>
          <w:tcPr>
            <w:tcW w:w="2640" w:type="dxa"/>
          </w:tcPr>
          <w:p w14:paraId="134479AD" w14:textId="77777777" w:rsidR="000F504F" w:rsidRDefault="00000000">
            <w:pPr>
              <w:pStyle w:val="Compact"/>
            </w:pPr>
            <w:r>
              <w:t>Typical use</w:t>
            </w:r>
          </w:p>
        </w:tc>
      </w:tr>
      <w:tr w:rsidR="000F504F" w14:paraId="53E6CE4D" w14:textId="77777777">
        <w:tc>
          <w:tcPr>
            <w:tcW w:w="2640" w:type="dxa"/>
          </w:tcPr>
          <w:p w14:paraId="2C12BF22" w14:textId="77777777" w:rsidR="000F504F" w:rsidRDefault="00000000">
            <w:pPr>
              <w:pStyle w:val="Compact"/>
            </w:pPr>
            <w:r>
              <w:t>Fuel cladding temperature</w:t>
            </w:r>
          </w:p>
        </w:tc>
        <w:tc>
          <w:tcPr>
            <w:tcW w:w="2640" w:type="dxa"/>
          </w:tcPr>
          <w:p w14:paraId="663B3BDD" w14:textId="77777777" w:rsidR="000F504F" w:rsidRDefault="00000000">
            <w:pPr>
              <w:pStyle w:val="Compact"/>
            </w:pPr>
            <w:r>
              <w:t xml:space="preserve">Peak cladding temperature, </w:t>
            </w:r>
            <m:oMath>
              <m:sSub>
                <m:sSubPr>
                  <m:ctrlPr>
                    <w:rPr>
                      <w:rFonts w:ascii="Cambria Math" w:hAnsi="Cambria Math"/>
                    </w:rPr>
                  </m:ctrlPr>
                </m:sSubPr>
                <m:e>
                  <m:r>
                    <w:rPr>
                      <w:rFonts w:ascii="Cambria Math" w:hAnsi="Cambria Math"/>
                    </w:rPr>
                    <m:t>T</m:t>
                  </m:r>
                </m:e>
                <m:sub>
                  <m:r>
                    <w:rPr>
                      <w:rFonts w:ascii="Cambria Math" w:hAnsi="Cambria Math"/>
                    </w:rPr>
                    <m:t>clad</m:t>
                  </m:r>
                  <m:r>
                    <m:rPr>
                      <m:sty m:val="p"/>
                    </m:rPr>
                    <w:rPr>
                      <w:rFonts w:ascii="Cambria Math" w:hAnsi="Cambria Math"/>
                    </w:rPr>
                    <m:t>,</m:t>
                  </m:r>
                  <m:r>
                    <w:rPr>
                      <w:rFonts w:ascii="Cambria Math" w:hAnsi="Cambria Math"/>
                    </w:rPr>
                    <m:t>max</m:t>
                  </m:r>
                </m:sub>
              </m:sSub>
            </m:oMath>
          </w:p>
        </w:tc>
        <w:tc>
          <w:tcPr>
            <w:tcW w:w="2640" w:type="dxa"/>
          </w:tcPr>
          <w:p w14:paraId="09747630" w14:textId="77777777" w:rsidR="000F504F" w:rsidRDefault="00000000">
            <w:pPr>
              <w:pStyle w:val="Compact"/>
            </w:pPr>
            <w:r>
              <w:t>Comparison to the 10 CFR 50.46 PCT limit.</w:t>
            </w:r>
          </w:p>
        </w:tc>
      </w:tr>
      <w:tr w:rsidR="000F504F" w14:paraId="29E575D3" w14:textId="77777777">
        <w:tc>
          <w:tcPr>
            <w:tcW w:w="2640" w:type="dxa"/>
          </w:tcPr>
          <w:p w14:paraId="58854905" w14:textId="77777777" w:rsidR="000F504F" w:rsidRDefault="00000000">
            <w:pPr>
              <w:pStyle w:val="Compact"/>
            </w:pPr>
            <w:r>
              <w:t>Fuel cladding oxidation</w:t>
            </w:r>
          </w:p>
        </w:tc>
        <w:tc>
          <w:tcPr>
            <w:tcW w:w="2640" w:type="dxa"/>
          </w:tcPr>
          <w:p w14:paraId="0C4F37FC" w14:textId="77777777" w:rsidR="000F504F" w:rsidRDefault="00000000">
            <w:pPr>
              <w:pStyle w:val="Compact"/>
            </w:pPr>
            <w:r>
              <w:t>Hot-pin equivalent cladding reacted, ECR</w:t>
            </w:r>
          </w:p>
        </w:tc>
        <w:tc>
          <w:tcPr>
            <w:tcW w:w="2640" w:type="dxa"/>
          </w:tcPr>
          <w:p w14:paraId="562378FD" w14:textId="77777777" w:rsidR="000F504F" w:rsidRDefault="00000000">
            <w:pPr>
              <w:pStyle w:val="Compact"/>
            </w:pPr>
            <w:r>
              <w:t>Local oxidation screening and hydrogen generation.</w:t>
            </w:r>
          </w:p>
        </w:tc>
      </w:tr>
      <w:tr w:rsidR="000F504F" w14:paraId="77233ADB" w14:textId="77777777">
        <w:tc>
          <w:tcPr>
            <w:tcW w:w="2640" w:type="dxa"/>
          </w:tcPr>
          <w:p w14:paraId="62E5F96A" w14:textId="77777777" w:rsidR="000F504F" w:rsidRDefault="00000000">
            <w:pPr>
              <w:pStyle w:val="Compact"/>
            </w:pPr>
            <w:r>
              <w:t>Core-wide oxidation</w:t>
            </w:r>
          </w:p>
        </w:tc>
        <w:tc>
          <w:tcPr>
            <w:tcW w:w="2640" w:type="dxa"/>
          </w:tcPr>
          <w:p w14:paraId="2B9E4894" w14:textId="77777777" w:rsidR="000F504F" w:rsidRDefault="00000000">
            <w:pPr>
              <w:pStyle w:val="Compact"/>
            </w:pPr>
            <w:r>
              <w:t xml:space="preserve">Total hydrogen generation,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oMath>
          </w:p>
        </w:tc>
        <w:tc>
          <w:tcPr>
            <w:tcW w:w="2640" w:type="dxa"/>
          </w:tcPr>
          <w:p w14:paraId="72530CE9" w14:textId="77777777" w:rsidR="000F504F" w:rsidRDefault="00000000">
            <w:pPr>
              <w:pStyle w:val="Compact"/>
            </w:pPr>
            <w:r>
              <w:t>Core-wide oxidation and containment combustible-gas challenge.</w:t>
            </w:r>
          </w:p>
        </w:tc>
      </w:tr>
      <w:tr w:rsidR="000F504F" w14:paraId="024E93EB" w14:textId="77777777">
        <w:tc>
          <w:tcPr>
            <w:tcW w:w="2640" w:type="dxa"/>
          </w:tcPr>
          <w:p w14:paraId="1D95D946" w14:textId="77777777" w:rsidR="000F504F" w:rsidRDefault="00000000">
            <w:pPr>
              <w:pStyle w:val="Compact"/>
            </w:pPr>
            <w:r>
              <w:t>Reactor coolant inventory</w:t>
            </w:r>
          </w:p>
        </w:tc>
        <w:tc>
          <w:tcPr>
            <w:tcW w:w="2640" w:type="dxa"/>
          </w:tcPr>
          <w:p w14:paraId="18BD13B2" w14:textId="77777777" w:rsidR="000F504F" w:rsidRDefault="00000000">
            <w:pPr>
              <w:pStyle w:val="Compact"/>
            </w:pPr>
            <w:r>
              <w:t>RCS mass and collapsed vessel level</w:t>
            </w:r>
          </w:p>
        </w:tc>
        <w:tc>
          <w:tcPr>
            <w:tcW w:w="2640" w:type="dxa"/>
          </w:tcPr>
          <w:p w14:paraId="28A94F29" w14:textId="77777777" w:rsidR="000F504F" w:rsidRDefault="00000000">
            <w:pPr>
              <w:pStyle w:val="Compact"/>
            </w:pPr>
            <w:r>
              <w:t>ECCS refill/reflood and long-term cooling trends.</w:t>
            </w:r>
          </w:p>
        </w:tc>
      </w:tr>
      <w:tr w:rsidR="000F504F" w14:paraId="16F9B09F" w14:textId="77777777">
        <w:tc>
          <w:tcPr>
            <w:tcW w:w="2640" w:type="dxa"/>
          </w:tcPr>
          <w:p w14:paraId="1B8D3E71" w14:textId="77777777" w:rsidR="000F504F" w:rsidRDefault="00000000">
            <w:pPr>
              <w:pStyle w:val="Compact"/>
            </w:pPr>
            <w:r>
              <w:t>RCS pressure boundary</w:t>
            </w:r>
          </w:p>
        </w:tc>
        <w:tc>
          <w:tcPr>
            <w:tcW w:w="2640" w:type="dxa"/>
          </w:tcPr>
          <w:p w14:paraId="14A14501" w14:textId="77777777" w:rsidR="000F504F" w:rsidRDefault="00000000">
            <w:pPr>
              <w:pStyle w:val="Compact"/>
            </w:pPr>
            <w:r>
              <w:t>RCS pressure and relief/break discharge</w:t>
            </w:r>
          </w:p>
        </w:tc>
        <w:tc>
          <w:tcPr>
            <w:tcW w:w="2640" w:type="dxa"/>
          </w:tcPr>
          <w:p w14:paraId="09E0FA94" w14:textId="77777777" w:rsidR="000F504F" w:rsidRDefault="00000000">
            <w:pPr>
              <w:pStyle w:val="Compact"/>
            </w:pPr>
            <w:r>
              <w:t>Overpressure and depressurization behavior.</w:t>
            </w:r>
          </w:p>
        </w:tc>
      </w:tr>
      <w:tr w:rsidR="000F504F" w14:paraId="48102466" w14:textId="77777777">
        <w:tc>
          <w:tcPr>
            <w:tcW w:w="2640" w:type="dxa"/>
          </w:tcPr>
          <w:p w14:paraId="03F987BA" w14:textId="77777777" w:rsidR="000F504F" w:rsidRDefault="00000000">
            <w:pPr>
              <w:pStyle w:val="Compact"/>
            </w:pPr>
            <w:r>
              <w:t>Containment integrity</w:t>
            </w:r>
          </w:p>
        </w:tc>
        <w:tc>
          <w:tcPr>
            <w:tcW w:w="2640" w:type="dxa"/>
          </w:tcPr>
          <w:p w14:paraId="16D89462" w14:textId="77777777" w:rsidR="000F504F" w:rsidRDefault="00000000">
            <w:pPr>
              <w:pStyle w:val="Compact"/>
            </w:pPr>
            <w:r>
              <w:t xml:space="preserve">FLARECON pressure and </w:t>
            </w:r>
            <w:r>
              <w:lastRenderedPageBreak/>
              <w:t>temperature</w:t>
            </w:r>
          </w:p>
        </w:tc>
        <w:tc>
          <w:tcPr>
            <w:tcW w:w="2640" w:type="dxa"/>
          </w:tcPr>
          <w:p w14:paraId="0DC134B8" w14:textId="77777777" w:rsidR="000F504F" w:rsidRDefault="00000000">
            <w:pPr>
              <w:pStyle w:val="Compact"/>
            </w:pPr>
            <w:r>
              <w:lastRenderedPageBreak/>
              <w:t xml:space="preserve">Dry-containment pressure and </w:t>
            </w:r>
            <w:r>
              <w:lastRenderedPageBreak/>
              <w:t>heat-removal margin.</w:t>
            </w:r>
          </w:p>
        </w:tc>
      </w:tr>
      <w:tr w:rsidR="000F504F" w14:paraId="0E2B6392" w14:textId="77777777">
        <w:tc>
          <w:tcPr>
            <w:tcW w:w="2640" w:type="dxa"/>
          </w:tcPr>
          <w:p w14:paraId="2E5147AE" w14:textId="77777777" w:rsidR="000F504F" w:rsidRDefault="00000000">
            <w:pPr>
              <w:pStyle w:val="Compact"/>
            </w:pPr>
            <w:r>
              <w:lastRenderedPageBreak/>
              <w:t>Radiological consequences</w:t>
            </w:r>
          </w:p>
        </w:tc>
        <w:tc>
          <w:tcPr>
            <w:tcW w:w="2640" w:type="dxa"/>
          </w:tcPr>
          <w:p w14:paraId="7F37A3E4" w14:textId="77777777" w:rsidR="000F504F" w:rsidRDefault="00000000">
            <w:pPr>
              <w:pStyle w:val="Compact"/>
            </w:pPr>
            <w:r>
              <w:t>EAB, LPZ, and control-room TEDE</w:t>
            </w:r>
          </w:p>
        </w:tc>
        <w:tc>
          <w:tcPr>
            <w:tcW w:w="2640" w:type="dxa"/>
          </w:tcPr>
          <w:p w14:paraId="14975F30" w14:textId="77777777" w:rsidR="000F504F" w:rsidRDefault="00000000">
            <w:pPr>
              <w:pStyle w:val="Compact"/>
            </w:pPr>
            <w:r>
              <w:t>Source-term and dose screening.</w:t>
            </w:r>
          </w:p>
        </w:tc>
      </w:tr>
    </w:tbl>
    <w:p w14:paraId="3197952F" w14:textId="77777777" w:rsidR="000F504F" w:rsidRDefault="00000000">
      <w:pPr>
        <w:pStyle w:val="BodyText"/>
      </w:pPr>
      <w:r>
        <w:t>FLARE is deliberately positioned between hand calculation and high-fidelity best-estimate analysis. It is more mechanistic than a single algebraic screening calculation, but it is much simpler than a six-equation two-fluid thermal-hydraulic system code. Its usefulness depends on the analyst understanding the assumptions embedded in the model and using the results in a manner consistent with those assumptions.</w:t>
      </w:r>
    </w:p>
    <w:p w14:paraId="1F42E7F2" w14:textId="77777777" w:rsidR="000F504F" w:rsidRDefault="00000000">
      <w:pPr>
        <w:pStyle w:val="Heading2"/>
      </w:pPr>
      <w:bookmarkStart w:id="5" w:name="_Toc231232850"/>
      <w:r>
        <w:t>1.2 Analytical Requirements and Model Fidelity</w:t>
      </w:r>
      <w:bookmarkEnd w:id="5"/>
    </w:p>
    <w:p w14:paraId="64C8E768" w14:textId="77777777" w:rsidR="000F504F" w:rsidRDefault="00000000">
      <w:pPr>
        <w:pStyle w:val="FirstParagraph"/>
      </w:pPr>
      <w:r>
        <w:t>A rigorous evaluation model begins with analytical requirements. For formal licensing methods, those requirements are commonly developed by identifying the plant design, event class, acceptance criteria, and phenomena that can significantly influence calculated margin. The same discipline is useful for a reduced-order code. The necessary level of detail depends on the purpose of the calculation.</w:t>
      </w:r>
    </w:p>
    <w:p w14:paraId="0A627F57" w14:textId="77777777" w:rsidR="000F504F" w:rsidRDefault="00000000">
      <w:pPr>
        <w:pStyle w:val="BodyText"/>
      </w:pPr>
      <w:r>
        <w:t>During a large-break LOCA, peak cladding temperature is strongly influenced by blowdown rate, inventory loss, accumulator injection, decay heat, heat-transfer regime, and post-CHF cooling. By contrast, containment peak pressure is primarily influenced by mass and enthalpy release, containment free volume, condensation, wall heat capacity, spray heat removal, and sump cooling. A model adequate for containment pressure screening may be inadequate for fine-resolution prediction of reflood heat transfer. Conversely, a detailed hot-channel model may add little value to a calculation whose purpose is only to determine whether containment pressure remains bounded.</w:t>
      </w:r>
    </w:p>
    <w:p w14:paraId="7FBBD80F" w14:textId="77777777" w:rsidR="000F504F" w:rsidRDefault="00000000">
      <w:pPr>
        <w:pStyle w:val="BodyText"/>
      </w:pPr>
      <w:r>
        <w:t>FLARE adopts the following modeling hierarchy. The reactor coolant system is represented by a single homogeneous-equilibrium control volume. Break, PORV, injection, pump, and steam-generator behavior are represented as boundary or closure models. The core thermal response is represented by a separate hot-channel heat-structure model driven by the system pressure, coolant enthalpy, flow, and power history. The radiological source term is calculated from fuel-damage indicators and user-selected release fractions. The containment response is calculated by FLARECON as a separate, one-way-coupled, lumped-parameter dry-containment model.</w:t>
      </w:r>
    </w:p>
    <w:p w14:paraId="645CC523" w14:textId="77777777" w:rsidR="000F504F" w:rsidRDefault="00000000">
      <w:pPr>
        <w:pStyle w:val="BodyText"/>
      </w:pPr>
      <w:r>
        <w:t>This hierarchy should be interpreted as an intentional model-form choice. It provides transparency and speed at the cost of spatial resolution and detailed two-phase flow topology.</w:t>
      </w:r>
    </w:p>
    <w:p w14:paraId="5603BC23" w14:textId="77777777" w:rsidR="000F504F" w:rsidRDefault="00000000">
      <w:pPr>
        <w:pStyle w:val="Heading2"/>
      </w:pPr>
      <w:bookmarkStart w:id="6" w:name="_Toc231232851"/>
      <w:r>
        <w:t>1.3 Code Architecture</w:t>
      </w:r>
      <w:bookmarkEnd w:id="6"/>
    </w:p>
    <w:p w14:paraId="68555E2F" w14:textId="77777777" w:rsidR="000F504F" w:rsidRDefault="00000000">
      <w:pPr>
        <w:pStyle w:val="FirstParagraph"/>
      </w:pPr>
      <w:r>
        <w:t xml:space="preserve">The FLARE code system is organized as a compact set of Python modules. The primary reactor coolant system calculation is performed by </w:t>
      </w:r>
      <w:r>
        <w:rPr>
          <w:rStyle w:val="VerbatimChar"/>
        </w:rPr>
        <w:t>flare_sim.py</w:t>
      </w:r>
      <w:r>
        <w:t xml:space="preserve">, which reads an Excel input workbook and produces Excel and CSV output. The FLARECON containment calculation is performed by </w:t>
      </w:r>
      <w:r>
        <w:rPr>
          <w:rStyle w:val="VerbatimChar"/>
        </w:rPr>
        <w:t>flarecon_sim.py</w:t>
      </w:r>
      <w:r>
        <w:t>, either as a stand-alone containment response calculation or as a one-way coupled calculation driven by FLARE RCS output. The user interface, uncertainty-analysis tool, risk tool, model editor, plant analyzer, and batch workers provide pre-processing, post-processing, visualization, and automation around those calculation kernels.</w:t>
      </w:r>
    </w:p>
    <w:p w14:paraId="2E0B1840" w14:textId="77777777" w:rsidR="000F504F" w:rsidRDefault="00000000">
      <w:pPr>
        <w:pStyle w:val="BodyText"/>
      </w:pPr>
      <w:r>
        <w:t xml:space="preserve">The primary RCS simulation function is </w:t>
      </w:r>
      <w:r>
        <w:rPr>
          <w:rStyle w:val="VerbatimChar"/>
        </w:rPr>
        <w:t>pwr_sim()</w:t>
      </w:r>
      <w:r>
        <w:t xml:space="preserve">. It reads the input command block, initializes the thermodynamic state, constructs the required closure parameters, and advances the solution in time using an operator-split approach. The containment functions </w:t>
      </w:r>
      <w:r>
        <w:rPr>
          <w:rStyle w:val="VerbatimChar"/>
        </w:rPr>
        <w:t>run_flarecon()</w:t>
      </w:r>
      <w:r>
        <w:t xml:space="preserve"> and </w:t>
      </w:r>
      <w:r>
        <w:rPr>
          <w:rStyle w:val="VerbatimChar"/>
        </w:rPr>
        <w:t>run_integrated_flarecon()</w:t>
      </w:r>
      <w:r>
        <w:t xml:space="preserve"> read the RCS output, construct source terms for mass, enthalpy, and hydrogen addition to containment, and integrate the containment gas and wall response.</w:t>
      </w:r>
    </w:p>
    <w:p w14:paraId="7AAE2DA8" w14:textId="77777777" w:rsidR="000F504F" w:rsidRDefault="00000000">
      <w:pPr>
        <w:pStyle w:val="Heading2"/>
      </w:pPr>
      <w:bookmarkStart w:id="7" w:name="_Toc231232852"/>
      <w:r>
        <w:lastRenderedPageBreak/>
        <w:t>1.4 Single-Node Approximation</w:t>
      </w:r>
      <w:bookmarkEnd w:id="7"/>
    </w:p>
    <w:p w14:paraId="071A8124" w14:textId="77777777" w:rsidR="000F504F" w:rsidRDefault="00000000">
      <w:pPr>
        <w:pStyle w:val="FirstParagraph"/>
      </w:pPr>
      <w:r>
        <w:t>The central simplification in FLARE is the single-node approximation for the reactor coolant system. The model assumes that the primary coolant inventory can be represented as a single well-mixed control volume with uniform pressure and specific enthalpy. The state of the coolant is therefore described by two independent thermodynamic variables:</w:t>
      </w:r>
    </w:p>
    <w:p w14:paraId="1ED90657"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RCS</m:t>
              </m:r>
            </m:sub>
          </m:sSub>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P</m:t>
                    </m:r>
                  </m:e>
                </m:mr>
                <m:mr>
                  <m:e>
                    <m:r>
                      <w:rPr>
                        <w:rFonts w:ascii="Cambria Math" w:hAnsi="Cambria Math"/>
                      </w:rPr>
                      <m:t>h</m:t>
                    </m:r>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1.1</m:t>
              </m:r>
            </m:e>
          </m:d>
        </m:oMath>
      </m:oMathPara>
    </w:p>
    <w:p w14:paraId="06D4FD4B" w14:textId="77777777" w:rsidR="000F504F" w:rsidRDefault="00000000">
      <w:pPr>
        <w:pStyle w:val="FirstParagraph"/>
      </w:pPr>
      <w:r>
        <w:t>All fluid properties are evaluated from this state. The assumption is most defensible when the analyst is interested in global pressure, global inventory, integrated break flow, and the approximate timing of safety-system response. It is least defensible when the calculation depends on phase separation, counter-current flow limitation, hot-leg condensation, lower-plenum refill distribution, multidimensional vessel behavior, or detailed reflood heat transfer.</w:t>
      </w:r>
    </w:p>
    <w:p w14:paraId="3405D6E0" w14:textId="77777777" w:rsidR="000F504F" w:rsidRDefault="00000000">
      <w:pPr>
        <w:pStyle w:val="Heading1"/>
      </w:pPr>
      <w:bookmarkStart w:id="8" w:name="_Toc231232853"/>
      <w:r>
        <w:t>Chapter 2 — Thermal-Hydraulic System Model</w:t>
      </w:r>
      <w:bookmarkEnd w:id="8"/>
    </w:p>
    <w:p w14:paraId="5F1124CB" w14:textId="77777777" w:rsidR="000F504F" w:rsidRDefault="00000000">
      <w:pPr>
        <w:pStyle w:val="Heading2"/>
      </w:pPr>
      <w:bookmarkStart w:id="9" w:name="_Toc231232854"/>
      <w:r>
        <w:t>2.1 Modeling Basis</w:t>
      </w:r>
      <w:bookmarkEnd w:id="9"/>
    </w:p>
    <w:p w14:paraId="2FBD5C49" w14:textId="77777777" w:rsidR="000F504F" w:rsidRDefault="00000000">
      <w:pPr>
        <w:pStyle w:val="FirstParagraph"/>
      </w:pPr>
      <w:r>
        <w:t>The thermal-hydraulic system model is based on the homogeneous equilibrium model (HEM). In HEM, liquid and vapor are assumed to be in mechanical and thermal equilibrium. Mechanical equilibrium means that the phases share a common velocity; thermal equilibrium means that the phases share a common temperature when both are present. The mixture can therefore be represented by a single pressure, a single specific enthalpy, and equilibrium mixture properties.</w:t>
      </w:r>
    </w:p>
    <w:p w14:paraId="0E8A1C83" w14:textId="77777777" w:rsidR="000F504F" w:rsidRDefault="00000000">
      <w:pPr>
        <w:pStyle w:val="BodyText"/>
      </w:pPr>
      <w:r>
        <w:t>The HEM assumptions are severe simplifications of the two-fluid model, but they are useful for a single-node scoping code. A two-fluid model requires separate liquid and vapor mass, momentum, and energy equations plus closure for interfacial drag, interfacial heat transfer, wall friction, wall heat transfer, entrainment, deposition, and flow-regime transition. FLARE instead collapses those details into mixture properties and boundary-flow correlations. The practical implication is that FLARE can track pressure, enthalpy, inventory, blowdown, injection, and heat removal efficiently, while accepting limited fidelity for void distribution and phasic slip inside the system volume.</w:t>
      </w:r>
    </w:p>
    <w:p w14:paraId="637485B6" w14:textId="77777777" w:rsidR="000F504F" w:rsidRDefault="00000000">
      <w:pPr>
        <w:pStyle w:val="Heading2"/>
      </w:pPr>
      <w:bookmarkStart w:id="10" w:name="_Toc231232855"/>
      <w:r>
        <w:t>2.2 Control-Volume Mass Balance</w:t>
      </w:r>
      <w:bookmarkEnd w:id="10"/>
    </w:p>
    <w:p w14:paraId="083A72D5" w14:textId="77777777" w:rsidR="000F504F" w:rsidRDefault="00000000">
      <w:pPr>
        <w:pStyle w:val="FirstParagraph"/>
      </w:pPr>
      <w:r>
        <w:t xml:space="preserve">Let </w:t>
      </w:r>
      <m:oMath>
        <m:r>
          <w:rPr>
            <w:rFonts w:ascii="Cambria Math" w:hAnsi="Cambria Math"/>
          </w:rPr>
          <m:t>M</m:t>
        </m:r>
      </m:oMath>
      <w:r>
        <w:t xml:space="preserve"> denote the total fluid mass in the reactor coolant system control volume. Mass can enter through safety injection, accumulator injection, charging/makeup, or other specified sources. Mass can leave through a break, a PORV, letdown, or other specified sinks. The global mass balance is</w:t>
      </w:r>
    </w:p>
    <w:p w14:paraId="45541571"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m:t>
              </m:r>
            </m:e>
          </m:d>
        </m:oMath>
      </m:oMathPara>
    </w:p>
    <w:p w14:paraId="45C77581" w14:textId="77777777" w:rsidR="000F504F" w:rsidRDefault="00000000">
      <w:pPr>
        <w:pStyle w:val="FirstParagraph"/>
      </w:pPr>
      <w:r>
        <w:t>For the standard FLARE PWR model, this is written as</w:t>
      </w:r>
    </w:p>
    <w:p w14:paraId="0FF3AD75"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m:t>
              </m:r>
            </m:e>
          </m:d>
        </m:oMath>
      </m:oMathPara>
    </w:p>
    <w:p w14:paraId="125221F2" w14:textId="77777777" w:rsidR="000F504F" w:rsidRDefault="00000000">
      <w:pPr>
        <w:pStyle w:val="FirstParagraph"/>
      </w:pPr>
      <w:r>
        <w:t xml:space="preserve">where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oMath>
      <w:r>
        <w:t xml:space="preserve"> is the total injected flow rate,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oMath>
      <w:r>
        <w:t xml:space="preserve"> is the break discharge,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oMath>
      <w:r>
        <w:t xml:space="preserve"> is the relief-valve discharge, and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xml:space="preserve"> is any specified letdown flow. The explicit inventory update is</w:t>
      </w:r>
    </w:p>
    <w:p w14:paraId="73ECFC7B"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M</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sSup>
            <m:sSupPr>
              <m:ctrlPr>
                <w:rPr>
                  <w:rFonts w:ascii="Cambria Math" w:hAnsi="Cambria Math"/>
                </w:rPr>
              </m:ctrlPr>
            </m:sSupPr>
            <m:e>
              <m:r>
                <w:rPr>
                  <w:rFonts w:ascii="Cambria Math" w:hAnsi="Cambria Math"/>
                </w:rPr>
                <m:t>M</m:t>
              </m:r>
            </m:e>
            <m:sup>
              <m:r>
                <w:rPr>
                  <w:rFonts w:ascii="Cambria Math" w:hAnsi="Cambria Math"/>
                </w:rPr>
                <m:t>n</m:t>
              </m:r>
            </m:sup>
          </m:sSup>
          <m:r>
            <m:rPr>
              <m:sty m:val="p"/>
            </m:rPr>
            <w:rPr>
              <w:rFonts w:ascii="Cambria Math" w:hAnsi="Cambria Math"/>
            </w:rPr>
            <m:t>+</m:t>
          </m:r>
          <m:r>
            <w:rPr>
              <w:rFonts w:ascii="Cambria Math" w:hAnsi="Cambria Math"/>
            </w:rPr>
            <m:t>Δt</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in</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break</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PORV</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m</m:t>
                      </m:r>
                    </m:e>
                  </m:acc>
                </m:e>
                <m:sub>
                  <m:r>
                    <w:rPr>
                      <w:rFonts w:ascii="Cambria Math" w:hAnsi="Cambria Math"/>
                    </w:rPr>
                    <m:t>letdown</m:t>
                  </m:r>
                </m:sub>
                <m:sup>
                  <m:r>
                    <w:rPr>
                      <w:rFonts w:ascii="Cambria Math" w:hAnsi="Cambria Math"/>
                    </w:rPr>
                    <m:t>n</m:t>
                  </m:r>
                </m:sup>
              </m:sSub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m:t>
              </m:r>
            </m:e>
          </m:d>
        </m:oMath>
      </m:oMathPara>
    </w:p>
    <w:p w14:paraId="659EE408" w14:textId="77777777" w:rsidR="000F504F" w:rsidRDefault="00000000">
      <w:pPr>
        <w:pStyle w:val="FirstParagraph"/>
      </w:pPr>
      <w:r>
        <w:t>Mass is constrained to remain non-negative and, where appropriate, to remain above a small numerical floor to avoid singular property evaluations.</w:t>
      </w:r>
    </w:p>
    <w:p w14:paraId="1B9EEFBC" w14:textId="77777777" w:rsidR="000F504F" w:rsidRDefault="00000000">
      <w:pPr>
        <w:pStyle w:val="Heading2"/>
      </w:pPr>
      <w:bookmarkStart w:id="11" w:name="_Toc231232856"/>
      <w:r>
        <w:lastRenderedPageBreak/>
        <w:t>2.3 Volume Constraint and State Variable Selection</w:t>
      </w:r>
      <w:bookmarkEnd w:id="11"/>
    </w:p>
    <w:p w14:paraId="3B5FB732" w14:textId="77777777" w:rsidR="000F504F" w:rsidRDefault="00000000">
      <w:pPr>
        <w:pStyle w:val="FirstParagraph"/>
      </w:pPr>
      <w:r>
        <w:t>The RCS metal volume is treated as fixed over the transient. The coolant volume is therefore</w:t>
      </w:r>
    </w:p>
    <w:p w14:paraId="6203BFF8"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r>
            <w:rPr>
              <w:rFonts w:ascii="Cambria Math" w:hAnsi="Cambria Math"/>
            </w:rPr>
            <m:t>Mv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2.4</m:t>
              </m:r>
            </m:e>
          </m:d>
        </m:oMath>
      </m:oMathPara>
    </w:p>
    <w:p w14:paraId="44E87FE2" w14:textId="77777777" w:rsidR="000F504F" w:rsidRDefault="00000000">
      <w:pPr>
        <w:pStyle w:val="FirstParagraph"/>
      </w:pPr>
      <w:r>
        <w:t xml:space="preserve">where </w:t>
      </w:r>
      <m:oMath>
        <m:r>
          <w:rPr>
            <w:rFonts w:ascii="Cambria Math" w:hAnsi="Cambria Math"/>
          </w:rPr>
          <m:t>v</m:t>
        </m:r>
      </m:oMath>
      <w:r>
        <w:t xml:space="preserve"> is the mixture specific volume. For a fixed system volume, the differential form is</w:t>
      </w:r>
    </w:p>
    <w:p w14:paraId="267EE56F"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r>
            <w:rPr>
              <w:rFonts w:ascii="Cambria Math" w:hAnsi="Cambria Math"/>
            </w:rPr>
            <m:t>v dM</m:t>
          </m:r>
          <m:r>
            <m:rPr>
              <m:sty m:val="p"/>
            </m:rPr>
            <w:rPr>
              <w:rFonts w:ascii="Cambria Math" w:hAnsi="Cambria Math"/>
            </w:rPr>
            <m:t>+</m:t>
          </m:r>
          <m:r>
            <w:rPr>
              <w:rFonts w:ascii="Cambria Math" w:hAnsi="Cambria Math"/>
            </w:rPr>
            <m:t>M dv</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2.5</m:t>
              </m:r>
            </m:e>
          </m:d>
        </m:oMath>
      </m:oMathPara>
    </w:p>
    <w:p w14:paraId="6D348F1D" w14:textId="77777777" w:rsidR="000F504F" w:rsidRDefault="00000000">
      <w:pPr>
        <w:pStyle w:val="FirstParagraph"/>
      </w:pPr>
      <w:r>
        <w:t>Expanding the specific-volume differential in terms of pressure and enthalpy gives</w:t>
      </w:r>
    </w:p>
    <w:p w14:paraId="146349CB" w14:textId="77777777" w:rsidR="000F504F" w:rsidRDefault="00000000">
      <w:pPr>
        <w:pStyle w:val="BodyText"/>
      </w:pPr>
      <m:oMathPara>
        <m:oMathParaPr>
          <m:jc m:val="center"/>
        </m:oMathParaPr>
        <m:oMath>
          <m:r>
            <w:rPr>
              <w:rFonts w:ascii="Cambria Math" w:hAnsi="Cambria Math"/>
            </w:rPr>
            <m:t>dv</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2.6</m:t>
              </m:r>
            </m:e>
          </m:d>
        </m:oMath>
      </m:oMathPara>
    </w:p>
    <w:p w14:paraId="4012A6C5" w14:textId="77777777" w:rsidR="000F504F" w:rsidRDefault="00000000">
      <w:pPr>
        <w:pStyle w:val="FirstParagraph"/>
      </w:pPr>
      <w:r>
        <w:t>Substitution into the volume constraint gives the second equation required to solve for the pressure and enthalpy increments:</w:t>
      </w:r>
    </w:p>
    <w:p w14:paraId="2694ABFC"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r>
            <w:rPr>
              <w:rFonts w:ascii="Cambria Math" w:hAnsi="Cambria Math"/>
            </w:rPr>
            <m:t>v</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2.7</m:t>
              </m:r>
            </m:e>
          </m:d>
        </m:oMath>
      </m:oMathPara>
    </w:p>
    <w:p w14:paraId="3096A2E9" w14:textId="77777777" w:rsidR="000F504F" w:rsidRDefault="00000000">
      <w:pPr>
        <w:pStyle w:val="FirstParagraph"/>
      </w:pPr>
      <w:r>
        <w:t>This relation is the reason that pressure and enthalpy are attractive state variables for a lumped HEM model. Mass conservation determines the amount of material added or removed; the fixed-volume constraint determines how the thermodynamic state must change to accommodate that inventory change.</w:t>
      </w:r>
    </w:p>
    <w:p w14:paraId="1DF49F9C" w14:textId="77777777" w:rsidR="000F504F" w:rsidRDefault="00000000">
      <w:pPr>
        <w:pStyle w:val="Heading2"/>
      </w:pPr>
      <w:bookmarkStart w:id="12" w:name="_Toc231232857"/>
      <w:r>
        <w:t>2.4 Energy Balance</w:t>
      </w:r>
      <w:bookmarkEnd w:id="12"/>
    </w:p>
    <w:p w14:paraId="4C9BEAC7" w14:textId="77777777" w:rsidR="000F504F" w:rsidRDefault="00000000">
      <w:pPr>
        <w:pStyle w:val="FirstParagraph"/>
      </w:pPr>
      <w:r>
        <w:t>Let the total internal energy of the coolant be approximated by</w:t>
      </w:r>
    </w:p>
    <w:p w14:paraId="148ABC99" w14:textId="77777777" w:rsidR="000F504F" w:rsidRDefault="00000000">
      <w:pPr>
        <w:pStyle w:val="BodyText"/>
      </w:pPr>
      <m:oMathPara>
        <m:oMathParaPr>
          <m:jc m:val="center"/>
        </m:oMathParaPr>
        <m:oMath>
          <m:r>
            <w:rPr>
              <w:rFonts w:ascii="Cambria Math" w:hAnsi="Cambria Math"/>
            </w:rPr>
            <m:t>U</m:t>
          </m:r>
          <m:r>
            <m:rPr>
              <m:sty m:val="p"/>
            </m:rPr>
            <w:rPr>
              <w:rFonts w:ascii="Cambria Math" w:hAnsi="Cambria Math"/>
            </w:rPr>
            <m:t>=</m:t>
          </m:r>
          <m:r>
            <w:rPr>
              <w:rFonts w:ascii="Cambria Math" w:hAnsi="Cambria Math"/>
            </w:rPr>
            <m:t>Me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2.8</m:t>
              </m:r>
            </m:e>
          </m:d>
        </m:oMath>
      </m:oMathPara>
    </w:p>
    <w:p w14:paraId="2971E711" w14:textId="77777777" w:rsidR="000F504F" w:rsidRDefault="00000000">
      <w:pPr>
        <w:pStyle w:val="FirstParagraph"/>
      </w:pPr>
      <w:r>
        <w:t xml:space="preserve">where </w:t>
      </w:r>
      <m:oMath>
        <m:r>
          <w:rPr>
            <w:rFonts w:ascii="Cambria Math" w:hAnsi="Cambria Math"/>
          </w:rPr>
          <m:t>e</m:t>
        </m:r>
      </m:oMath>
      <w:r>
        <w:t xml:space="preserve"> is specific internal energy. Neglecting kinetic and potential energy storage inside the lumped volume, the first law for the control volume is</w:t>
      </w:r>
    </w:p>
    <w:p w14:paraId="11BA3478"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2.9</m:t>
              </m:r>
            </m:e>
          </m:d>
        </m:oMath>
      </m:oMathPara>
    </w:p>
    <w:p w14:paraId="2F7BA966" w14:textId="77777777" w:rsidR="000F504F" w:rsidRDefault="00000000">
      <w:pPr>
        <w:pStyle w:val="FirstParagraph"/>
      </w:pPr>
      <w:r>
        <w:t>Expanding the left-hand side,</w:t>
      </w:r>
    </w:p>
    <w:p w14:paraId="361E84A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d>
                <m:dPr>
                  <m:ctrlPr>
                    <w:rPr>
                      <w:rFonts w:ascii="Cambria Math" w:hAnsi="Cambria Math"/>
                    </w:rPr>
                  </m:ctrlPr>
                </m:dPr>
                <m:e>
                  <m:r>
                    <w:rPr>
                      <w:rFonts w:ascii="Cambria Math" w:hAnsi="Cambria Math"/>
                    </w:rPr>
                    <m:t>Me</m:t>
                  </m:r>
                </m:e>
              </m:d>
            </m:num>
            <m:den>
              <m:r>
                <w:rPr>
                  <w:rFonts w:ascii="Cambria Math" w:hAnsi="Cambria Math"/>
                </w:rPr>
                <m:t>dt</m:t>
              </m:r>
            </m:den>
          </m:f>
          <m:r>
            <m:rPr>
              <m:sty m:val="p"/>
            </m:rPr>
            <w:rPr>
              <w:rFonts w:ascii="Cambria Math" w:hAnsi="Cambria Math"/>
            </w:rPr>
            <m:t>=</m:t>
          </m:r>
          <m:r>
            <w:rPr>
              <w:rFonts w:ascii="Cambria Math" w:hAnsi="Cambria Math"/>
            </w:rPr>
            <m:t>M</m:t>
          </m:r>
          <m:f>
            <m:fPr>
              <m:ctrlPr>
                <w:rPr>
                  <w:rFonts w:ascii="Cambria Math" w:hAnsi="Cambria Math"/>
                </w:rPr>
              </m:ctrlPr>
            </m:fPr>
            <m:num>
              <m:r>
                <w:rPr>
                  <w:rFonts w:ascii="Cambria Math" w:hAnsi="Cambria Math"/>
                </w:rPr>
                <m:t>de</m:t>
              </m:r>
            </m:num>
            <m:den>
              <m:r>
                <w:rPr>
                  <w:rFonts w:ascii="Cambria Math" w:hAnsi="Cambria Math"/>
                </w:rPr>
                <m:t>dt</m:t>
              </m:r>
            </m:den>
          </m:f>
          <m:r>
            <m:rPr>
              <m:sty m:val="p"/>
            </m:rPr>
            <w:rPr>
              <w:rFonts w:ascii="Cambria Math" w:hAnsi="Cambria Math"/>
            </w:rPr>
            <m:t>+</m:t>
          </m:r>
          <m:r>
            <w:rPr>
              <w:rFonts w:ascii="Cambria Math" w:hAnsi="Cambria Math"/>
            </w:rPr>
            <m:t>e</m:t>
          </m:r>
          <m:f>
            <m:fPr>
              <m:ctrlPr>
                <w:rPr>
                  <w:rFonts w:ascii="Cambria Math" w:hAnsi="Cambria Math"/>
                </w:rPr>
              </m:ctrlPr>
            </m:fPr>
            <m:num>
              <m:r>
                <w:rPr>
                  <w:rFonts w:ascii="Cambria Math" w:hAnsi="Cambria Math"/>
                </w:rPr>
                <m:t>dM</m:t>
              </m:r>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2.10</m:t>
              </m:r>
            </m:e>
          </m:d>
        </m:oMath>
      </m:oMathPara>
    </w:p>
    <w:p w14:paraId="4BD4936D" w14:textId="77777777" w:rsidR="000F504F" w:rsidRDefault="00000000">
      <w:pPr>
        <w:pStyle w:val="FirstParagraph"/>
      </w:pPr>
      <w:r>
        <w:t>The internal-energy differential is</w:t>
      </w:r>
    </w:p>
    <w:p w14:paraId="35288761" w14:textId="77777777" w:rsidR="000F504F" w:rsidRDefault="00000000">
      <w:pPr>
        <w:pStyle w:val="BodyText"/>
      </w:pPr>
      <m:oMathPara>
        <m:oMathParaPr>
          <m:jc m:val="center"/>
        </m:oMathParaPr>
        <m:oMath>
          <m:r>
            <w:rPr>
              <w:rFonts w:ascii="Cambria Math" w:hAnsi="Cambria Math"/>
            </w:rPr>
            <m:t>de</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r>
            <w:rPr>
              <w:rFonts w:ascii="Cambria Math" w:hAnsi="Cambria Math"/>
            </w:rPr>
            <m:t>dP</m:t>
          </m:r>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r>
            <w:rPr>
              <w:rFonts w:ascii="Cambria Math" w:hAnsi="Cambria Math"/>
            </w:rPr>
            <m:t>dh</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2.11</m:t>
              </m:r>
            </m:e>
          </m:d>
        </m:oMath>
      </m:oMathPara>
    </w:p>
    <w:p w14:paraId="6EDE525A" w14:textId="77777777" w:rsidR="000F504F" w:rsidRDefault="00000000">
      <w:pPr>
        <w:pStyle w:val="FirstParagraph"/>
      </w:pPr>
      <w:r>
        <w:t>Combining these relations gives the pressure-enthalpy energy equation:</w:t>
      </w:r>
    </w:p>
    <w:p w14:paraId="620A36C9" w14:textId="77777777" w:rsidR="000F504F" w:rsidRDefault="00000000">
      <w:pPr>
        <w:pStyle w:val="BodyText"/>
      </w:pPr>
      <m:oMathPara>
        <m:oMathParaPr>
          <m:jc m:val="center"/>
        </m:oMathParaPr>
        <m:oMath>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f>
            <m:fPr>
              <m:ctrlPr>
                <w:rPr>
                  <w:rFonts w:ascii="Cambria Math" w:hAnsi="Cambria Math"/>
                </w:rPr>
              </m:ctrlPr>
            </m:fPr>
            <m:num>
              <m:r>
                <w:rPr>
                  <w:rFonts w:ascii="Cambria Math" w:hAnsi="Cambria Math"/>
                </w:rPr>
                <m:t>dP</m:t>
              </m:r>
            </m:num>
            <m:den>
              <m:r>
                <w:rPr>
                  <w:rFonts w:ascii="Cambria Math" w:hAnsi="Cambria Math"/>
                </w:rPr>
                <m:t>dt</m:t>
              </m:r>
            </m:den>
          </m:f>
          <m:r>
            <m:rPr>
              <m:sty m:val="p"/>
            </m:rPr>
            <w:rPr>
              <w:rFonts w:ascii="Cambria Math" w:hAnsi="Cambria Math"/>
            </w:rPr>
            <m:t>+</m:t>
          </m:r>
          <m:r>
            <w:rPr>
              <w:rFonts w:ascii="Cambria Math" w:hAnsi="Cambria Math"/>
            </w:rPr>
            <m:t>M</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f>
            <m:fPr>
              <m:ctrlPr>
                <w:rPr>
                  <w:rFonts w:ascii="Cambria Math" w:hAnsi="Cambria Math"/>
                </w:rPr>
              </m:ctrlPr>
            </m:fPr>
            <m:num>
              <m:r>
                <w:rPr>
                  <w:rFonts w:ascii="Cambria Math" w:hAnsi="Cambria Math"/>
                </w:rPr>
                <m:t>dh</m:t>
              </m:r>
            </m:num>
            <m:den>
              <m:r>
                <w:rPr>
                  <w:rFonts w:ascii="Cambria Math" w:hAnsi="Cambria Math"/>
                </w:rPr>
                <m:t>dt</m:t>
              </m:r>
            </m:den>
          </m:f>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r>
                    <m:rPr>
                      <m:sty m:val="p"/>
                    </m:rPr>
                    <w:rPr>
                      <w:rFonts w:ascii="Cambria Math" w:hAnsi="Cambria Math"/>
                    </w:rPr>
                    <m:t>,</m:t>
                  </m:r>
                  <m:r>
                    <w:rPr>
                      <w:rFonts w:ascii="Cambria Math" w:hAnsi="Cambria Math"/>
                    </w:rPr>
                    <m:t>j</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r>
                    <m:rPr>
                      <m:sty m:val="p"/>
                    </m:rPr>
                    <w:rPr>
                      <w:rFonts w:ascii="Cambria Math" w:hAnsi="Cambria Math"/>
                    </w:rPr>
                    <m:t>,</m:t>
                  </m:r>
                  <m:r>
                    <w:rPr>
                      <w:rFonts w:ascii="Cambria Math" w:hAnsi="Cambria Math"/>
                    </w:rPr>
                    <m:t>j</m:t>
                  </m:r>
                </m:sub>
              </m:sSub>
              <m:r>
                <m:rPr>
                  <m:sty m:val="p"/>
                </m:rPr>
                <w:rPr>
                  <w:rFonts w:ascii="Cambria Math" w:hAnsi="Cambria Math"/>
                </w:rPr>
                <m:t>-</m:t>
              </m:r>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out</m:t>
                  </m:r>
                  <m:r>
                    <m:rPr>
                      <m:sty m:val="p"/>
                    </m:rPr>
                    <w:rPr>
                      <w:rFonts w:ascii="Cambria Math" w:hAnsi="Cambria Math"/>
                    </w:rPr>
                    <m:t>,</m:t>
                  </m:r>
                  <m:r>
                    <w:rPr>
                      <w:rFonts w:ascii="Cambria Math" w:hAnsi="Cambria Math"/>
                    </w:rPr>
                    <m:t>k</m:t>
                  </m:r>
                </m:sub>
              </m:sSub>
            </m:e>
          </m:nary>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out</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struct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loss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2.12</m:t>
              </m:r>
            </m:e>
          </m:d>
        </m:oMath>
      </m:oMathPara>
    </w:p>
    <w:p w14:paraId="3CE4B308" w14:textId="77777777" w:rsidR="000F504F" w:rsidRDefault="00000000">
      <w:pPr>
        <w:pStyle w:val="FirstParagraph"/>
      </w:pPr>
      <w:r>
        <w:t>For the standard FLARE configuration, this becomes</w:t>
      </w:r>
    </w:p>
    <w:p w14:paraId="2CB516F8" w14:textId="77777777" w:rsidR="000F504F" w:rsidRDefault="00000000">
      <w:pPr>
        <w:pStyle w:val="BodyText"/>
      </w:pPr>
      <m:oMathPara>
        <m:oMathParaPr>
          <m:jc m:val="center"/>
        </m:oMathParaP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r>
                  <m:rPr>
                    <m:sty m:val="p"/>
                  </m:rPr>
                  <w:rPr>
                    <w:rFonts w:ascii="Cambria Math" w:hAnsi="Cambria Math"/>
                  </w:rPr>
                  <m:t>=</m:t>
                </m:r>
                <m:r>
                  <w:rPr>
                    <w:rFonts w:ascii="Cambria Math" w:hAnsi="Cambria Math"/>
                  </w:rPr>
                  <m:t>​</m:t>
                </m:r>
              </m:e>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in</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b</m:t>
                        </m:r>
                      </m:sub>
                    </m:sSub>
                    <m:r>
                      <m:rPr>
                        <m:sty m:val="p"/>
                      </m:rPr>
                      <w:rPr>
                        <w:rFonts w:ascii="Cambria Math" w:hAnsi="Cambria Math"/>
                      </w:rPr>
                      <m:t>-</m:t>
                    </m:r>
                    <m:r>
                      <w:rPr>
                        <w:rFonts w:ascii="Cambria Math" w:hAnsi="Cambria Math"/>
                      </w:rPr>
                      <m:t>e</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PORV</m:t>
                        </m:r>
                      </m:sub>
                    </m:sSub>
                    <m:r>
                      <m:rPr>
                        <m:sty m:val="p"/>
                      </m:rPr>
                      <w:rPr>
                        <w:rFonts w:ascii="Cambria Math" w:hAnsi="Cambria Math"/>
                      </w:rPr>
                      <m:t>-</m:t>
                    </m:r>
                    <m:r>
                      <w:rPr>
                        <w:rFonts w:ascii="Cambria Math" w:hAnsi="Cambria Math"/>
                      </w:rPr>
                      <m:t>e</m:t>
                    </m:r>
                  </m:e>
                </m:d>
              </m:e>
            </m:mr>
            <m:mr>
              <m:e/>
              <m:e>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net</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e>
            </m:mr>
          </m:m>
          <m:r>
            <w:rPr>
              <w:rFonts w:ascii="Cambria Math" w:hAnsi="Cambria Math"/>
            </w:rPr>
            <m:t>  </m:t>
          </m:r>
          <m:d>
            <m:dPr>
              <m:ctrlPr>
                <w:rPr>
                  <w:rFonts w:ascii="Cambria Math" w:hAnsi="Cambria Math"/>
                </w:rPr>
              </m:ctrlPr>
            </m:dPr>
            <m:e>
              <m:r>
                <w:rPr>
                  <w:rFonts w:ascii="Cambria Math" w:hAnsi="Cambria Math"/>
                </w:rPr>
                <m:t>2.13</m:t>
              </m:r>
            </m:e>
          </m:d>
        </m:oMath>
      </m:oMathPara>
    </w:p>
    <w:p w14:paraId="3A3EF280" w14:textId="77777777" w:rsidR="000F504F" w:rsidRDefault="00000000">
      <w:pPr>
        <w:pStyle w:val="Heading2"/>
      </w:pPr>
      <w:bookmarkStart w:id="13" w:name="_Toc231232858"/>
      <w:r>
        <w:t>2.5 Semi-Implicit Pressure-Enthalpy Update</w:t>
      </w:r>
      <w:bookmarkEnd w:id="13"/>
    </w:p>
    <w:p w14:paraId="1BE9DA24" w14:textId="77777777" w:rsidR="000F504F" w:rsidRDefault="00000000">
      <w:pPr>
        <w:pStyle w:val="FirstParagraph"/>
      </w:pPr>
      <w:r>
        <w:t>Equations (2.7) and (2.12) form a coupled linear system for the new pressure and enthalpy increments. In compact form,</w:t>
      </w:r>
    </w:p>
    <w:p w14:paraId="75624F0C" w14:textId="77777777" w:rsidR="000F504F" w:rsidRDefault="00000000">
      <w:pPr>
        <w:pStyle w:val="BodyText"/>
      </w:pPr>
      <m:oMathPara>
        <m:oMathParaPr>
          <m:jc m:val="center"/>
        </m:oMathParaPr>
        <m:oMath>
          <m:r>
            <m:rPr>
              <m:sty m:val="b"/>
            </m:rPr>
            <w:rPr>
              <w:rFonts w:ascii="Cambria Math" w:hAnsi="Cambria Math"/>
            </w:rPr>
            <m:t>A</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r>
                      <w:rPr>
                        <w:rFonts w:ascii="Cambria Math" w:hAnsi="Cambria Math"/>
                      </w:rPr>
                      <m:t>ΔP</m:t>
                    </m:r>
                  </m:e>
                </m:mr>
                <m:mr>
                  <m:e>
                    <m:r>
                      <w:rPr>
                        <w:rFonts w:ascii="Cambria Math" w:hAnsi="Cambria Math"/>
                      </w:rPr>
                      <m:t>Δh</m:t>
                    </m:r>
                  </m:e>
                </m:mr>
              </m:m>
            </m:e>
          </m:d>
          <m:r>
            <m:rPr>
              <m:sty m:val="p"/>
            </m:rPr>
            <w:rPr>
              <w:rFonts w:ascii="Cambria Math" w:hAnsi="Cambria Math"/>
            </w:rPr>
            <m:t>=</m:t>
          </m:r>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2.14</m:t>
              </m:r>
            </m:e>
          </m:d>
        </m:oMath>
      </m:oMathPara>
    </w:p>
    <w:p w14:paraId="577F737F" w14:textId="77777777" w:rsidR="000F504F" w:rsidRDefault="00000000">
      <w:pPr>
        <w:pStyle w:val="FirstParagraph"/>
      </w:pPr>
      <w:r>
        <w:t>where</w:t>
      </w:r>
    </w:p>
    <w:p w14:paraId="4F7EBDF4" w14:textId="77777777" w:rsidR="000F504F" w:rsidRDefault="00000000">
      <w:pPr>
        <w:pStyle w:val="BodyText"/>
      </w:pPr>
      <m:oMathPara>
        <m:oMathParaPr>
          <m:jc m:val="center"/>
        </m:oMathParaPr>
        <m:oMath>
          <m:r>
            <m:rPr>
              <m:sty m:val="b"/>
            </m:rPr>
            <w:rPr>
              <w:rFonts w:ascii="Cambria Math" w:hAnsi="Cambria Math"/>
            </w:rPr>
            <m:t>A</m:t>
          </m:r>
          <m:r>
            <m:rPr>
              <m:sty m:val="p"/>
            </m:rPr>
            <w:rPr>
              <w:rFonts w:ascii="Cambria Math" w:hAnsi="Cambria Math"/>
            </w:rPr>
            <m:t>=</m:t>
          </m:r>
          <m:r>
            <w:rPr>
              <w:rFonts w:ascii="Cambria Math" w:hAnsi="Cambria Math"/>
            </w:rPr>
            <m:t>M</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e</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r>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P</m:t>
                                </m:r>
                              </m:den>
                            </m:f>
                          </m:e>
                        </m:d>
                      </m:e>
                      <m:sub>
                        <m:r>
                          <w:rPr>
                            <w:rFonts w:ascii="Cambria Math" w:hAnsi="Cambria Math"/>
                          </w:rPr>
                          <m:t>h</m:t>
                        </m:r>
                      </m:sub>
                    </m:sSub>
                  </m:e>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v</m:t>
                                </m:r>
                              </m:num>
                              <m:den>
                                <m:r>
                                  <m:rPr>
                                    <m:sty m:val="p"/>
                                  </m:rPr>
                                  <w:rPr>
                                    <w:rFonts w:ascii="Cambria Math" w:hAnsi="Cambria Math"/>
                                  </w:rPr>
                                  <m:t>∂</m:t>
                                </m:r>
                                <m:r>
                                  <w:rPr>
                                    <w:rFonts w:ascii="Cambria Math" w:hAnsi="Cambria Math"/>
                                  </w:rPr>
                                  <m:t>h</m:t>
                                </m:r>
                              </m:den>
                            </m:f>
                          </m:e>
                        </m:d>
                      </m:e>
                      <m:sub>
                        <m:r>
                          <w:rPr>
                            <w:rFonts w:ascii="Cambria Math" w:hAnsi="Cambria Math"/>
                          </w:rPr>
                          <m:t>P</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2.15</m:t>
              </m:r>
            </m:e>
          </m:d>
        </m:oMath>
      </m:oMathPara>
    </w:p>
    <w:p w14:paraId="4C4A2C48" w14:textId="77777777" w:rsidR="000F504F" w:rsidRDefault="00000000">
      <w:pPr>
        <w:pStyle w:val="FirstParagraph"/>
      </w:pPr>
      <w:r>
        <w:t>and</w:t>
      </w:r>
    </w:p>
    <w:p w14:paraId="54919C8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r>
            <w:rPr>
              <w:rFonts w:ascii="Cambria Math" w:hAnsi="Cambria Math"/>
            </w:rPr>
            <m:t>v</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PORV</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2.16</m:t>
              </m:r>
            </m:e>
          </m:d>
        </m:oMath>
      </m:oMathPara>
    </w:p>
    <w:p w14:paraId="712F9141" w14:textId="77777777" w:rsidR="000F504F" w:rsidRDefault="00000000">
      <w:pPr>
        <w:pStyle w:val="FirstParagraph"/>
      </w:pPr>
      <w:r>
        <w:t>The updated state is</w:t>
      </w:r>
    </w:p>
    <w:p w14:paraId="48E4681E" w14:textId="77777777" w:rsidR="000F504F" w:rsidRDefault="00000000">
      <w:pPr>
        <w:pStyle w:val="BodyText"/>
      </w:pPr>
      <m:oMathPara>
        <m:oMathParaPr>
          <m:jc m:val="center"/>
        </m:oMathParaP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1</m:t>
                        </m:r>
                      </m:sup>
                    </m:sSup>
                  </m:e>
                </m:mr>
                <m:mr>
                  <m:e>
                    <m:sSup>
                      <m:sSupPr>
                        <m:ctrlPr>
                          <w:rPr>
                            <w:rFonts w:ascii="Cambria Math" w:hAnsi="Cambria Math"/>
                          </w:rPr>
                        </m:ctrlPr>
                      </m:sSupPr>
                      <m:e>
                        <m:r>
                          <w:rPr>
                            <w:rFonts w:ascii="Cambria Math" w:hAnsi="Cambria Math"/>
                          </w:rPr>
                          <m:t>h</m:t>
                        </m:r>
                      </m:e>
                      <m:sup>
                        <m:r>
                          <w:rPr>
                            <w:rFonts w:ascii="Cambria Math" w:hAnsi="Cambria Math"/>
                          </w:rPr>
                          <m:t>n</m:t>
                        </m:r>
                        <m:r>
                          <m:rPr>
                            <m:sty m:val="p"/>
                          </m:rPr>
                          <w:rPr>
                            <w:rFonts w:ascii="Cambria Math" w:hAnsi="Cambria Math"/>
                          </w:rPr>
                          <m:t>+</m:t>
                        </m:r>
                        <m:r>
                          <w:rPr>
                            <w:rFonts w:ascii="Cambria Math" w:hAnsi="Cambria Math"/>
                          </w:rPr>
                          <m:t>1</m:t>
                        </m:r>
                      </m:sup>
                    </m:sSup>
                  </m:e>
                </m:mr>
              </m:m>
            </m:e>
          </m:d>
          <m:r>
            <m:rPr>
              <m:sty m:val="p"/>
            </m:rPr>
            <w:rPr>
              <w:rFonts w:ascii="Cambria Math" w:hAnsi="Cambria Math"/>
            </w:rPr>
            <m: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p>
                      <m:sSupPr>
                        <m:ctrlPr>
                          <w:rPr>
                            <w:rFonts w:ascii="Cambria Math" w:hAnsi="Cambria Math"/>
                          </w:rPr>
                        </m:ctrlPr>
                      </m:sSupPr>
                      <m:e>
                        <m:r>
                          <w:rPr>
                            <w:rFonts w:ascii="Cambria Math" w:hAnsi="Cambria Math"/>
                          </w:rPr>
                          <m:t>P</m:t>
                        </m:r>
                      </m:e>
                      <m:sup>
                        <m:r>
                          <w:rPr>
                            <w:rFonts w:ascii="Cambria Math" w:hAnsi="Cambria Math"/>
                          </w:rPr>
                          <m:t>n</m:t>
                        </m:r>
                      </m:sup>
                    </m:sSup>
                  </m:e>
                </m:mr>
                <m:mr>
                  <m:e>
                    <m:sSup>
                      <m:sSupPr>
                        <m:ctrlPr>
                          <w:rPr>
                            <w:rFonts w:ascii="Cambria Math" w:hAnsi="Cambria Math"/>
                          </w:rPr>
                        </m:ctrlPr>
                      </m:sSupPr>
                      <m:e>
                        <m:r>
                          <w:rPr>
                            <w:rFonts w:ascii="Cambria Math" w:hAnsi="Cambria Math"/>
                          </w:rPr>
                          <m:t>h</m:t>
                        </m:r>
                      </m:e>
                      <m:sup>
                        <m:r>
                          <w:rPr>
                            <w:rFonts w:ascii="Cambria Math" w:hAnsi="Cambria Math"/>
                          </w:rPr>
                          <m:t>n</m:t>
                        </m:r>
                      </m:sup>
                    </m:sSup>
                  </m:e>
                </m:mr>
              </m:m>
            </m:e>
          </m:d>
          <m:r>
            <m:rPr>
              <m:sty m:val="p"/>
            </m:rPr>
            <w:rPr>
              <w:rFonts w:ascii="Cambria Math" w:hAnsi="Cambria Math"/>
            </w:rPr>
            <m:t>+</m:t>
          </m:r>
          <m:sSup>
            <m:sSupPr>
              <m:ctrlPr>
                <w:rPr>
                  <w:rFonts w:ascii="Cambria Math" w:hAnsi="Cambria Math"/>
                </w:rPr>
              </m:ctrlPr>
            </m:sSupPr>
            <m:e>
              <m:r>
                <m:rPr>
                  <m:sty m:val="b"/>
                </m:rPr>
                <w:rPr>
                  <w:rFonts w:ascii="Cambria Math" w:hAnsi="Cambria Math"/>
                </w:rPr>
                <m:t>A</m:t>
              </m:r>
            </m:e>
            <m:sup>
              <m:r>
                <m:rPr>
                  <m:sty m:val="p"/>
                </m:rPr>
                <w:rPr>
                  <w:rFonts w:ascii="Cambria Math" w:hAnsi="Cambria Math"/>
                </w:rPr>
                <m:t>-</m:t>
              </m:r>
              <m:r>
                <w:rPr>
                  <w:rFonts w:ascii="Cambria Math" w:hAnsi="Cambria Math"/>
                </w:rPr>
                <m:t>1</m:t>
              </m:r>
            </m:sup>
          </m:sSup>
          <m:r>
            <w:rPr>
              <w:rFonts w:ascii="Cambria Math" w:hAnsi="Cambria Math"/>
            </w:rPr>
            <m:t>Δt</m:t>
          </m:r>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E</m:t>
                        </m:r>
                      </m:sub>
                    </m:sSub>
                  </m:e>
                </m:mr>
                <m:mr>
                  <m:e>
                    <m:sSub>
                      <m:sSubPr>
                        <m:ctrlPr>
                          <w:rPr>
                            <w:rFonts w:ascii="Cambria Math" w:hAnsi="Cambria Math"/>
                          </w:rPr>
                        </m:ctrlPr>
                      </m:sSubPr>
                      <m:e>
                        <m:r>
                          <w:rPr>
                            <w:rFonts w:ascii="Cambria Math" w:hAnsi="Cambria Math"/>
                          </w:rPr>
                          <m:t>B</m:t>
                        </m:r>
                      </m:e>
                      <m:sub>
                        <m:r>
                          <w:rPr>
                            <w:rFonts w:ascii="Cambria Math" w:hAnsi="Cambria Math"/>
                          </w:rPr>
                          <m:t>V</m:t>
                        </m:r>
                      </m:sub>
                    </m:sSub>
                  </m:e>
                </m:mr>
              </m:m>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2.17</m:t>
              </m:r>
            </m:e>
          </m:d>
        </m:oMath>
      </m:oMathPara>
    </w:p>
    <w:p w14:paraId="7D7B2A53" w14:textId="77777777" w:rsidR="000F504F" w:rsidRDefault="00000000">
      <w:pPr>
        <w:pStyle w:val="FirstParagraph"/>
      </w:pPr>
      <w:r>
        <w:t>The method is semi-implicit in the sense that the pressure-enthalpy coupling imposed by the thermodynamic derivatives is solved as a coupled matrix problem, while many source terms are evaluated from the current or previously updated time level. This provides better numerical behavior than a fully explicit pressure update without requiring an iterative nonlinear solve at every time step.</w:t>
      </w:r>
    </w:p>
    <w:p w14:paraId="7913B3C6" w14:textId="77777777" w:rsidR="000F504F" w:rsidRDefault="00000000">
      <w:pPr>
        <w:pStyle w:val="Heading2"/>
      </w:pPr>
      <w:bookmarkStart w:id="14" w:name="_Toc231232859"/>
      <w:r>
        <w:t>2.6 Equation of State and Mixture Properties</w:t>
      </w:r>
      <w:bookmarkEnd w:id="14"/>
    </w:p>
    <w:p w14:paraId="03E4BC6D" w14:textId="77777777" w:rsidR="000F504F" w:rsidRDefault="00000000">
      <w:pPr>
        <w:pStyle w:val="FirstParagraph"/>
      </w:pPr>
      <w:r>
        <w:t xml:space="preserve">Water and steam properties are evaluated using the IAPWS-IF97 formulation as implemented in the FLARE property interface. In single-phase liquid or vapor states, the property functions return </w:t>
      </w:r>
      <m:oMath>
        <m:r>
          <w:rPr>
            <w:rFonts w:ascii="Cambria Math" w:hAnsi="Cambria Math"/>
          </w:rPr>
          <m:t>v</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e</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xml:space="preserve">, </w:t>
      </w:r>
      <m:oMath>
        <m:r>
          <w:rPr>
            <w:rFonts w:ascii="Cambria Math" w:hAnsi="Cambria Math"/>
          </w:rPr>
          <m:t>T</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density, viscosity, thermal conductivity, and specific heat directly. In saturated conditions, equilibrium quality is evaluated as</w:t>
      </w:r>
    </w:p>
    <w:p w14:paraId="791D610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num>
            <m:den>
              <m:sSub>
                <m:sSubPr>
                  <m:ctrlPr>
                    <w:rPr>
                      <w:rFonts w:ascii="Cambria Math" w:hAnsi="Cambria Math"/>
                    </w:rPr>
                  </m:ctrlPr>
                </m:sSubPr>
                <m:e>
                  <m:r>
                    <w:rPr>
                      <w:rFonts w:ascii="Cambria Math" w:hAnsi="Cambria Math"/>
                    </w:rPr>
                    <m:t>h</m:t>
                  </m:r>
                </m:e>
                <m:sub>
                  <m:r>
                    <w:rPr>
                      <w:rFonts w:ascii="Cambria Math" w:hAnsi="Cambria Math"/>
                    </w:rPr>
                    <m:t>g</m:t>
                  </m:r>
                </m:sub>
              </m:sSub>
              <m:d>
                <m:dPr>
                  <m:ctrlPr>
                    <w:rPr>
                      <w:rFonts w:ascii="Cambria Math" w:hAnsi="Cambria Math"/>
                    </w:rPr>
                  </m:ctrlPr>
                </m:dPr>
                <m:e>
                  <m:r>
                    <w:rPr>
                      <w:rFonts w:ascii="Cambria Math" w:hAnsi="Cambria Math"/>
                    </w:rPr>
                    <m:t>P</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r>
                    <w:rPr>
                      <w:rFonts w:ascii="Cambria Math" w:hAnsi="Cambria Math"/>
                    </w:rPr>
                    <m:t>P</m:t>
                  </m:r>
                </m:e>
              </m:d>
            </m:den>
          </m:f>
          <m:r>
            <m:rPr>
              <m:sty m:val="p"/>
            </m:rPr>
            <w:rPr>
              <w:rFonts w:ascii="Cambria Math" w:hAnsi="Cambria Math"/>
            </w:rPr>
            <m:t>=</m:t>
          </m:r>
          <m:f>
            <m:fPr>
              <m:ctrlPr>
                <w:rPr>
                  <w:rFonts w:ascii="Cambria Math" w:hAnsi="Cambria Math"/>
                </w:rPr>
              </m:ctrlPr>
            </m:fPr>
            <m:num>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num>
            <m:den>
              <m:sSub>
                <m:sSubPr>
                  <m:ctrlPr>
                    <w:rPr>
                      <w:rFonts w:ascii="Cambria Math" w:hAnsi="Cambria Math"/>
                    </w:rPr>
                  </m:ctrlPr>
                </m:sSubPr>
                <m:e>
                  <m:r>
                    <w:rPr>
                      <w:rFonts w:ascii="Cambria Math" w:hAnsi="Cambria Math"/>
                    </w:rPr>
                    <m:t>h</m:t>
                  </m:r>
                </m:e>
                <m:sub>
                  <m:r>
                    <w:rPr>
                      <w:rFonts w:ascii="Cambria Math" w:hAnsi="Cambria Math"/>
                    </w:rPr>
                    <m:t>fg</m:t>
                  </m:r>
                </m:sub>
              </m:sSub>
            </m:den>
          </m:f>
          <m:r>
            <m:rPr>
              <m:sty m:val="p"/>
            </m:rPr>
            <w:rPr>
              <w:rFonts w:ascii="Cambria Math" w:hAnsi="Cambria Math"/>
            </w:rPr>
            <m:t>,</m:t>
          </m:r>
          <m:r>
            <w:rPr>
              <w:rFonts w:ascii="Cambria Math" w:hAnsi="Cambria Math"/>
            </w:rPr>
            <m:t>  0</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2.18</m:t>
              </m:r>
            </m:e>
          </m:d>
        </m:oMath>
      </m:oMathPara>
    </w:p>
    <w:p w14:paraId="772176E1" w14:textId="77777777" w:rsidR="000F504F" w:rsidRDefault="00000000">
      <w:pPr>
        <w:pStyle w:val="FirstParagraph"/>
      </w:pPr>
      <w:r>
        <w:t>The saturated mixture specific volume is</w:t>
      </w:r>
    </w:p>
    <w:p w14:paraId="59DA8E72" w14:textId="77777777" w:rsidR="000F504F" w:rsidRDefault="00000000">
      <w:pPr>
        <w:pStyle w:val="BodyText"/>
      </w:pPr>
      <m:oMathPara>
        <m:oMathParaPr>
          <m:jc m:val="center"/>
        </m:oMathParaPr>
        <m:oMath>
          <m:r>
            <w:rPr>
              <w:rFonts w:ascii="Cambria Math" w:hAnsi="Cambria Math"/>
            </w:rPr>
            <m:t>v</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v</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2.19</m:t>
              </m:r>
            </m:e>
          </m:d>
        </m:oMath>
      </m:oMathPara>
    </w:p>
    <w:p w14:paraId="30979D3B" w14:textId="77777777" w:rsidR="000F504F" w:rsidRDefault="00000000">
      <w:pPr>
        <w:pStyle w:val="FirstParagraph"/>
      </w:pPr>
      <w:r>
        <w:t>Similarly, the mixture internal energy is</w:t>
      </w:r>
    </w:p>
    <w:p w14:paraId="4377B6E7" w14:textId="77777777" w:rsidR="000F504F" w:rsidRDefault="00000000">
      <w:pPr>
        <w:pStyle w:val="BodyText"/>
      </w:pPr>
      <m:oMathPara>
        <m:oMathParaPr>
          <m:jc m:val="center"/>
        </m:oMathParaPr>
        <m:oMath>
          <m:r>
            <w:rPr>
              <w:rFonts w:ascii="Cambria Math" w:hAnsi="Cambria Math"/>
            </w:rPr>
            <m:t>e</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sSub>
            <m:sSubPr>
              <m:ctrlPr>
                <w:rPr>
                  <w:rFonts w:ascii="Cambria Math" w:hAnsi="Cambria Math"/>
                </w:rPr>
              </m:ctrlPr>
            </m:sSubPr>
            <m:e>
              <m:r>
                <w:rPr>
                  <w:rFonts w:ascii="Cambria Math" w:hAnsi="Cambria Math"/>
                </w:rPr>
                <m:t>e</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2.20</m:t>
              </m:r>
            </m:e>
          </m:d>
        </m:oMath>
      </m:oMathPara>
    </w:p>
    <w:p w14:paraId="62B086EB" w14:textId="77777777" w:rsidR="000F504F" w:rsidRDefault="00000000">
      <w:pPr>
        <w:pStyle w:val="FirstParagraph"/>
      </w:pPr>
      <w:r>
        <w:t xml:space="preserve">In practice, FLARE uses tabulated property calls and finite-difference derivatives rather than relying exclusively on closed-form saturation derivatives. For a generic property </w:t>
      </w:r>
      <m:oMath>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e>
        </m:d>
      </m:oMath>
      <w:r>
        <w:t>, the finite-difference approximations are</w:t>
      </w:r>
    </w:p>
    <w:p w14:paraId="2934DEC2" w14:textId="77777777" w:rsidR="000F504F" w:rsidRDefault="00000000">
      <w:pPr>
        <w:pStyle w:val="BodyText"/>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P</m:t>
                      </m:r>
                    </m:den>
                  </m:f>
                </m:e>
              </m:d>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δP</m:t>
                  </m:r>
                  <m:r>
                    <m:rPr>
                      <m:sty m:val="p"/>
                    </m:rPr>
                    <w:rPr>
                      <w:rFonts w:ascii="Cambria Math" w:hAnsi="Cambria Math"/>
                    </w:rPr>
                    <m:t>,</m:t>
                  </m:r>
                  <m:r>
                    <w:rPr>
                      <w:rFonts w:ascii="Cambria Math" w:hAnsi="Cambria Math"/>
                    </w:rPr>
                    <m:t>h</m:t>
                  </m:r>
                </m:e>
              </m:d>
            </m:num>
            <m:den>
              <m:r>
                <w:rPr>
                  <w:rFonts w:ascii="Cambria Math" w:hAnsi="Cambria Math"/>
                </w:rPr>
                <m:t>2δP</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2.21</m:t>
              </m:r>
            </m:e>
          </m:d>
        </m:oMath>
      </m:oMathPara>
    </w:p>
    <w:p w14:paraId="6C5275D7" w14:textId="77777777" w:rsidR="000F504F" w:rsidRDefault="00000000">
      <w:pPr>
        <w:pStyle w:val="FirstParagraph"/>
      </w:pPr>
      <m:oMathPara>
        <m:oMathParaPr>
          <m:jc m:val="center"/>
        </m:oMathParaPr>
        <m:oMath>
          <m:sSub>
            <m:sSubPr>
              <m:ctrlPr>
                <w:rPr>
                  <w:rFonts w:ascii="Cambria Math" w:hAnsi="Cambria Math"/>
                </w:rPr>
              </m:ctrlPr>
            </m:sSubPr>
            <m:e>
              <m:d>
                <m:dPr>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ϕ</m:t>
                      </m:r>
                    </m:num>
                    <m:den>
                      <m:r>
                        <m:rPr>
                          <m:sty m:val="p"/>
                        </m:rPr>
                        <w:rPr>
                          <w:rFonts w:ascii="Cambria Math" w:hAnsi="Cambria Math"/>
                        </w:rPr>
                        <m:t>∂</m:t>
                      </m:r>
                      <m:r>
                        <w:rPr>
                          <w:rFonts w:ascii="Cambria Math" w:hAnsi="Cambria Math"/>
                        </w:rPr>
                        <m:t>h</m:t>
                      </m:r>
                    </m:den>
                  </m:f>
                </m:e>
              </m:d>
            </m:e>
            <m:sub>
              <m:r>
                <w:rPr>
                  <w:rFonts w:ascii="Cambria Math" w:hAnsi="Cambria Math"/>
                </w:rPr>
                <m:t>P</m:t>
              </m:r>
            </m:sub>
          </m:sSub>
          <m:r>
            <m:rPr>
              <m:sty m:val="p"/>
            </m:rPr>
            <w:rPr>
              <w:rFonts w:ascii="Cambria Math" w:hAnsi="Cambria Math"/>
            </w:rPr>
            <m:t>≈</m:t>
          </m:r>
          <m:f>
            <m:fPr>
              <m:ctrlPr>
                <w:rPr>
                  <w:rFonts w:ascii="Cambria Math" w:hAnsi="Cambria Math"/>
                </w:rPr>
              </m:ctrlPr>
            </m:fPr>
            <m:num>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r>
                <m:rPr>
                  <m:sty m:val="p"/>
                </m:rPr>
                <w:rPr>
                  <w:rFonts w:ascii="Cambria Math" w:hAnsi="Cambria Math"/>
                </w:rPr>
                <m:t>-</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δh</m:t>
                  </m:r>
                </m:e>
              </m:d>
            </m:num>
            <m:den>
              <m:r>
                <w:rPr>
                  <w:rFonts w:ascii="Cambria Math" w:hAnsi="Cambria Math"/>
                </w:rPr>
                <m:t>2δh</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2.22</m:t>
              </m:r>
            </m:e>
          </m:d>
        </m:oMath>
      </m:oMathPara>
    </w:p>
    <w:p w14:paraId="327FB03E" w14:textId="77777777" w:rsidR="000F504F" w:rsidRDefault="00000000">
      <w:pPr>
        <w:pStyle w:val="FirstParagraph"/>
      </w:pPr>
      <w:r>
        <w:t>Near saturation boundaries, derivative evaluation is guarded to avoid invalid property calls and discontinuous state jumps.</w:t>
      </w:r>
    </w:p>
    <w:p w14:paraId="67990D2B" w14:textId="77777777" w:rsidR="000F504F" w:rsidRDefault="00000000">
      <w:pPr>
        <w:pStyle w:val="Heading2"/>
      </w:pPr>
      <w:bookmarkStart w:id="15" w:name="_Toc231232860"/>
      <w:r>
        <w:t>2.7 Break Flow Model</w:t>
      </w:r>
      <w:bookmarkEnd w:id="15"/>
    </w:p>
    <w:p w14:paraId="759B11DF" w14:textId="77777777" w:rsidR="000F504F" w:rsidRDefault="00000000">
      <w:pPr>
        <w:pStyle w:val="FirstParagraph"/>
      </w:pPr>
      <w:r>
        <w:t xml:space="preserve">For a circular break of equivalent diameter </w:t>
      </w:r>
      <m:oMath>
        <m:sSub>
          <m:sSubPr>
            <m:ctrlPr>
              <w:rPr>
                <w:rFonts w:ascii="Cambria Math" w:hAnsi="Cambria Math"/>
              </w:rPr>
            </m:ctrlPr>
          </m:sSubPr>
          <m:e>
            <m:r>
              <w:rPr>
                <w:rFonts w:ascii="Cambria Math" w:hAnsi="Cambria Math"/>
              </w:rPr>
              <m:t>D</m:t>
            </m:r>
          </m:e>
          <m:sub>
            <m:r>
              <w:rPr>
                <w:rFonts w:ascii="Cambria Math" w:hAnsi="Cambria Math"/>
              </w:rPr>
              <m:t>b</m:t>
            </m:r>
          </m:sub>
        </m:sSub>
      </m:oMath>
      <w:r>
        <w:t>, the break area is</w:t>
      </w:r>
    </w:p>
    <w:p w14:paraId="59097D6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b</m:t>
              </m:r>
            </m:sub>
          </m:sSub>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b</m:t>
                  </m:r>
                </m:sub>
                <m:sup>
                  <m:r>
                    <w:rPr>
                      <w:rFonts w:ascii="Cambria Math" w:hAnsi="Cambria Math"/>
                    </w:rPr>
                    <m:t>2</m:t>
                  </m:r>
                </m:sup>
              </m:sSubSup>
            </m:num>
            <m:den>
              <m:r>
                <w:rPr>
                  <w:rFonts w:ascii="Cambria Math" w:hAnsi="Cambria Math"/>
                </w:rPr>
                <m:t>4</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2.23</m:t>
              </m:r>
            </m:e>
          </m:d>
        </m:oMath>
      </m:oMathPara>
    </w:p>
    <w:p w14:paraId="5C1C3606" w14:textId="77777777" w:rsidR="000F504F" w:rsidRDefault="00000000">
      <w:pPr>
        <w:pStyle w:val="FirstParagraph"/>
      </w:pPr>
      <w:r>
        <w:t>The break mass flow rate is</w:t>
      </w:r>
    </w:p>
    <w:p w14:paraId="415176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2.24</m:t>
              </m:r>
            </m:e>
          </m:d>
        </m:oMath>
      </m:oMathPara>
    </w:p>
    <w:p w14:paraId="6D2B6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d</m:t>
            </m:r>
          </m:sub>
        </m:sSub>
      </m:oMath>
      <w:r>
        <w:t xml:space="preserve"> is the discharge coefficient and </w:t>
      </w:r>
      <m:oMath>
        <m:r>
          <w:rPr>
            <w:rFonts w:ascii="Cambria Math" w:hAnsi="Cambria Math"/>
          </w:rPr>
          <m:t>G</m:t>
        </m:r>
      </m:oMath>
      <w:r>
        <w:t xml:space="preserve"> is the predicted critical or subcritical mass flux. For strongly subcooled liquid discharge, FLARE uses a Bernoulli-type limiting model:</w:t>
      </w:r>
    </w:p>
    <w:p w14:paraId="3626D6B4"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sub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b</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l</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2.25</m:t>
              </m:r>
            </m:e>
          </m:d>
        </m:oMath>
      </m:oMathPara>
    </w:p>
    <w:p w14:paraId="0B078AF0" w14:textId="77777777" w:rsidR="000F504F" w:rsidRDefault="00000000">
      <w:pPr>
        <w:pStyle w:val="FirstParagraph"/>
      </w:pPr>
      <w:r>
        <w:t xml:space="preserve">For saturated or flashing conditions, FLARE evaluates a Moody-type equilibrium critical-flow model. The critical mass flux is determined by searching over the throat pressure </w:t>
      </w:r>
      <m:oMath>
        <m:sSub>
          <m:sSubPr>
            <m:ctrlPr>
              <w:rPr>
                <w:rFonts w:ascii="Cambria Math" w:hAnsi="Cambria Math"/>
              </w:rPr>
            </m:ctrlPr>
          </m:sSubPr>
          <m:e>
            <m:r>
              <w:rPr>
                <w:rFonts w:ascii="Cambria Math" w:hAnsi="Cambria Math"/>
              </w:rPr>
              <m:t>P</m:t>
            </m:r>
          </m:e>
          <m:sub>
            <m:r>
              <w:rPr>
                <w:rFonts w:ascii="Cambria Math" w:hAnsi="Cambria Math"/>
              </w:rPr>
              <m:t>c</m:t>
            </m:r>
          </m:sub>
        </m:sSub>
      </m:oMath>
      <w:r>
        <w:t xml:space="preserve"> and selecting the maximum value:</w:t>
      </w:r>
    </w:p>
    <w:p w14:paraId="3B69E0F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G</m:t>
              </m:r>
            </m:e>
            <m:sub>
              <m:r>
                <w:rPr>
                  <w:rFonts w:ascii="Cambria Math" w:hAnsi="Cambria Math"/>
                </w:rPr>
                <m:t>crit</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sSub>
                <m:sSubPr>
                  <m:ctrlPr>
                    <w:rPr>
                      <w:rFonts w:ascii="Cambria Math" w:hAnsi="Cambria Math"/>
                    </w:rPr>
                  </m:ctrlPr>
                </m:sSubPr>
                <m:e>
                  <m:r>
                    <w:rPr>
                      <w:rFonts w:ascii="Cambria Math" w:hAnsi="Cambria Math"/>
                    </w:rPr>
                    <m:t>P</m:t>
                  </m:r>
                </m:e>
                <m:sub>
                  <m:r>
                    <w:rPr>
                      <w:rFonts w:ascii="Cambria Math" w:hAnsi="Cambria Math"/>
                    </w:rPr>
                    <m:t>c</m:t>
                  </m:r>
                </m:sub>
              </m:sSub>
            </m:lim>
          </m:limLow>
          <m:d>
            <m:dPr>
              <m:begChr m:val="["/>
              <m:endChr m:val="]"/>
              <m:ctrlPr>
                <w:rPr>
                  <w:rFonts w:ascii="Cambria Math" w:hAnsi="Cambria Math"/>
                </w:rPr>
              </m:ctrlPr>
            </m:dPr>
            <m:e>
              <m:r>
                <w:rPr>
                  <w:rFonts w:ascii="Cambria Math" w:hAnsi="Cambria Math"/>
                </w:rPr>
                <m:t>G</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r>
                    <w:rPr>
                      <w:rFonts w:ascii="Cambria Math" w:hAnsi="Cambria Math"/>
                    </w:rPr>
                    <m:t>S</m:t>
                  </m:r>
                </m:e>
              </m:d>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back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2.26</m:t>
              </m:r>
            </m:e>
          </m:d>
        </m:oMath>
      </m:oMathPara>
    </w:p>
    <w:p w14:paraId="67E86461" w14:textId="77777777" w:rsidR="000F504F" w:rsidRDefault="00000000">
      <w:pPr>
        <w:pStyle w:val="FirstParagraph"/>
      </w:pPr>
      <w:r>
        <w:t>The upstream stagnation enthalpy is treated as approximately conserved between the upstream control volume and the throat:</w:t>
      </w:r>
    </w:p>
    <w:p w14:paraId="595FD8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u</m:t>
                  </m:r>
                </m:e>
                <m:sub>
                  <m:r>
                    <w:rPr>
                      <w:rFonts w:ascii="Cambria Math" w:hAnsi="Cambria Math"/>
                    </w:rPr>
                    <m:t>c</m:t>
                  </m:r>
                </m:sub>
                <m:sup>
                  <m:r>
                    <w:rPr>
                      <w:rFonts w:ascii="Cambria Math" w:hAnsi="Cambria Math"/>
                    </w:rPr>
                    <m:t>2</m:t>
                  </m:r>
                </m:sup>
              </m:sSubSup>
            </m:num>
            <m:den>
              <m:r>
                <w:rPr>
                  <w:rFonts w:ascii="Cambria Math" w:hAnsi="Cambria Math"/>
                </w:rPr>
                <m:t>2</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2.27</m:t>
              </m:r>
            </m:e>
          </m:d>
        </m:oMath>
      </m:oMathPara>
    </w:p>
    <w:p w14:paraId="4D09F1DF" w14:textId="77777777" w:rsidR="000F504F" w:rsidRDefault="00000000">
      <w:pPr>
        <w:pStyle w:val="FirstParagraph"/>
      </w:pPr>
      <w:r>
        <w:t>The equilibrium throat quality is</w:t>
      </w:r>
    </w:p>
    <w:p w14:paraId="1190C8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x</m:t>
              </m:r>
            </m:e>
            <m:sub>
              <m:r>
                <w:rPr>
                  <w:rFonts w:ascii="Cambria Math" w:hAnsi="Cambria Math"/>
                </w:rPr>
                <m:t>c</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f</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num>
            <m:den>
              <m:sSub>
                <m:sSubPr>
                  <m:ctrlPr>
                    <w:rPr>
                      <w:rFonts w:ascii="Cambria Math" w:hAnsi="Cambria Math"/>
                    </w:rPr>
                  </m:ctrlPr>
                </m:sSubPr>
                <m:e>
                  <m:r>
                    <w:rPr>
                      <w:rFonts w:ascii="Cambria Math" w:hAnsi="Cambria Math"/>
                    </w:rPr>
                    <m:t>h</m:t>
                  </m:r>
                </m:e>
                <m:sub>
                  <m:r>
                    <w:rPr>
                      <w:rFonts w:ascii="Cambria Math" w:hAnsi="Cambria Math"/>
                    </w:rPr>
                    <m:t>fg</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c</m:t>
                      </m:r>
                    </m:sub>
                  </m:sSub>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2.28</m:t>
              </m:r>
            </m:e>
          </m:d>
        </m:oMath>
      </m:oMathPara>
    </w:p>
    <w:p w14:paraId="7A681A08" w14:textId="77777777" w:rsidR="000F504F" w:rsidRDefault="00000000">
      <w:pPr>
        <w:pStyle w:val="FirstParagraph"/>
      </w:pPr>
      <w:r>
        <w:t>FLARE supports three slip options:</w:t>
      </w:r>
    </w:p>
    <w:p w14:paraId="06BB8EB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HEM</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Moody</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3</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S</m:t>
              </m:r>
            </m:e>
            <m:sub>
              <m:r>
                <w:rPr>
                  <w:rFonts w:ascii="Cambria Math" w:hAnsi="Cambria Math"/>
                </w:rPr>
                <m:t>Fauske</m:t>
              </m:r>
            </m:sub>
          </m:sSub>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f</m:t>
                          </m:r>
                        </m:sub>
                      </m:sSub>
                    </m:den>
                  </m:f>
                </m:e>
              </m:d>
            </m:e>
            <m:sup>
              <m:r>
                <w:rPr>
                  <w:rFonts w:ascii="Cambria Math" w:hAnsi="Cambria Math"/>
                </w:rPr>
                <m:t>1</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2.29</m:t>
              </m:r>
            </m:e>
          </m:d>
        </m:oMath>
      </m:oMathPara>
    </w:p>
    <w:p w14:paraId="645E7B83" w14:textId="77777777" w:rsidR="000F504F" w:rsidRDefault="00000000">
      <w:pPr>
        <w:pStyle w:val="FirstParagraph"/>
      </w:pPr>
      <w:r>
        <w:t>If the containment or back pressure becomes sufficiently high relative to RCS pressure, the break is transitioned to a subcritical orifice model. The pressure ratio is</w:t>
      </w:r>
    </w:p>
    <w:p w14:paraId="17B52E8D" w14:textId="77777777" w:rsidR="000F504F" w:rsidRDefault="00000000">
      <w:pPr>
        <w:pStyle w:val="BodyText"/>
      </w:pPr>
      <m:oMathPara>
        <m:oMathParaPr>
          <m:jc m:val="center"/>
        </m:oMathParaPr>
        <m:oMath>
          <m:r>
            <w:rPr>
              <w:rFonts w:ascii="Cambria Math" w:hAnsi="Cambria Math"/>
            </w:rPr>
            <m:t>Π</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back</m:t>
                  </m:r>
                </m:sub>
              </m:sSub>
            </m:num>
            <m:den>
              <m:sSub>
                <m:sSubPr>
                  <m:ctrlPr>
                    <w:rPr>
                      <w:rFonts w:ascii="Cambria Math" w:hAnsi="Cambria Math"/>
                    </w:rPr>
                  </m:ctrlPr>
                </m:sSubPr>
                <m:e>
                  <m:r>
                    <w:rPr>
                      <w:rFonts w:ascii="Cambria Math" w:hAnsi="Cambria Math"/>
                    </w:rPr>
                    <m:t>P</m:t>
                  </m:r>
                </m:e>
                <m:sub>
                  <m:r>
                    <w:rPr>
                      <w:rFonts w:ascii="Cambria Math" w:hAnsi="Cambria Math"/>
                    </w:rPr>
                    <m:t>RCS</m:t>
                  </m:r>
                </m:sub>
              </m:sSub>
            </m:den>
          </m:f>
          <m:r>
            <m:rPr>
              <m:sty m:val="p"/>
            </m:rPr>
            <w:rPr>
              <w:rFonts w:ascii="Cambria Math" w:hAnsi="Cambria Math"/>
            </w:rPr>
            <m:t>,</m:t>
          </m:r>
          <m:r>
            <w:rPr>
              <w:rFonts w:ascii="Cambria Math" w:hAnsi="Cambria Math"/>
            </w:rPr>
            <m:t>  Π</m:t>
          </m:r>
          <m:r>
            <m:rPr>
              <m:sty m:val="p"/>
            </m:rPr>
            <w:rPr>
              <w:rFonts w:ascii="Cambria Math" w:hAnsi="Cambria Math"/>
            </w:rPr>
            <m:t>&gt;</m:t>
          </m:r>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⇒subcritical flow.</m:t>
          </m:r>
          <m:r>
            <w:rPr>
              <w:rFonts w:ascii="Cambria Math" w:hAnsi="Cambria Math"/>
            </w:rPr>
            <m:t>  </m:t>
          </m:r>
          <m:d>
            <m:dPr>
              <m:ctrlPr>
                <w:rPr>
                  <w:rFonts w:ascii="Cambria Math" w:hAnsi="Cambria Math"/>
                </w:rPr>
              </m:ctrlPr>
            </m:dPr>
            <m:e>
              <m:r>
                <w:rPr>
                  <w:rFonts w:ascii="Cambria Math" w:hAnsi="Cambria Math"/>
                </w:rPr>
                <m:t>2.30</m:t>
              </m:r>
            </m:e>
          </m:d>
        </m:oMath>
      </m:oMathPara>
    </w:p>
    <w:p w14:paraId="1CC7A886" w14:textId="77777777" w:rsidR="000F504F" w:rsidRDefault="00000000">
      <w:pPr>
        <w:pStyle w:val="FirstParagraph"/>
      </w:pPr>
      <w:r>
        <w:t xml:space="preserve">The default value </w:t>
      </w:r>
      <m:oMath>
        <m:sSub>
          <m:sSubPr>
            <m:ctrlPr>
              <w:rPr>
                <w:rFonts w:ascii="Cambria Math" w:hAnsi="Cambria Math"/>
              </w:rPr>
            </m:ctrlPr>
          </m:sSubPr>
          <m:e>
            <m:r>
              <w:rPr>
                <w:rFonts w:ascii="Cambria Math" w:hAnsi="Cambria Math"/>
              </w:rPr>
              <m:t>Π</m:t>
            </m:r>
          </m:e>
          <m:sub>
            <m:r>
              <w:rPr>
                <w:rFonts w:ascii="Cambria Math" w:hAnsi="Cambria Math"/>
              </w:rPr>
              <m:t>crit</m:t>
            </m:r>
          </m:sub>
        </m:sSub>
        <m:r>
          <m:rPr>
            <m:sty m:val="p"/>
          </m:rPr>
          <w:rPr>
            <w:rFonts w:ascii="Cambria Math" w:hAnsi="Cambria Math"/>
          </w:rPr>
          <m:t>=</m:t>
        </m:r>
        <m:r>
          <w:rPr>
            <w:rFonts w:ascii="Cambria Math" w:hAnsi="Cambria Math"/>
          </w:rPr>
          <m:t>0.55</m:t>
        </m:r>
      </m:oMath>
      <w:r>
        <w:t xml:space="preserve"> is a user-controllable screening parameter rather than a universal physical constant.</w:t>
      </w:r>
    </w:p>
    <w:p w14:paraId="3298D33B" w14:textId="77777777" w:rsidR="000F504F" w:rsidRDefault="00000000">
      <w:pPr>
        <w:pStyle w:val="Heading2"/>
      </w:pPr>
      <w:bookmarkStart w:id="16" w:name="_Toc231232861"/>
      <w:r>
        <w:t>2.8 PORV, Steam Generator, and Pump Models</w:t>
      </w:r>
      <w:bookmarkEnd w:id="16"/>
    </w:p>
    <w:p w14:paraId="2BEC3AE7" w14:textId="77777777" w:rsidR="000F504F" w:rsidRDefault="00000000">
      <w:pPr>
        <w:pStyle w:val="FirstParagraph"/>
      </w:pPr>
      <w:r>
        <w:t xml:space="preserve">The PORV model consists of a pressure-dependent state machine and a flow model. The state variable </w:t>
      </w:r>
      <m:oMath>
        <m:sSub>
          <m:sSubPr>
            <m:ctrlPr>
              <w:rPr>
                <w:rFonts w:ascii="Cambria Math" w:hAnsi="Cambria Math"/>
              </w:rPr>
            </m:ctrlPr>
          </m:sSubPr>
          <m:e>
            <m:r>
              <w:rPr>
                <w:rFonts w:ascii="Cambria Math" w:hAnsi="Cambria Math"/>
              </w:rPr>
              <m:t>f</m:t>
            </m:r>
          </m:e>
          <m:sub>
            <m:r>
              <w:rPr>
                <w:rFonts w:ascii="Cambria Math" w:hAnsi="Cambria Math"/>
              </w:rPr>
              <m:t>v</m:t>
            </m:r>
          </m:sub>
        </m:sSub>
      </m:oMath>
      <w:r>
        <w:t xml:space="preserve"> represents the fractional valve opening, with </w:t>
      </w:r>
      <m:oMath>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r>
          <m:rPr>
            <m:sty m:val="p"/>
          </m:rPr>
          <w:rPr>
            <w:rFonts w:ascii="Cambria Math" w:hAnsi="Cambria Math"/>
          </w:rPr>
          <m:t>≤</m:t>
        </m:r>
        <m:r>
          <w:rPr>
            <w:rFonts w:ascii="Cambria Math" w:hAnsi="Cambria Math"/>
          </w:rPr>
          <m:t>1</m:t>
        </m:r>
      </m:oMath>
      <w:r>
        <w:t>. During an opening stroke,</w:t>
      </w:r>
    </w:p>
    <w:p w14:paraId="209C79C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open</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2.31</m:t>
              </m:r>
            </m:e>
          </m:d>
        </m:oMath>
      </m:oMathPara>
    </w:p>
    <w:p w14:paraId="2DF964B2" w14:textId="77777777" w:rsidR="000F504F" w:rsidRDefault="00000000">
      <w:pPr>
        <w:pStyle w:val="FirstParagraph"/>
      </w:pPr>
      <w:r>
        <w:t>and during a closing stroke,</w:t>
      </w:r>
    </w:p>
    <w:p w14:paraId="5398D57B"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f</m:t>
                  </m:r>
                </m:e>
                <m:sub>
                  <m:r>
                    <w:rPr>
                      <w:rFonts w:ascii="Cambria Math" w:hAnsi="Cambria Math"/>
                    </w:rPr>
                    <m:t>v</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τ</m:t>
                  </m:r>
                </m:e>
                <m:sub>
                  <m:r>
                    <w:rPr>
                      <w:rFonts w:ascii="Cambria Math" w:hAnsi="Cambria Math"/>
                    </w:rPr>
                    <m:t>close</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2.32</m:t>
              </m:r>
            </m:e>
          </m:d>
        </m:oMath>
      </m:oMathPara>
    </w:p>
    <w:p w14:paraId="2942C134" w14:textId="77777777" w:rsidR="000F504F" w:rsidRDefault="00000000">
      <w:pPr>
        <w:pStyle w:val="FirstParagraph"/>
      </w:pPr>
      <w:r>
        <w:t xml:space="preserve">The effective valve area is </w:t>
      </w:r>
      <m:oMath>
        <m:sSub>
          <m:sSubPr>
            <m:ctrlPr>
              <w:rPr>
                <w:rFonts w:ascii="Cambria Math" w:hAnsi="Cambria Math"/>
              </w:rPr>
            </m:ctrlPr>
          </m:sSubPr>
          <m:e>
            <m:r>
              <w:rPr>
                <w:rFonts w:ascii="Cambria Math" w:hAnsi="Cambria Math"/>
              </w:rPr>
              <m:t>A</m:t>
            </m:r>
          </m:e>
          <m:sub>
            <m:r>
              <w:rPr>
                <w:rFonts w:ascii="Cambria Math" w:hAnsi="Cambria Math"/>
              </w:rPr>
              <m:t>PORV</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v</m:t>
            </m:r>
          </m:sub>
        </m:sSub>
        <m:sSub>
          <m:sSubPr>
            <m:ctrlPr>
              <w:rPr>
                <w:rFonts w:ascii="Cambria Math" w:hAnsi="Cambria Math"/>
              </w:rPr>
            </m:ctrlPr>
          </m:sSubPr>
          <m:e>
            <m:r>
              <w:rPr>
                <w:rFonts w:ascii="Cambria Math" w:hAnsi="Cambria Math"/>
              </w:rPr>
              <m:t>A</m:t>
            </m:r>
          </m:e>
          <m:sub>
            <m:r>
              <w:rPr>
                <w:rFonts w:ascii="Cambria Math" w:hAnsi="Cambria Math"/>
              </w:rPr>
              <m:t>PORV</m:t>
            </m:r>
            <m:r>
              <m:rPr>
                <m:sty m:val="p"/>
              </m:rPr>
              <w:rPr>
                <w:rFonts w:ascii="Cambria Math" w:hAnsi="Cambria Math"/>
              </w:rPr>
              <m:t>,</m:t>
            </m:r>
            <m:r>
              <w:rPr>
                <w:rFonts w:ascii="Cambria Math" w:hAnsi="Cambria Math"/>
              </w:rPr>
              <m:t>max</m:t>
            </m:r>
          </m:sub>
        </m:sSub>
      </m:oMath>
      <w:r>
        <w:t xml:space="preserve"> and the discharge enthalpy is normally the RCS stagnation enthalpy.</w:t>
      </w:r>
    </w:p>
    <w:p w14:paraId="00FAA27D" w14:textId="77777777" w:rsidR="000F504F" w:rsidRDefault="00000000">
      <w:pPr>
        <w:pStyle w:val="BodyText"/>
      </w:pPr>
      <w:r>
        <w:t>The steam generator model is a lumped heat-exchanger model:</w:t>
      </w:r>
    </w:p>
    <w:p w14:paraId="2A384A8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SG</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2.33</m:t>
              </m:r>
            </m:e>
          </m:d>
        </m:oMath>
      </m:oMathPara>
    </w:p>
    <w:p w14:paraId="4C903B4B" w14:textId="77777777" w:rsidR="000F504F" w:rsidRDefault="00000000">
      <w:pPr>
        <w:pStyle w:val="FirstParagraph"/>
      </w:pPr>
      <w:r>
        <w:t>The effective heat-transfer conductance scales with primary flow:</w:t>
      </w:r>
    </w:p>
    <w:p w14:paraId="543F8333" w14:textId="77777777" w:rsidR="000F504F" w:rsidRDefault="00000000">
      <w:pPr>
        <w:pStyle w:val="BodyText"/>
      </w:pPr>
      <m:oMathPara>
        <m:oMathParaPr>
          <m:jc m:val="center"/>
        </m:oMathParaP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eff</m:t>
              </m:r>
            </m:sub>
          </m:sSub>
          <m:r>
            <m:rPr>
              <m:sty m:val="p"/>
            </m:rPr>
            <w:rPr>
              <w:rFonts w:ascii="Cambria Math" w:hAnsi="Cambria Math"/>
            </w:rPr>
            <m:t>=</m:t>
          </m:r>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rated</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num>
                    <m:den>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2.34</m:t>
              </m:r>
            </m:e>
          </m:d>
        </m:oMath>
      </m:oMathPara>
    </w:p>
    <w:p w14:paraId="239920AF" w14:textId="77777777" w:rsidR="000F504F" w:rsidRDefault="00000000">
      <w:pPr>
        <w:pStyle w:val="FirstParagraph"/>
      </w:pPr>
      <w:r>
        <w:t>A primary-flow capacity diagnostic is calculated as</w:t>
      </w:r>
    </w:p>
    <w:p w14:paraId="4487954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flow</m:t>
              </m:r>
              <m:r>
                <m:rPr>
                  <m:sty m:val="p"/>
                </m:rPr>
                <w:rPr>
                  <w:rFonts w:ascii="Cambria Math" w:hAnsi="Cambria Math"/>
                </w:rPr>
                <m:t>-</m:t>
              </m:r>
              <m:r>
                <w:rPr>
                  <w:rFonts w:ascii="Cambria Math" w:hAnsi="Cambria Math"/>
                </w:rPr>
                <m:t>cap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pri</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pri</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sec</m:t>
                  </m:r>
                </m:sub>
              </m:sSub>
              <m:r>
                <m:rPr>
                  <m:sty m:val="p"/>
                </m:rPr>
                <w:rPr>
                  <w:rFonts w:ascii="Cambria Math" w:hAnsi="Cambria Math"/>
                </w:rPr>
                <m:t>,</m:t>
              </m:r>
              <m:r>
                <w:rPr>
                  <w:rFonts w:ascii="Cambria Math" w:hAnsi="Cambria Math"/>
                </w:rPr>
                <m:t>0</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2.35</m:t>
              </m:r>
            </m:e>
          </m:d>
        </m:oMath>
      </m:oMathPara>
    </w:p>
    <w:p w14:paraId="20772F2C" w14:textId="77777777" w:rsidR="000F504F" w:rsidRDefault="00000000">
      <w:pPr>
        <w:pStyle w:val="FirstParagraph"/>
      </w:pPr>
      <w:r>
        <w:t>RCP coastdown is represented by a first-order decay in normalized pump speed:</w:t>
      </w:r>
    </w:p>
    <w:p w14:paraId="1759650E" w14:textId="77777777" w:rsidR="000F504F" w:rsidRDefault="00000000">
      <w:pPr>
        <w:pStyle w:val="BodyText"/>
      </w:pPr>
      <m:oMathPara>
        <m:oMathParaPr>
          <m:jc m:val="center"/>
        </m:oMathParaPr>
        <m:oMath>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0</m:t>
              </m:r>
            </m:sub>
          </m:sSub>
          <m:r>
            <m:rPr>
              <m:sty m:val="p"/>
            </m:rPr>
            <w:rPr>
              <w:rFonts w:ascii="Cambria Math" w:hAnsi="Cambria Math"/>
            </w:rPr>
            <m:t>exp</m:t>
          </m:r>
          <m:d>
            <m:dPr>
              <m:begChr m:val="["/>
              <m:endChr m:val="]"/>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trip</m:t>
                      </m:r>
                    </m:sub>
                  </m:sSub>
                </m:num>
                <m:den>
                  <m:sSub>
                    <m:sSubPr>
                      <m:ctrlPr>
                        <w:rPr>
                          <w:rFonts w:ascii="Cambria Math" w:hAnsi="Cambria Math"/>
                        </w:rPr>
                      </m:ctrlPr>
                    </m:sSubPr>
                    <m:e>
                      <m:r>
                        <w:rPr>
                          <w:rFonts w:ascii="Cambria Math" w:hAnsi="Cambria Math"/>
                        </w:rPr>
                        <m:t>τ</m:t>
                      </m:r>
                    </m:e>
                    <m:sub>
                      <m:r>
                        <w:rPr>
                          <w:rFonts w:ascii="Cambria Math" w:hAnsi="Cambria Math"/>
                        </w:rPr>
                        <m:t>p</m:t>
                      </m:r>
                    </m:sub>
                  </m:sSub>
                </m:den>
              </m:f>
            </m:e>
          </m:d>
          <m:r>
            <m:rPr>
              <m:sty m:val="p"/>
            </m:rPr>
            <w:rPr>
              <w:rFonts w:ascii="Cambria Math" w:hAnsi="Cambria Math"/>
            </w:rPr>
            <m:t>,</m:t>
          </m:r>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pri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rated</m:t>
              </m:r>
            </m:sub>
          </m:sSub>
          <m:d>
            <m:dPr>
              <m:ctrlPr>
                <w:rPr>
                  <w:rFonts w:ascii="Cambria Math" w:hAnsi="Cambria Math"/>
                </w:rPr>
              </m:ctrlPr>
            </m:dPr>
            <m:e>
              <m:f>
                <m:fPr>
                  <m:ctrlPr>
                    <w:rPr>
                      <w:rFonts w:ascii="Cambria Math" w:hAnsi="Cambria Math"/>
                    </w:rPr>
                  </m:ctrlPr>
                </m:fPr>
                <m:num>
                  <m:r>
                    <w:rPr>
                      <w:rFonts w:ascii="Cambria Math" w:hAnsi="Cambria Math"/>
                    </w:rPr>
                    <m:t>ω</m:t>
                  </m:r>
                </m:num>
                <m:den>
                  <m:sSub>
                    <m:sSubPr>
                      <m:ctrlPr>
                        <w:rPr>
                          <w:rFonts w:ascii="Cambria Math" w:hAnsi="Cambria Math"/>
                        </w:rPr>
                      </m:ctrlPr>
                    </m:sSubPr>
                    <m:e>
                      <m:r>
                        <w:rPr>
                          <w:rFonts w:ascii="Cambria Math" w:hAnsi="Cambria Math"/>
                        </w:rPr>
                        <m:t>ω</m:t>
                      </m:r>
                    </m:e>
                    <m:sub>
                      <m:r>
                        <w:rPr>
                          <w:rFonts w:ascii="Cambria Math" w:hAnsi="Cambria Math"/>
                        </w:rPr>
                        <m:t>0</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2.36</m:t>
              </m:r>
            </m:e>
          </m:d>
        </m:oMath>
      </m:oMathPara>
    </w:p>
    <w:p w14:paraId="5B869B28" w14:textId="77777777" w:rsidR="000F504F" w:rsidRDefault="00000000">
      <w:pPr>
        <w:pStyle w:val="FirstParagraph"/>
      </w:pPr>
      <w:r>
        <w:t>The model does not solve a full pump/system hydraulic curve balance. It provides a reasonable coastdown forcing function for the heat-transfer and steam-generator models.</w:t>
      </w:r>
    </w:p>
    <w:p w14:paraId="55FB3BE6" w14:textId="77777777" w:rsidR="000F504F" w:rsidRDefault="00000000">
      <w:pPr>
        <w:pStyle w:val="Heading2"/>
      </w:pPr>
      <w:bookmarkStart w:id="17" w:name="_Toc231232862"/>
      <w:r>
        <w:t>2.9 Collapsed Level and Inventory Diagnostics</w:t>
      </w:r>
      <w:bookmarkEnd w:id="17"/>
    </w:p>
    <w:p w14:paraId="2235D5C0" w14:textId="77777777" w:rsidR="000F504F" w:rsidRDefault="00000000">
      <w:pPr>
        <w:pStyle w:val="FirstParagraph"/>
      </w:pPr>
      <w:r>
        <w:t>The collapsed liquid level is a diagnostic measure of inventory. The liquid volume is estimated from the mass and equilibrium quality:</w:t>
      </w:r>
    </w:p>
    <w:p w14:paraId="0655EF8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l</m:t>
              </m:r>
            </m:sub>
          </m:sSub>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eq</m:t>
                      </m:r>
                    </m:sub>
                  </m:sSub>
                </m:e>
              </m:d>
              <m:r>
                <w:rPr>
                  <w:rFonts w:ascii="Cambria Math" w:hAnsi="Cambria Math"/>
                </w:rPr>
                <m:t>M</m:t>
              </m:r>
            </m:num>
            <m:den>
              <m:sSub>
                <m:sSubPr>
                  <m:ctrlPr>
                    <w:rPr>
                      <w:rFonts w:ascii="Cambria Math" w:hAnsi="Cambria Math"/>
                    </w:rPr>
                  </m:ctrlPr>
                </m:sSubPr>
                <m:e>
                  <m:r>
                    <w:rPr>
                      <w:rFonts w:ascii="Cambria Math" w:hAnsi="Cambria Math"/>
                    </w:rPr>
                    <m:t>ρ</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2.37</m:t>
              </m:r>
            </m:e>
          </m:d>
        </m:oMath>
      </m:oMathPara>
    </w:p>
    <w:p w14:paraId="29D21004" w14:textId="77777777" w:rsidR="000F504F" w:rsidRDefault="00000000">
      <w:pPr>
        <w:pStyle w:val="FirstParagraph"/>
      </w:pPr>
      <w:r>
        <w:t>The collapsed level in the vessel is then</w:t>
      </w:r>
    </w:p>
    <w:p w14:paraId="7ABD2F5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vessel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m:t>
                  </m:r>
                </m:sub>
              </m:sSub>
            </m:num>
            <m:den>
              <m:sSub>
                <m:sSubPr>
                  <m:ctrlPr>
                    <w:rPr>
                      <w:rFonts w:ascii="Cambria Math" w:hAnsi="Cambria Math"/>
                    </w:rPr>
                  </m:ctrlPr>
                </m:sSubPr>
                <m:e>
                  <m:r>
                    <w:rPr>
                      <w:rFonts w:ascii="Cambria Math" w:hAnsi="Cambria Math"/>
                    </w:rPr>
                    <m:t>A</m:t>
                  </m:r>
                </m:e>
                <m:sub>
                  <m:r>
                    <w:rPr>
                      <w:rFonts w:ascii="Cambria Math" w:hAnsi="Cambria Math"/>
                    </w:rPr>
                    <m:t>vessel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2.38</m:t>
              </m:r>
            </m:e>
          </m:d>
        </m:oMath>
      </m:oMathPara>
    </w:p>
    <w:p w14:paraId="46CEC852" w14:textId="77777777" w:rsidR="000F504F" w:rsidRDefault="00000000">
      <w:pPr>
        <w:pStyle w:val="FirstParagraph"/>
      </w:pPr>
      <w:r>
        <w:t>subject to the lower and upper geometric bounds specified by the input model. This diagnostic is useful for identifying core uncovery, reflood, and dry-core transitions, but it should not be interpreted as a spatially resolved vessel level.</w:t>
      </w:r>
    </w:p>
    <w:p w14:paraId="05E7BAD9" w14:textId="77777777" w:rsidR="000F504F" w:rsidRDefault="00000000">
      <w:pPr>
        <w:pStyle w:val="Heading1"/>
      </w:pPr>
      <w:bookmarkStart w:id="18" w:name="_Toc231232863"/>
      <w:r>
        <w:t>Chapter 3 — Accumulator and ECCS Models</w:t>
      </w:r>
      <w:bookmarkEnd w:id="18"/>
    </w:p>
    <w:p w14:paraId="25F7CE22" w14:textId="77777777" w:rsidR="000F504F" w:rsidRDefault="00000000">
      <w:pPr>
        <w:pStyle w:val="Heading2"/>
      </w:pPr>
      <w:bookmarkStart w:id="19" w:name="_Toc231232864"/>
      <w:r>
        <w:t>3.1 Accumulator Thermodynamic Model</w:t>
      </w:r>
      <w:bookmarkEnd w:id="19"/>
    </w:p>
    <w:p w14:paraId="2EABA3C7" w14:textId="77777777" w:rsidR="000F504F" w:rsidRDefault="00000000">
      <w:pPr>
        <w:pStyle w:val="FirstParagraph"/>
      </w:pPr>
      <w:r>
        <w:t>The accumulator is represented as a liquid water volume pressurized by a nitrogen gas space. The gas pressure follows a polytropic expansion law:</w:t>
      </w:r>
    </w:p>
    <w:p w14:paraId="09B6D05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sSubSup>
            <m:sSubSupPr>
              <m:ctrlPr>
                <w:rPr>
                  <w:rFonts w:ascii="Cambria Math" w:hAnsi="Cambria Math"/>
                </w:rPr>
              </m:ctrlPr>
            </m:sSubSupPr>
            <m:e>
              <m:r>
                <w:rPr>
                  <w:rFonts w:ascii="Cambria Math" w:hAnsi="Cambria Math"/>
                </w:rPr>
                <m:t>V</m:t>
              </m:r>
            </m:e>
            <m:sub>
              <m:r>
                <w:rPr>
                  <w:rFonts w:ascii="Cambria Math" w:hAnsi="Cambria Math"/>
                </w:rPr>
                <m:t>g</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m:t>
              </m:r>
            </m:e>
          </m:d>
        </m:oMath>
      </m:oMathPara>
    </w:p>
    <w:p w14:paraId="4562E17C" w14:textId="77777777" w:rsidR="000F504F" w:rsidRDefault="00000000">
      <w:pPr>
        <w:pStyle w:val="FirstParagraph"/>
      </w:pPr>
      <w:r>
        <w:t xml:space="preserve">If the initial gas pressure and gas volume are </w:t>
      </w:r>
      <m:oMath>
        <m:sSub>
          <m:sSubPr>
            <m:ctrlPr>
              <w:rPr>
                <w:rFonts w:ascii="Cambria Math" w:hAnsi="Cambria Math"/>
              </w:rPr>
            </m:ctrlPr>
          </m:sSubPr>
          <m:e>
            <m:r>
              <w:rPr>
                <w:rFonts w:ascii="Cambria Math" w:hAnsi="Cambria Math"/>
              </w:rPr>
              <m:t>P</m:t>
            </m:r>
          </m:e>
          <m:sub>
            <m:r>
              <w:rPr>
                <w:rFonts w:ascii="Cambria Math" w:hAnsi="Cambria Math"/>
              </w:rPr>
              <m:t>g0</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g0</m:t>
            </m:r>
          </m:sub>
        </m:sSub>
      </m:oMath>
      <w:r>
        <w:t>, then</w:t>
      </w:r>
    </w:p>
    <w:p w14:paraId="7D712A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g0</m:t>
              </m:r>
            </m:sub>
          </m:sSub>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g0</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e>
              </m:d>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3.2</m:t>
              </m:r>
            </m:e>
          </m:d>
        </m:oMath>
      </m:oMathPara>
    </w:p>
    <w:p w14:paraId="7965985E" w14:textId="77777777" w:rsidR="000F504F" w:rsidRDefault="00000000">
      <w:pPr>
        <w:pStyle w:val="FirstParagraph"/>
      </w:pPr>
      <w:r>
        <w:t>As water leaves the accumulator, the gas volume increases:</w:t>
      </w:r>
    </w:p>
    <w:p w14:paraId="499341E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V</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g0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r>
                <m:rPr>
                  <m:sty m:val="p"/>
                </m:rPr>
                <w:rPr>
                  <w:rFonts w:ascii="Cambria Math" w:hAnsi="Cambria Math"/>
                </w:rPr>
                <m:t>,</m:t>
              </m:r>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w</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3.3</m:t>
              </m:r>
            </m:e>
          </m:d>
        </m:oMath>
      </m:oMathPara>
    </w:p>
    <w:p w14:paraId="315479E9" w14:textId="77777777" w:rsidR="000F504F" w:rsidRDefault="00000000">
      <w:pPr>
        <w:pStyle w:val="FirstParagraph"/>
      </w:pPr>
      <w:r>
        <w:t>Accumulator injection is enabled when</w:t>
      </w:r>
    </w:p>
    <w:p w14:paraId="10D5B990"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&gt;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3.4</m:t>
              </m:r>
            </m:e>
          </m:d>
        </m:oMath>
      </m:oMathPara>
    </w:p>
    <w:p w14:paraId="723C7B96" w14:textId="77777777" w:rsidR="000F504F" w:rsidRDefault="00000000">
      <w:pPr>
        <w:pStyle w:val="FirstParagraph"/>
      </w:pPr>
      <w:r>
        <w:t>The accumulator discharge flow is calculated as an orifice-like hydraulic flow:</w:t>
      </w:r>
    </w:p>
    <w:p w14:paraId="155E2520"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acc</m:t>
              </m:r>
              <m:r>
                <m:rPr>
                  <m:sty m:val="p"/>
                </m:rPr>
                <w:rPr>
                  <w:rFonts w:ascii="Cambria Math" w:hAnsi="Cambria Math"/>
                </w:rPr>
                <m:t>,</m:t>
              </m:r>
              <m:r>
                <w:rPr>
                  <w:rFonts w:ascii="Cambria Math" w:hAnsi="Cambria Math"/>
                </w:rPr>
                <m:t>d</m:t>
              </m:r>
            </m:sub>
          </m:sSub>
          <m:sSub>
            <m:sSubPr>
              <m:ctrlPr>
                <w:rPr>
                  <w:rFonts w:ascii="Cambria Math" w:hAnsi="Cambria Math"/>
                </w:rPr>
              </m:ctrlPr>
            </m:sSubPr>
            <m:e>
              <m:r>
                <w:rPr>
                  <w:rFonts w:ascii="Cambria Math" w:hAnsi="Cambria Math"/>
                </w:rPr>
                <m:t>A</m:t>
              </m:r>
            </m:e>
            <m:sub>
              <m:r>
                <w:rPr>
                  <w:rFonts w:ascii="Cambria Math" w:hAnsi="Cambria Math"/>
                </w:rPr>
                <m:t>acc</m:t>
              </m:r>
              <m:r>
                <m:rPr>
                  <m:sty m:val="p"/>
                </m:rPr>
                <w:rPr>
                  <w:rFonts w:ascii="Cambria Math" w:hAnsi="Cambria Math"/>
                </w:rPr>
                <m:t>,</m:t>
              </m:r>
              <m:r>
                <w:rPr>
                  <w:rFonts w:ascii="Cambria Math" w:hAnsi="Cambria Math"/>
                </w:rPr>
                <m:t>line</m:t>
              </m:r>
            </m:sub>
          </m:sSub>
          <m:rad>
            <m:radPr>
              <m:degHide m:val="1"/>
              <m:ctrlPr>
                <w:rPr>
                  <w:rFonts w:ascii="Cambria Math" w:hAnsi="Cambria Math"/>
                </w:rPr>
              </m:ctrlPr>
            </m:radPr>
            <m:deg/>
            <m:e>
              <m:r>
                <w:rPr>
                  <w:rFonts w:ascii="Cambria Math" w:hAnsi="Cambria Math"/>
                </w:rPr>
                <m:t>2</m:t>
              </m:r>
              <m:sSub>
                <m:sSubPr>
                  <m:ctrlPr>
                    <w:rPr>
                      <w:rFonts w:ascii="Cambria Math" w:hAnsi="Cambria Math"/>
                    </w:rPr>
                  </m:ctrlPr>
                </m:sSubPr>
                <m:e>
                  <m:r>
                    <w:rPr>
                      <w:rFonts w:ascii="Cambria Math" w:hAnsi="Cambria Math"/>
                    </w:rPr>
                    <m:t>ρ</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check</m:t>
                      </m:r>
                    </m:sub>
                  </m:sSub>
                </m:e>
              </m:d>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3.5</m:t>
              </m:r>
            </m:e>
          </m:d>
        </m:oMath>
      </m:oMathPara>
    </w:p>
    <w:p w14:paraId="57C30B60" w14:textId="77777777" w:rsidR="000F504F" w:rsidRDefault="00000000">
      <w:pPr>
        <w:pStyle w:val="FirstParagraph"/>
      </w:pPr>
      <w:r>
        <w:t>The water inventory update is</w:t>
      </w:r>
    </w:p>
    <w:p w14:paraId="7098380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w</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num>
            <m:den>
              <m:sSub>
                <m:sSubPr>
                  <m:ctrlPr>
                    <w:rPr>
                      <w:rFonts w:ascii="Cambria Math" w:hAnsi="Cambria Math"/>
                    </w:rPr>
                  </m:ctrlPr>
                </m:sSubPr>
                <m:e>
                  <m:r>
                    <w:rPr>
                      <w:rFonts w:ascii="Cambria Math" w:hAnsi="Cambria Math"/>
                    </w:rPr>
                    <m:t>ρ</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3.6</m:t>
              </m:r>
            </m:e>
          </m:d>
        </m:oMath>
      </m:oMathPara>
    </w:p>
    <w:p w14:paraId="1AAAD37E" w14:textId="77777777" w:rsidR="000F504F" w:rsidRDefault="00000000">
      <w:pPr>
        <w:pStyle w:val="FirstParagraph"/>
      </w:pPr>
      <w:r>
        <w:t xml:space="preserve">When </w:t>
      </w:r>
      <m:oMath>
        <m:sSub>
          <m:sSubPr>
            <m:ctrlPr>
              <w:rPr>
                <w:rFonts w:ascii="Cambria Math" w:hAnsi="Cambria Math"/>
              </w:rPr>
            </m:ctrlPr>
          </m:sSubPr>
          <m:e>
            <m:r>
              <w:rPr>
                <w:rFonts w:ascii="Cambria Math" w:hAnsi="Cambria Math"/>
              </w:rPr>
              <m:t>V</m:t>
            </m:r>
          </m:e>
          <m:sub>
            <m:r>
              <w:rPr>
                <w:rFonts w:ascii="Cambria Math" w:hAnsi="Cambria Math"/>
              </w:rPr>
              <m:t>w</m:t>
            </m:r>
          </m:sub>
        </m:sSub>
      </m:oMath>
      <w:r>
        <w:t xml:space="preserve"> reaches the specified unusable or depleted volume, injection is terminated. The accumulator enthalpy is calculated from the specified accumulator water temperature and appears in the RCS energy equation through the term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acc</m:t>
            </m:r>
          </m:sub>
        </m:sSub>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acc</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RCS</m:t>
                </m:r>
              </m:sub>
            </m:sSub>
          </m:e>
        </m:d>
      </m:oMath>
      <w:r>
        <w:t>.</w:t>
      </w:r>
    </w:p>
    <w:p w14:paraId="268045FE" w14:textId="77777777" w:rsidR="000F504F" w:rsidRDefault="00000000">
      <w:pPr>
        <w:pStyle w:val="Heading2"/>
      </w:pPr>
      <w:bookmarkStart w:id="20" w:name="_Toc231232865"/>
      <w:r>
        <w:t>3.2 Pumped Safety Injection</w:t>
      </w:r>
      <w:bookmarkEnd w:id="20"/>
    </w:p>
    <w:p w14:paraId="2209E41D" w14:textId="77777777" w:rsidR="000F504F" w:rsidRDefault="00000000">
      <w:pPr>
        <w:pStyle w:val="FirstParagraph"/>
      </w:pPr>
      <w:r>
        <w:t xml:space="preserve">High-pressure and low-pressure safety injection are modeled as engineered safety feature pumps with pressure-dependent flow degradation. For a pump train </w:t>
      </w:r>
      <m:oMath>
        <m:r>
          <w:rPr>
            <w:rFonts w:ascii="Cambria Math" w:hAnsi="Cambria Math"/>
          </w:rPr>
          <m:t>i</m:t>
        </m:r>
      </m:oMath>
      <w:r>
        <w:t xml:space="preserve">, the rated flow is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oMath>
      <w:r>
        <w:t xml:space="preserve"> at favorable backpressure and the shutoff pressure is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oMath>
      <w:r>
        <w:t>. The available flow is</w:t>
      </w:r>
    </w:p>
    <w:p w14:paraId="7080E0E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r>
                <m:rPr>
                  <m:sty m:val="p"/>
                </m:rPr>
                <w:rPr>
                  <w:rFonts w:ascii="Cambria Math" w:hAnsi="Cambria Math"/>
                </w:rPr>
                <m:t>,</m:t>
              </m:r>
              <m:r>
                <w:rPr>
                  <w:rFonts w:ascii="Cambria Math" w:hAnsi="Cambria Math"/>
                </w:rPr>
                <m:t>r</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num>
                <m:den>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shut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m:t>
                      </m:r>
                      <m:r>
                        <w:rPr>
                          <w:rFonts w:ascii="Cambria Math" w:hAnsi="Cambria Math"/>
                        </w:rPr>
                        <m:t>ref</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3.7</m:t>
              </m:r>
            </m:e>
          </m:d>
        </m:oMath>
      </m:oMathPara>
    </w:p>
    <w:p w14:paraId="1B412336" w14:textId="77777777" w:rsidR="000F504F" w:rsidRDefault="00000000">
      <w:pPr>
        <w:pStyle w:val="FirstParagraph"/>
      </w:pPr>
      <w:r>
        <w:t>The pump is available only after ESFAS actuation and any specified injection delay:</w:t>
      </w:r>
    </w:p>
    <w:p w14:paraId="2CF09D12"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SI</m:t>
              </m:r>
              <m:r>
                <m:rPr>
                  <m:sty m:val="p"/>
                </m:rPr>
                <w:rPr>
                  <w:rFonts w:ascii="Cambria Math" w:hAnsi="Cambria Math"/>
                </w:rPr>
                <m:t>,</m:t>
              </m:r>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i</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3.8</m:t>
              </m:r>
            </m:e>
          </m:d>
        </m:oMath>
      </m:oMathPara>
    </w:p>
    <w:p w14:paraId="25C675D6" w14:textId="77777777" w:rsidR="000F504F" w:rsidRDefault="00000000">
      <w:pPr>
        <w:pStyle w:val="FirstParagraph"/>
      </w:pPr>
      <w:r>
        <w:t>The total pumped injection is</w:t>
      </w:r>
    </w:p>
    <w:p w14:paraId="49A3525B"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pumped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HPSI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LPSI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3.9</m:t>
              </m:r>
            </m:e>
          </m:d>
        </m:oMath>
      </m:oMathPara>
    </w:p>
    <w:p w14:paraId="199B4F11" w14:textId="77777777" w:rsidR="000F504F" w:rsidRDefault="00000000">
      <w:pPr>
        <w:pStyle w:val="Heading2"/>
      </w:pPr>
      <w:bookmarkStart w:id="21" w:name="_Toc231232866"/>
      <w:r>
        <w:t>3.3 CVCS Makeup and Letdown</w:t>
      </w:r>
      <w:bookmarkEnd w:id="21"/>
    </w:p>
    <w:p w14:paraId="76350921" w14:textId="77777777" w:rsidR="000F504F" w:rsidRDefault="00000000">
      <w:pPr>
        <w:pStyle w:val="FirstParagraph"/>
      </w:pPr>
      <w:r>
        <w:t>The Chemical and Volume Control System is represented by independent makeup and letdown terms:</w:t>
      </w:r>
    </w:p>
    <w:p w14:paraId="6BAC1B8A"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CVCS</m:t>
              </m:r>
              <m:r>
                <m:rPr>
                  <m:sty m:val="p"/>
                </m:rPr>
                <w:rPr>
                  <w:rFonts w:ascii="Cambria Math" w:hAnsi="Cambria Math"/>
                </w:rPr>
                <m:t>,</m:t>
              </m:r>
              <m:r>
                <w:rPr>
                  <w:rFonts w:ascii="Cambria Math" w:hAnsi="Cambria Math"/>
                </w:rPr>
                <m:t>net</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3.10</m:t>
              </m:r>
            </m:e>
          </m:d>
        </m:oMath>
      </m:oMathPara>
    </w:p>
    <w:p w14:paraId="44A97458" w14:textId="77777777" w:rsidR="000F504F" w:rsidRDefault="00000000">
      <w:pPr>
        <w:pStyle w:val="FirstParagraph"/>
      </w:pPr>
      <w:r>
        <w:t xml:space="preserve">For steady-state initialization or benign transients, balanced operation is represented by </w:t>
      </w: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makeup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letdown</m:t>
            </m:r>
          </m:sub>
        </m:sSub>
      </m:oMath>
      <w:r>
        <w:t>. The net CVCS term contributes to the RCS mass balance and, through its inlet enthalpy, to the energy balance.</w:t>
      </w:r>
    </w:p>
    <w:p w14:paraId="33E12D82" w14:textId="77777777" w:rsidR="000F504F" w:rsidRDefault="00000000">
      <w:pPr>
        <w:pStyle w:val="Heading1"/>
      </w:pPr>
      <w:bookmarkStart w:id="22" w:name="_Toc231232867"/>
      <w:r>
        <w:lastRenderedPageBreak/>
        <w:t>Chapter 4 — Core and Fuel Models</w:t>
      </w:r>
      <w:bookmarkEnd w:id="22"/>
    </w:p>
    <w:p w14:paraId="609BB063" w14:textId="77777777" w:rsidR="000F504F" w:rsidRDefault="00000000">
      <w:pPr>
        <w:pStyle w:val="Heading2"/>
      </w:pPr>
      <w:bookmarkStart w:id="23" w:name="_Toc231232868"/>
      <w:r>
        <w:t>4.1 Rod-Bundle Geometry</w:t>
      </w:r>
      <w:bookmarkEnd w:id="23"/>
    </w:p>
    <w:p w14:paraId="4FCAAFD6" w14:textId="77777777" w:rsidR="000F504F" w:rsidRDefault="00000000">
      <w:pPr>
        <w:pStyle w:val="FirstParagraph"/>
      </w:pPr>
      <w:r>
        <w:t xml:space="preserve">The core is represented by an equivalent heated rod bundle. The user specifies the number of pins </w:t>
      </w:r>
      <m:oMath>
        <m:sSub>
          <m:sSubPr>
            <m:ctrlPr>
              <w:rPr>
                <w:rFonts w:ascii="Cambria Math" w:hAnsi="Cambria Math"/>
              </w:rPr>
            </m:ctrlPr>
          </m:sSubPr>
          <m:e>
            <m:r>
              <w:rPr>
                <w:rFonts w:ascii="Cambria Math" w:hAnsi="Cambria Math"/>
              </w:rPr>
              <m:t>N</m:t>
            </m:r>
          </m:e>
          <m:sub>
            <m:r>
              <w:rPr>
                <w:rFonts w:ascii="Cambria Math" w:hAnsi="Cambria Math"/>
              </w:rPr>
              <m:t>pin</m:t>
            </m:r>
          </m:sub>
        </m:sSub>
      </m:oMath>
      <w:r>
        <w:t xml:space="preserve">, outer pin diameter </w:t>
      </w:r>
      <m:oMath>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rod pitch </w:t>
      </w:r>
      <m:oMath>
        <m:r>
          <w:rPr>
            <w:rFonts w:ascii="Cambria Math" w:hAnsi="Cambria Math"/>
          </w:rPr>
          <m:t>p</m:t>
        </m:r>
      </m:oMath>
      <w:r>
        <w:t xml:space="preserve">, heated length </w:t>
      </w:r>
      <m:oMath>
        <m:sSub>
          <m:sSubPr>
            <m:ctrlPr>
              <w:rPr>
                <w:rFonts w:ascii="Cambria Math" w:hAnsi="Cambria Math"/>
              </w:rPr>
            </m:ctrlPr>
          </m:sSubPr>
          <m:e>
            <m:r>
              <w:rPr>
                <w:rFonts w:ascii="Cambria Math" w:hAnsi="Cambria Math"/>
              </w:rPr>
              <m:t>L</m:t>
            </m:r>
          </m:e>
          <m:sub>
            <m:r>
              <w:rPr>
                <w:rFonts w:ascii="Cambria Math" w:hAnsi="Cambria Math"/>
              </w:rPr>
              <m:t>h</m:t>
            </m:r>
          </m:sub>
        </m:sSub>
      </m:oMath>
      <w:r>
        <w:t xml:space="preserve">, cladding thickness </w:t>
      </w:r>
      <m:oMath>
        <m:sSub>
          <m:sSubPr>
            <m:ctrlPr>
              <w:rPr>
                <w:rFonts w:ascii="Cambria Math" w:hAnsi="Cambria Math"/>
              </w:rPr>
            </m:ctrlPr>
          </m:sSubPr>
          <m:e>
            <m:r>
              <w:rPr>
                <w:rFonts w:ascii="Cambria Math" w:hAnsi="Cambria Math"/>
              </w:rPr>
              <m:t>δ</m:t>
            </m:r>
          </m:e>
          <m:sub>
            <m:r>
              <w:rPr>
                <w:rFonts w:ascii="Cambria Math" w:hAnsi="Cambria Math"/>
              </w:rPr>
              <m:t>c</m:t>
            </m:r>
          </m:sub>
        </m:sSub>
      </m:oMath>
      <w:r>
        <w:t xml:space="preserve">,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axial peaking factor </w:t>
      </w:r>
      <m:oMath>
        <m:sSub>
          <m:sSubPr>
            <m:ctrlPr>
              <w:rPr>
                <w:rFonts w:ascii="Cambria Math" w:hAnsi="Cambria Math"/>
              </w:rPr>
            </m:ctrlPr>
          </m:sSubPr>
          <m:e>
            <m:r>
              <w:rPr>
                <w:rFonts w:ascii="Cambria Math" w:hAnsi="Cambria Math"/>
              </w:rPr>
              <m:t>F</m:t>
            </m:r>
          </m:e>
          <m:sub>
            <m:r>
              <w:rPr>
                <w:rFonts w:ascii="Cambria Math" w:hAnsi="Cambria Math"/>
              </w:rPr>
              <m:t>z</m:t>
            </m:r>
          </m:sub>
        </m:sSub>
      </m:oMath>
      <w:r>
        <w:t>. The heated surface area is</w:t>
      </w:r>
    </w:p>
    <w:p w14:paraId="2DC897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sSub>
            <m:sSubPr>
              <m:ctrlPr>
                <w:rPr>
                  <w:rFonts w:ascii="Cambria Math" w:hAnsi="Cambria Math"/>
                </w:rPr>
              </m:ctrlPr>
            </m:sSubPr>
            <m:e>
              <m:r>
                <w:rPr>
                  <w:rFonts w:ascii="Cambria Math" w:hAnsi="Cambria Math"/>
                </w:rPr>
                <m:t>L</m:t>
              </m:r>
            </m:e>
            <m:sub>
              <m:r>
                <w:rPr>
                  <w:rFonts w:ascii="Cambria Math" w:hAnsi="Cambria Math"/>
                </w:rPr>
                <m:t>h</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m:t>
              </m:r>
            </m:e>
          </m:d>
        </m:oMath>
      </m:oMathPara>
    </w:p>
    <w:p w14:paraId="0375A039" w14:textId="77777777" w:rsidR="000F504F" w:rsidRDefault="00000000">
      <w:pPr>
        <w:pStyle w:val="FirstParagraph"/>
      </w:pPr>
      <w:r>
        <w:t>The equivalent flow area for a square-pitch array is approximated as</w:t>
      </w:r>
    </w:p>
    <w:p w14:paraId="5290560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flow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d>
            <m:dPr>
              <m:ctrlPr>
                <w:rPr>
                  <w:rFonts w:ascii="Cambria Math" w:hAnsi="Cambria Math"/>
                </w:rPr>
              </m:ctrlPr>
            </m:dPr>
            <m:e>
              <m:sSup>
                <m:sSupPr>
                  <m:ctrlPr>
                    <w:rPr>
                      <w:rFonts w:ascii="Cambria Math" w:hAnsi="Cambria Math"/>
                    </w:rPr>
                  </m:ctrlPr>
                </m:sSupPr>
                <m:e>
                  <m:r>
                    <w:rPr>
                      <w:rFonts w:ascii="Cambria Math" w:hAnsi="Cambria Math"/>
                    </w:rPr>
                    <m:t>p</m:t>
                  </m:r>
                </m:e>
                <m:sup>
                  <m:r>
                    <w:rPr>
                      <w:rFonts w:ascii="Cambria Math" w:hAnsi="Cambria Math"/>
                    </w:rPr>
                    <m:t>2</m:t>
                  </m:r>
                </m:sup>
              </m:sSup>
              <m:r>
                <m:rPr>
                  <m:sty m:val="p"/>
                </m:rPr>
                <w:rPr>
                  <w:rFonts w:ascii="Cambria Math" w:hAnsi="Cambria Math"/>
                </w:rPr>
                <m:t>-</m:t>
              </m:r>
              <m:f>
                <m:fPr>
                  <m:ctrlPr>
                    <w:rPr>
                      <w:rFonts w:ascii="Cambria Math" w:hAnsi="Cambria Math"/>
                    </w:rPr>
                  </m:ctrlPr>
                </m:fPr>
                <m:num>
                  <m:r>
                    <w:rPr>
                      <w:rFonts w:ascii="Cambria Math" w:hAnsi="Cambria Math"/>
                    </w:rPr>
                    <m:t>π</m:t>
                  </m:r>
                  <m:sSubSup>
                    <m:sSubSupPr>
                      <m:ctrlPr>
                        <w:rPr>
                          <w:rFonts w:ascii="Cambria Math" w:hAnsi="Cambria Math"/>
                        </w:rPr>
                      </m:ctrlPr>
                    </m:sSubSupPr>
                    <m:e>
                      <m:r>
                        <w:rPr>
                          <w:rFonts w:ascii="Cambria Math" w:hAnsi="Cambria Math"/>
                        </w:rPr>
                        <m:t>D</m:t>
                      </m:r>
                    </m:e>
                    <m:sub>
                      <m:r>
                        <w:rPr>
                          <w:rFonts w:ascii="Cambria Math" w:hAnsi="Cambria Math"/>
                        </w:rPr>
                        <m:t>o</m:t>
                      </m:r>
                    </m:sub>
                    <m:sup>
                      <m:r>
                        <w:rPr>
                          <w:rFonts w:ascii="Cambria Math" w:hAnsi="Cambria Math"/>
                        </w:rPr>
                        <m:t>2</m:t>
                      </m:r>
                    </m:sup>
                  </m:sSubSup>
                </m:num>
                <m:den>
                  <m:r>
                    <w:rPr>
                      <w:rFonts w:ascii="Cambria Math" w:hAnsi="Cambria Math"/>
                    </w:rPr>
                    <m:t>4</m:t>
                  </m:r>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m:t>
              </m:r>
            </m:e>
          </m:d>
        </m:oMath>
      </m:oMathPara>
    </w:p>
    <w:p w14:paraId="0640B0D9" w14:textId="77777777" w:rsidR="000F504F" w:rsidRDefault="00000000">
      <w:pPr>
        <w:pStyle w:val="FirstParagraph"/>
      </w:pPr>
      <w:r>
        <w:t xml:space="preserve">The wetted perimeter is </w:t>
      </w:r>
      <m:oMath>
        <m:sSub>
          <m:sSubPr>
            <m:ctrlPr>
              <w:rPr>
                <w:rFonts w:ascii="Cambria Math" w:hAnsi="Cambria Math"/>
              </w:rPr>
            </m:ctrlPr>
          </m:sSubPr>
          <m:e>
            <m:r>
              <w:rPr>
                <w:rFonts w:ascii="Cambria Math" w:hAnsi="Cambria Math"/>
              </w:rPr>
              <m:t>P</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pin</m:t>
            </m:r>
          </m:sub>
        </m:sSub>
        <m:r>
          <w:rPr>
            <w:rFonts w:ascii="Cambria Math" w:hAnsi="Cambria Math"/>
          </w:rPr>
          <m:t>π</m:t>
        </m:r>
        <m:sSub>
          <m:sSubPr>
            <m:ctrlPr>
              <w:rPr>
                <w:rFonts w:ascii="Cambria Math" w:hAnsi="Cambria Math"/>
              </w:rPr>
            </m:ctrlPr>
          </m:sSubPr>
          <m:e>
            <m:r>
              <w:rPr>
                <w:rFonts w:ascii="Cambria Math" w:hAnsi="Cambria Math"/>
              </w:rPr>
              <m:t>D</m:t>
            </m:r>
          </m:e>
          <m:sub>
            <m:r>
              <w:rPr>
                <w:rFonts w:ascii="Cambria Math" w:hAnsi="Cambria Math"/>
              </w:rPr>
              <m:t>o</m:t>
            </m:r>
          </m:sub>
        </m:sSub>
      </m:oMath>
      <w:r>
        <w:t xml:space="preserve"> and the hydraulic diameter is</w:t>
      </w:r>
    </w:p>
    <w:p w14:paraId="7ACD1CB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h</m:t>
              </m:r>
            </m:sub>
          </m:sSub>
          <m:r>
            <m:rPr>
              <m:sty m:val="p"/>
            </m:rPr>
            <w:rPr>
              <w:rFonts w:ascii="Cambria Math" w:hAnsi="Cambria Math"/>
            </w:rPr>
            <m:t>=</m:t>
          </m:r>
          <m:f>
            <m:fPr>
              <m:ctrlPr>
                <w:rPr>
                  <w:rFonts w:ascii="Cambria Math" w:hAnsi="Cambria Math"/>
                </w:rPr>
              </m:ctrlPr>
            </m:fPr>
            <m:num>
              <m:r>
                <w:rPr>
                  <w:rFonts w:ascii="Cambria Math" w:hAnsi="Cambria Math"/>
                </w:rPr>
                <m:t>4</m:t>
              </m:r>
              <m:sSub>
                <m:sSubPr>
                  <m:ctrlPr>
                    <w:rPr>
                      <w:rFonts w:ascii="Cambria Math" w:hAnsi="Cambria Math"/>
                    </w:rPr>
                  </m:ctrlPr>
                </m:sSubPr>
                <m:e>
                  <m:r>
                    <w:rPr>
                      <w:rFonts w:ascii="Cambria Math" w:hAnsi="Cambria Math"/>
                    </w:rPr>
                    <m:t>A</m:t>
                  </m:r>
                </m:e>
                <m:sub>
                  <m:r>
                    <w:rPr>
                      <w:rFonts w:ascii="Cambria Math" w:hAnsi="Cambria Math"/>
                    </w:rPr>
                    <m:t>flow</m:t>
                  </m:r>
                </m:sub>
              </m:sSub>
            </m:num>
            <m:den>
              <m:sSub>
                <m:sSubPr>
                  <m:ctrlPr>
                    <w:rPr>
                      <w:rFonts w:ascii="Cambria Math" w:hAnsi="Cambria Math"/>
                    </w:rPr>
                  </m:ctrlPr>
                </m:sSubPr>
                <m:e>
                  <m:r>
                    <w:rPr>
                      <w:rFonts w:ascii="Cambria Math" w:hAnsi="Cambria Math"/>
                    </w:rPr>
                    <m:t>P</m:t>
                  </m:r>
                </m:e>
                <m:sub>
                  <m:r>
                    <w:rPr>
                      <w:rFonts w:ascii="Cambria Math" w:hAnsi="Cambria Math"/>
                    </w:rPr>
                    <m:t>w</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m:t>
              </m:r>
            </m:e>
          </m:d>
        </m:oMath>
      </m:oMathPara>
    </w:p>
    <w:p w14:paraId="29D2A46B" w14:textId="77777777" w:rsidR="000F504F" w:rsidRDefault="00000000">
      <w:pPr>
        <w:pStyle w:val="FirstParagraph"/>
      </w:pPr>
      <w:r>
        <w:t>The average heat flux is</w:t>
      </w:r>
    </w:p>
    <w:p w14:paraId="10FA68ED"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core</m:t>
                  </m:r>
                </m:sub>
              </m:sSub>
            </m:num>
            <m:den>
              <m:sSub>
                <m:sSubPr>
                  <m:ctrlPr>
                    <w:rPr>
                      <w:rFonts w:ascii="Cambria Math" w:hAnsi="Cambria Math"/>
                    </w:rPr>
                  </m:ctrlPr>
                </m:sSubPr>
                <m:e>
                  <m:r>
                    <w:rPr>
                      <w:rFonts w:ascii="Cambria Math" w:hAnsi="Cambria Math"/>
                    </w:rPr>
                    <m:t>A</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4.4</m:t>
              </m:r>
            </m:e>
          </m:d>
        </m:oMath>
      </m:oMathPara>
    </w:p>
    <w:p w14:paraId="71980D95" w14:textId="77777777" w:rsidR="000F504F" w:rsidRDefault="00000000">
      <w:pPr>
        <w:pStyle w:val="FirstParagraph"/>
      </w:pPr>
      <w:r>
        <w:t>The hot-channel heat flux is</w:t>
      </w:r>
    </w:p>
    <w:p w14:paraId="714E03E3"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sSubSup>
            <m:sSubSupPr>
              <m:ctrlPr>
                <w:rPr>
                  <w:rFonts w:ascii="Cambria Math" w:hAnsi="Cambria Math"/>
                </w:rPr>
              </m:ctrlPr>
            </m:sSubSupPr>
            <m:e>
              <m:r>
                <w:rPr>
                  <w:rFonts w:ascii="Cambria Math" w:hAnsi="Cambria Math"/>
                </w:rPr>
                <m:t>q</m:t>
              </m:r>
            </m:e>
            <m:sub>
              <m:r>
                <w:rPr>
                  <w:rFonts w:ascii="Cambria Math" w:hAnsi="Cambria Math"/>
                </w:rPr>
                <m:t>avg</m:t>
              </m:r>
            </m:sub>
            <m:sup>
              <m:r>
                <m:rPr>
                  <m:sty m:val="p"/>
                </m:rPr>
                <w:rPr>
                  <w:rFonts w:ascii="Cambria Math" w:hAnsi="Cambria Math"/>
                </w:rPr>
                <m: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4.5</m:t>
              </m:r>
            </m:e>
          </m:d>
        </m:oMath>
      </m:oMathPara>
    </w:p>
    <w:p w14:paraId="58F817EB" w14:textId="77777777" w:rsidR="000F504F" w:rsidRDefault="00000000">
      <w:pPr>
        <w:pStyle w:val="Heading2"/>
      </w:pPr>
      <w:bookmarkStart w:id="24" w:name="_Toc231232869"/>
      <w:r>
        <w:t>4.2 Fuel-Rod Heat Structure</w:t>
      </w:r>
      <w:bookmarkEnd w:id="24"/>
    </w:p>
    <w:p w14:paraId="40BA8756" w14:textId="77777777" w:rsidR="000F504F" w:rsidRDefault="00000000">
      <w:pPr>
        <w:pStyle w:val="FirstParagraph"/>
      </w:pPr>
      <w:r>
        <w:t>The heat-structure model estimates the radial temperature response of the fuel pellet, gap, and cladding. The full one-dimensional cylindrical conduction equation is</w:t>
      </w:r>
    </w:p>
    <w:p w14:paraId="4EE6B679" w14:textId="77777777" w:rsidR="000F504F" w:rsidRDefault="00000000">
      <w:pPr>
        <w:pStyle w:val="BodyText"/>
      </w:pPr>
      <m:oMathPara>
        <m:oMathParaPr>
          <m:jc m:val="center"/>
        </m:oMathParaPr>
        <m:oMath>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p</m:t>
              </m:r>
            </m:sub>
          </m:sSub>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t</m:t>
              </m:r>
            </m:den>
          </m:f>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r</m:t>
              </m:r>
            </m:den>
          </m:f>
          <m:f>
            <m:fPr>
              <m:ctrlPr>
                <w:rPr>
                  <w:rFonts w:ascii="Cambria Math" w:hAnsi="Cambria Math"/>
                </w:rPr>
              </m:ctrlPr>
            </m:fPr>
            <m:num>
              <m:r>
                <m:rPr>
                  <m:sty m:val="p"/>
                </m:rPr>
                <w:rPr>
                  <w:rFonts w:ascii="Cambria Math" w:hAnsi="Cambria Math"/>
                </w:rPr>
                <m:t>∂</m:t>
              </m:r>
            </m:num>
            <m:den>
              <m:r>
                <m:rPr>
                  <m:sty m:val="p"/>
                </m:rPr>
                <w:rPr>
                  <w:rFonts w:ascii="Cambria Math" w:hAnsi="Cambria Math"/>
                </w:rPr>
                <m:t>∂</m:t>
              </m:r>
              <m:r>
                <w:rPr>
                  <w:rFonts w:ascii="Cambria Math" w:hAnsi="Cambria Math"/>
                </w:rPr>
                <m:t>r</m:t>
              </m:r>
            </m:den>
          </m:f>
          <m:d>
            <m:dPr>
              <m:ctrlPr>
                <w:rPr>
                  <w:rFonts w:ascii="Cambria Math" w:hAnsi="Cambria Math"/>
                </w:rPr>
              </m:ctrlPr>
            </m:dPr>
            <m:e>
              <m:r>
                <w:rPr>
                  <w:rFonts w:ascii="Cambria Math" w:hAnsi="Cambria Math"/>
                </w:rPr>
                <m:t>kr</m:t>
              </m:r>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r>
            <m:rPr>
              <m:sty m:val="p"/>
            </m:rPr>
            <w:rPr>
              <w:rFonts w:ascii="Cambria Math" w:hAnsi="Cambria Math"/>
            </w:rPr>
            <m:t>+</m:t>
          </m:r>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4.6</m:t>
              </m:r>
            </m:e>
          </m:d>
        </m:oMath>
      </m:oMathPara>
    </w:p>
    <w:p w14:paraId="03F31DB2" w14:textId="77777777" w:rsidR="000F504F" w:rsidRDefault="00000000">
      <w:pPr>
        <w:pStyle w:val="FirstParagraph"/>
      </w:pPr>
      <w:r>
        <w:t>For the fuel pellet, the volumetric heat generation is approximated as uniform within the equivalent hot pin:</w:t>
      </w:r>
    </w:p>
    <w:p w14:paraId="20C6F20F"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q</m:t>
              </m:r>
            </m:e>
            <m:sub>
              <m:r>
                <w:rPr>
                  <w:rFonts w:ascii="Cambria Math" w:hAnsi="Cambria Math"/>
                </w:rPr>
                <m:t>fuel</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hot</m:t>
                  </m:r>
                </m:sub>
              </m:sSub>
            </m:num>
            <m:den>
              <m:sSub>
                <m:sSubPr>
                  <m:ctrlPr>
                    <w:rPr>
                      <w:rFonts w:ascii="Cambria Math" w:hAnsi="Cambria Math"/>
                    </w:rPr>
                  </m:ctrlPr>
                </m:sSubPr>
                <m:e>
                  <m:r>
                    <w:rPr>
                      <w:rFonts w:ascii="Cambria Math" w:hAnsi="Cambria Math"/>
                    </w:rPr>
                    <m:t>N</m:t>
                  </m:r>
                </m:e>
                <m:sub>
                  <m:r>
                    <w:rPr>
                      <w:rFonts w:ascii="Cambria Math" w:hAnsi="Cambria Math"/>
                    </w:rPr>
                    <m:t>hot</m:t>
                  </m:r>
                </m:sub>
              </m:sSub>
              <m:r>
                <w:rPr>
                  <w:rFonts w:ascii="Cambria Math" w:hAnsi="Cambria Math"/>
                </w:rPr>
                <m:t>π</m:t>
              </m:r>
              <m:sSubSup>
                <m:sSubSupPr>
                  <m:ctrlPr>
                    <w:rPr>
                      <w:rFonts w:ascii="Cambria Math" w:hAnsi="Cambria Math"/>
                    </w:rPr>
                  </m:ctrlPr>
                </m:sSubSupPr>
                <m:e>
                  <m:r>
                    <w:rPr>
                      <w:rFonts w:ascii="Cambria Math" w:hAnsi="Cambria Math"/>
                    </w:rPr>
                    <m:t>R</m:t>
                  </m:r>
                </m:e>
                <m:sub>
                  <m:r>
                    <w:rPr>
                      <w:rFonts w:ascii="Cambria Math" w:hAnsi="Cambria Math"/>
                    </w:rPr>
                    <m:t>f</m:t>
                  </m:r>
                </m:sub>
                <m:sup>
                  <m:r>
                    <w:rPr>
                      <w:rFonts w:ascii="Cambria Math" w:hAnsi="Cambria Math"/>
                    </w:rPr>
                    <m:t>2</m:t>
                  </m:r>
                </m:sup>
              </m:sSubSup>
              <m:sSub>
                <m:sSubPr>
                  <m:ctrlPr>
                    <w:rPr>
                      <w:rFonts w:ascii="Cambria Math" w:hAnsi="Cambria Math"/>
                    </w:rPr>
                  </m:ctrlPr>
                </m:sSubPr>
                <m:e>
                  <m:r>
                    <w:rPr>
                      <w:rFonts w:ascii="Cambria Math" w:hAnsi="Cambria Math"/>
                    </w:rPr>
                    <m:t>L</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4.7</m:t>
              </m:r>
            </m:e>
          </m:d>
        </m:oMath>
      </m:oMathPara>
    </w:p>
    <w:p w14:paraId="0B40EC5D" w14:textId="77777777" w:rsidR="000F504F" w:rsidRDefault="00000000">
      <w:pPr>
        <w:pStyle w:val="FirstParagraph"/>
      </w:pPr>
      <w:r>
        <w:t>At the fuel centerline, symmetry requires</w:t>
      </w:r>
    </w:p>
    <w:p w14:paraId="54B86721" w14:textId="77777777" w:rsidR="000F504F" w:rsidRDefault="00000000">
      <w:pPr>
        <w:pStyle w:val="BodyText"/>
      </w:pPr>
      <m:oMathPara>
        <m:oMathParaPr>
          <m:jc m:val="center"/>
        </m:oMathParaPr>
        <m:oMath>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r>
                        <w:rPr>
                          <w:rFonts w:ascii="Cambria Math" w:hAnsi="Cambria Math"/>
                        </w:rPr>
                        <m:t>T</m:t>
                      </m:r>
                    </m:num>
                    <m:den>
                      <m:r>
                        <m:rPr>
                          <m:sty m:val="p"/>
                        </m:rPr>
                        <w:rPr>
                          <w:rFonts w:ascii="Cambria Math" w:hAnsi="Cambria Math"/>
                        </w:rPr>
                        <m:t>∂</m:t>
                      </m:r>
                      <m:r>
                        <w:rPr>
                          <w:rFonts w:ascii="Cambria Math" w:hAnsi="Cambria Math"/>
                        </w:rPr>
                        <m:t>r</m:t>
                      </m:r>
                    </m:den>
                  </m:f>
                </m:e>
              </m:d>
            </m:e>
            <m:sub>
              <m:r>
                <w:rPr>
                  <w:rFonts w:ascii="Cambria Math" w:hAnsi="Cambria Math"/>
                </w:rPr>
                <m:t>r</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4.8</m:t>
              </m:r>
            </m:e>
          </m:d>
        </m:oMath>
      </m:oMathPara>
    </w:p>
    <w:p w14:paraId="4159316F" w14:textId="77777777" w:rsidR="000F504F" w:rsidRDefault="00000000">
      <w:pPr>
        <w:pStyle w:val="FirstParagraph"/>
      </w:pPr>
      <w:r>
        <w:t>At the fuel outer radius, the gap conductance condition is</w:t>
      </w:r>
    </w:p>
    <w:p w14:paraId="15CA3E00"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f</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f</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gap</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4.9</m:t>
              </m:r>
            </m:e>
          </m:d>
        </m:oMath>
      </m:oMathPara>
    </w:p>
    <w:p w14:paraId="0AB95534" w14:textId="77777777" w:rsidR="000F504F" w:rsidRDefault="00000000">
      <w:pPr>
        <w:pStyle w:val="FirstParagraph"/>
      </w:pPr>
      <w:r>
        <w:t>At the cladding outer surface, convection to the coolant is</w:t>
      </w:r>
    </w:p>
    <w:p w14:paraId="03065F25" w14:textId="77777777" w:rsidR="000F504F" w:rsidRDefault="00000000">
      <w:pPr>
        <w:pStyle w:val="BodyText"/>
      </w:pPr>
      <m:oMathPara>
        <m:oMathParaPr>
          <m:jc m:val="center"/>
        </m:oMathParaP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m:t>
              </m:r>
            </m:sub>
          </m:sSub>
          <m:sSub>
            <m:sSubPr>
              <m:ctrlPr>
                <w:rPr>
                  <w:rFonts w:ascii="Cambria Math" w:hAnsi="Cambria Math"/>
                </w:rPr>
              </m:ctrlPr>
            </m:sSubPr>
            <m:e>
              <m:d>
                <m:dPr>
                  <m:begChr m:val=""/>
                  <m:endChr m:val="|"/>
                  <m:ctrlPr>
                    <w:rPr>
                      <w:rFonts w:ascii="Cambria Math" w:hAnsi="Cambria Math"/>
                    </w:rPr>
                  </m:ctrlPr>
                </m:dP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num>
                    <m:den>
                      <m:r>
                        <m:rPr>
                          <m:sty m:val="p"/>
                        </m:rPr>
                        <w:rPr>
                          <w:rFonts w:ascii="Cambria Math" w:hAnsi="Cambria Math"/>
                        </w:rPr>
                        <m:t>∂</m:t>
                      </m:r>
                      <m:r>
                        <w:rPr>
                          <w:rFonts w:ascii="Cambria Math" w:hAnsi="Cambria Math"/>
                        </w:rPr>
                        <m:t>r</m:t>
                      </m:r>
                    </m:den>
                  </m:f>
                </m:e>
              </m:d>
            </m:e>
            <m:sub>
              <m:sSub>
                <m:sSubPr>
                  <m:ctrlPr>
                    <w:rPr>
                      <w:rFonts w:ascii="Cambria Math" w:hAnsi="Cambria Math"/>
                    </w:rPr>
                  </m:ctrlPr>
                </m:sSubPr>
                <m:e>
                  <m:r>
                    <w:rPr>
                      <w:rFonts w:ascii="Cambria Math" w:hAnsi="Cambria Math"/>
                    </w:rPr>
                    <m:t>R</m:t>
                  </m:r>
                </m:e>
                <m:sub>
                  <m:r>
                    <w:rPr>
                      <w:rFonts w:ascii="Cambria Math" w:hAnsi="Cambria Math"/>
                    </w:rPr>
                    <m:t>o</m:t>
                  </m:r>
                </m:sub>
              </m:sSub>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c</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4.10</m:t>
              </m:r>
            </m:e>
          </m:d>
        </m:oMath>
      </m:oMathPara>
    </w:p>
    <w:p w14:paraId="267CCB36" w14:textId="77777777" w:rsidR="000F504F" w:rsidRDefault="00000000">
      <w:pPr>
        <w:pStyle w:val="FirstParagraph"/>
      </w:pPr>
      <w:r>
        <w:lastRenderedPageBreak/>
        <w:t>In reduced-order operation, FLARE may collapse the detailed radial model into an equivalent thermal-resistance network:</w:t>
      </w:r>
    </w:p>
    <w:p w14:paraId="1C8C9603"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T</m:t>
              </m:r>
            </m:e>
            <m:sub>
              <m:r>
                <w:rPr>
                  <w:rFonts w:ascii="Cambria Math" w:hAnsi="Cambria Math"/>
                </w:rPr>
                <m:t>fuel</m:t>
              </m:r>
              <m:r>
                <m:rPr>
                  <m:sty m:val="p"/>
                </m:rPr>
                <w:rPr>
                  <w:rFonts w:ascii="Cambria Math" w:hAnsi="Cambria Math"/>
                </w:rPr>
                <m:t>,</m:t>
              </m:r>
              <m:r>
                <w:rPr>
                  <w:rFonts w:ascii="Cambria Math" w:hAnsi="Cambria Math"/>
                </w:rPr>
                <m:t>center</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cool</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conv</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4.11</m:t>
              </m:r>
            </m:e>
          </m:d>
        </m:oMath>
      </m:oMathPara>
    </w:p>
    <w:p w14:paraId="5863AED4" w14:textId="77777777" w:rsidR="000F504F" w:rsidRDefault="00000000">
      <w:pPr>
        <w:pStyle w:val="FirstParagraph"/>
      </w:pPr>
      <w:r>
        <w:t>For a solid cylindrical fuel pellet with uniform heat generation, the approximate centerline-to-surface resistance is</w:t>
      </w:r>
    </w:p>
    <w:p w14:paraId="0336EEA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fuel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f</m:t>
                  </m:r>
                </m:sub>
              </m:sSub>
            </m:num>
            <m:den>
              <m:r>
                <w:rPr>
                  <w:rFonts w:ascii="Cambria Math" w:hAnsi="Cambria Math"/>
                </w:rPr>
                <m:t>4</m:t>
              </m:r>
              <m:sSub>
                <m:sSubPr>
                  <m:ctrlPr>
                    <w:rPr>
                      <w:rFonts w:ascii="Cambria Math" w:hAnsi="Cambria Math"/>
                    </w:rPr>
                  </m:ctrlPr>
                </m:sSubPr>
                <m:e>
                  <m:r>
                    <w:rPr>
                      <w:rFonts w:ascii="Cambria Math" w:hAnsi="Cambria Math"/>
                    </w:rPr>
                    <m:t>k</m:t>
                  </m:r>
                </m:e>
                <m:sub>
                  <m:r>
                    <w:rPr>
                      <w:rFonts w:ascii="Cambria Math" w:hAnsi="Cambria Math"/>
                    </w:rPr>
                    <m:t>f</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4.12</m:t>
              </m:r>
            </m:e>
          </m:d>
        </m:oMath>
      </m:oMathPara>
    </w:p>
    <w:p w14:paraId="6D6D7ABD" w14:textId="77777777" w:rsidR="000F504F" w:rsidRDefault="00000000">
      <w:pPr>
        <w:pStyle w:val="FirstParagraph"/>
      </w:pPr>
      <w:r>
        <w:t>The gap, cladding, and convection resistances per unit surface area are</w:t>
      </w:r>
    </w:p>
    <w:p w14:paraId="1C0AA63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gap</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gap</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clad</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ln</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i</m:t>
                      </m:r>
                    </m:sub>
                  </m:sSub>
                </m:e>
              </m:d>
            </m:num>
            <m:den>
              <m:sSub>
                <m:sSubPr>
                  <m:ctrlPr>
                    <w:rPr>
                      <w:rFonts w:ascii="Cambria Math" w:hAnsi="Cambria Math"/>
                    </w:rPr>
                  </m:ctrlPr>
                </m:sSubPr>
                <m:e>
                  <m:r>
                    <w:rPr>
                      <w:rFonts w:ascii="Cambria Math" w:hAnsi="Cambria Math"/>
                    </w:rPr>
                    <m:t>k</m:t>
                  </m:r>
                </m:e>
                <m:sub>
                  <m:r>
                    <w:rPr>
                      <w:rFonts w:ascii="Cambria Math" w:hAnsi="Cambria Math"/>
                    </w:rPr>
                    <m:t>c</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conv</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h</m:t>
                  </m:r>
                </m:e>
                <m:sub>
                  <m:r>
                    <w:rPr>
                      <w:rFonts w:ascii="Cambria Math" w:hAnsi="Cambria Math"/>
                    </w:rPr>
                    <m:t>c</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4.13</m:t>
              </m:r>
            </m:e>
          </m:d>
        </m:oMath>
      </m:oMathPara>
    </w:p>
    <w:p w14:paraId="5F9758A1" w14:textId="77777777" w:rsidR="000F504F" w:rsidRDefault="00000000">
      <w:pPr>
        <w:pStyle w:val="FirstParagraph"/>
      </w:pPr>
      <w:r>
        <w:t>The heat-structure time response is represented by energy storage terms for the fuel and cladding:</w:t>
      </w:r>
    </w:p>
    <w:p w14:paraId="4C3011B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f</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f</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gen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c</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c</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m:t>
              </m:r>
              <m:r>
                <m:rPr>
                  <m:sty m:val="p"/>
                </m:rPr>
                <w:rPr>
                  <w:rFonts w:ascii="Cambria Math" w:hAnsi="Cambria Math"/>
                </w:rPr>
                <m:t>→</m:t>
              </m:r>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m:t>
              </m:r>
              <m:r>
                <m:rPr>
                  <m:sty m:val="p"/>
                </m:rPr>
                <w:rPr>
                  <w:rFonts w:ascii="Cambria Math" w:hAnsi="Cambria Math"/>
                </w:rPr>
                <m:t>→</m:t>
              </m:r>
              <m:r>
                <w:rPr>
                  <w:rFonts w:ascii="Cambria Math" w:hAnsi="Cambria Math"/>
                </w:rPr>
                <m:t>cool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rad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ox</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4.14</m:t>
              </m:r>
            </m:e>
          </m:d>
        </m:oMath>
      </m:oMathPara>
    </w:p>
    <w:p w14:paraId="6B24BBFF" w14:textId="77777777" w:rsidR="000F504F" w:rsidRDefault="00000000">
      <w:pPr>
        <w:pStyle w:val="Heading2"/>
      </w:pPr>
      <w:bookmarkStart w:id="25" w:name="_Toc231232870"/>
      <w:r>
        <w:t>4.3 Convective Heat Transfer</w:t>
      </w:r>
      <w:bookmarkEnd w:id="25"/>
    </w:p>
    <w:p w14:paraId="7B4D2503" w14:textId="77777777" w:rsidR="000F504F" w:rsidRDefault="00000000">
      <w:pPr>
        <w:pStyle w:val="FirstParagraph"/>
      </w:pPr>
      <w:r>
        <w:t>The primary forced-convection heat-transfer coefficient is calculated from the Dittus-Boelter correlation:</w:t>
      </w:r>
    </w:p>
    <w:p w14:paraId="5991DC33"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r>
            <w:rPr>
              <w:rFonts w:ascii="Cambria Math" w:hAnsi="Cambria Math"/>
            </w:rPr>
            <m:t>0.023R</m:t>
          </m:r>
          <m:sSup>
            <m:sSupPr>
              <m:ctrlPr>
                <w:rPr>
                  <w:rFonts w:ascii="Cambria Math" w:hAnsi="Cambria Math"/>
                </w:rPr>
              </m:ctrlPr>
            </m:sSupPr>
            <m:e>
              <m:r>
                <w:rPr>
                  <w:rFonts w:ascii="Cambria Math" w:hAnsi="Cambria Math"/>
                </w:rPr>
                <m:t>e</m:t>
              </m:r>
            </m:e>
            <m:sup>
              <m:r>
                <w:rPr>
                  <w:rFonts w:ascii="Cambria Math" w:hAnsi="Cambria Math"/>
                </w:rPr>
                <m:t>0.8</m:t>
              </m:r>
            </m:sup>
          </m:sSup>
          <m:r>
            <w:rPr>
              <w:rFonts w:ascii="Cambria Math" w:hAnsi="Cambria Math"/>
            </w:rPr>
            <m:t>P</m:t>
          </m:r>
          <m:sSup>
            <m:sSupPr>
              <m:ctrlPr>
                <w:rPr>
                  <w:rFonts w:ascii="Cambria Math" w:hAnsi="Cambria Math"/>
                </w:rPr>
              </m:ctrlPr>
            </m:sSupPr>
            <m:e>
              <m:r>
                <w:rPr>
                  <w:rFonts w:ascii="Cambria Math" w:hAnsi="Cambria Math"/>
                </w:rPr>
                <m:t>r</m:t>
              </m:r>
            </m:e>
            <m:sup>
              <m:r>
                <w:rPr>
                  <w:rFonts w:ascii="Cambria Math" w:hAnsi="Cambria Math"/>
                </w:rPr>
                <m:t>0.4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4.15</m:t>
              </m:r>
            </m:e>
          </m:d>
        </m:oMath>
      </m:oMathPara>
    </w:p>
    <w:p w14:paraId="4BB970F6" w14:textId="77777777" w:rsidR="000F504F" w:rsidRDefault="00000000">
      <w:pPr>
        <w:pStyle w:val="FirstParagraph"/>
      </w:pPr>
      <w:r>
        <w:t>The Reynolds and Prandtl numbers are</w:t>
      </w:r>
    </w:p>
    <w:p w14:paraId="242F5E71" w14:textId="77777777" w:rsidR="000F504F" w:rsidRDefault="00000000">
      <w:pPr>
        <w:pStyle w:val="BodyText"/>
      </w:pPr>
      <m:oMathPara>
        <m:oMathParaPr>
          <m:jc m:val="center"/>
        </m:oMathParaPr>
        <m:oMath>
          <m:r>
            <w:rPr>
              <w:rFonts w:ascii="Cambria Math" w:hAnsi="Cambria Math"/>
            </w:rPr>
            <m:t>Re</m:t>
          </m:r>
          <m:r>
            <m:rPr>
              <m:sty m:val="p"/>
            </m:rPr>
            <w:rPr>
              <w:rFonts w:ascii="Cambria Math" w:hAnsi="Cambria Math"/>
            </w:rPr>
            <m:t>=</m:t>
          </m:r>
          <m:f>
            <m:fPr>
              <m:ctrlPr>
                <w:rPr>
                  <w:rFonts w:ascii="Cambria Math" w:hAnsi="Cambria Math"/>
                </w:rPr>
              </m:ctrlPr>
            </m:fPr>
            <m:num>
              <m:r>
                <w:rPr>
                  <w:rFonts w:ascii="Cambria Math" w:hAnsi="Cambria Math"/>
                </w:rPr>
                <m:t>ρu</m:t>
              </m:r>
              <m:sSub>
                <m:sSubPr>
                  <m:ctrlPr>
                    <w:rPr>
                      <w:rFonts w:ascii="Cambria Math" w:hAnsi="Cambria Math"/>
                    </w:rPr>
                  </m:ctrlPr>
                </m:sSubPr>
                <m:e>
                  <m:r>
                    <w:rPr>
                      <w:rFonts w:ascii="Cambria Math" w:hAnsi="Cambria Math"/>
                    </w:rPr>
                    <m:t>D</m:t>
                  </m:r>
                </m:e>
                <m:sub>
                  <m:r>
                    <w:rPr>
                      <w:rFonts w:ascii="Cambria Math" w:hAnsi="Cambria Math"/>
                    </w:rPr>
                    <m:t>h</m:t>
                  </m:r>
                </m:sub>
              </m:sSub>
            </m:num>
            <m:den>
              <m:r>
                <w:rPr>
                  <w:rFonts w:ascii="Cambria Math" w:hAnsi="Cambria Math"/>
                </w:rPr>
                <m:t>μ</m:t>
              </m:r>
            </m:den>
          </m:f>
          <m:r>
            <m:rPr>
              <m:sty m:val="p"/>
            </m:rPr>
            <w:rPr>
              <w:rFonts w:ascii="Cambria Math" w:hAnsi="Cambria Math"/>
            </w:rPr>
            <m:t>,</m:t>
          </m:r>
          <m:r>
            <w:rPr>
              <w:rFonts w:ascii="Cambria Math" w:hAnsi="Cambria Math"/>
            </w:rPr>
            <m:t>  Pr</m:t>
          </m:r>
          <m:r>
            <m:rPr>
              <m:sty m:val="p"/>
            </m:rPr>
            <w:rPr>
              <w:rFonts w:ascii="Cambria Math" w:hAnsi="Cambria Math"/>
            </w:rPr>
            <m:t>=</m:t>
          </m:r>
          <m:f>
            <m:fPr>
              <m:ctrlPr>
                <w:rPr>
                  <w:rFonts w:ascii="Cambria Math" w:hAnsi="Cambria Math"/>
                </w:rPr>
              </m:ctrlPr>
            </m:fPr>
            <m:num>
              <m:r>
                <w:rPr>
                  <w:rFonts w:ascii="Cambria Math" w:hAnsi="Cambria Math"/>
                </w:rPr>
                <m:t>μ</m:t>
              </m:r>
              <m:sSub>
                <m:sSubPr>
                  <m:ctrlPr>
                    <w:rPr>
                      <w:rFonts w:ascii="Cambria Math" w:hAnsi="Cambria Math"/>
                    </w:rPr>
                  </m:ctrlPr>
                </m:sSubPr>
                <m:e>
                  <m:r>
                    <w:rPr>
                      <w:rFonts w:ascii="Cambria Math" w:hAnsi="Cambria Math"/>
                    </w:rPr>
                    <m:t>c</m:t>
                  </m:r>
                </m:e>
                <m:sub>
                  <m:r>
                    <w:rPr>
                      <w:rFonts w:ascii="Cambria Math" w:hAnsi="Cambria Math"/>
                    </w:rPr>
                    <m:t>p</m:t>
                  </m:r>
                </m:sub>
              </m:sSub>
            </m:num>
            <m:den>
              <m:r>
                <w:rPr>
                  <w:rFonts w:ascii="Cambria Math" w:hAnsi="Cambria Math"/>
                </w:rPr>
                <m:t>k</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4.16</m:t>
              </m:r>
            </m:e>
          </m:d>
        </m:oMath>
      </m:oMathPara>
    </w:p>
    <w:p w14:paraId="4846DD0F" w14:textId="77777777" w:rsidR="000F504F" w:rsidRDefault="00000000">
      <w:pPr>
        <w:pStyle w:val="FirstParagraph"/>
      </w:pPr>
      <w:r>
        <w:t>The heat-transfer coefficient is</w:t>
      </w:r>
    </w:p>
    <w:p w14:paraId="619B5147"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f>
            <m:fPr>
              <m:ctrlPr>
                <w:rPr>
                  <w:rFonts w:ascii="Cambria Math" w:hAnsi="Cambria Math"/>
                </w:rPr>
              </m:ctrlPr>
            </m:fPr>
            <m:num>
              <m:r>
                <w:rPr>
                  <w:rFonts w:ascii="Cambria Math" w:hAnsi="Cambria Math"/>
                </w:rPr>
                <m:t>Nu k</m:t>
              </m:r>
            </m:num>
            <m:den>
              <m:sSub>
                <m:sSubPr>
                  <m:ctrlPr>
                    <w:rPr>
                      <w:rFonts w:ascii="Cambria Math" w:hAnsi="Cambria Math"/>
                    </w:rPr>
                  </m:ctrlPr>
                </m:sSubPr>
                <m:e>
                  <m:r>
                    <w:rPr>
                      <w:rFonts w:ascii="Cambria Math" w:hAnsi="Cambria Math"/>
                    </w:rPr>
                    <m:t>D</m:t>
                  </m:r>
                </m:e>
                <m:sub>
                  <m:r>
                    <w:rPr>
                      <w:rFonts w:ascii="Cambria Math" w:hAnsi="Cambria Math"/>
                    </w:rPr>
                    <m:t>h</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4.17</m:t>
              </m:r>
            </m:e>
          </m:d>
        </m:oMath>
      </m:oMathPara>
    </w:p>
    <w:p w14:paraId="1E89FFEA" w14:textId="77777777" w:rsidR="000F504F" w:rsidRDefault="00000000">
      <w:pPr>
        <w:pStyle w:val="FirstParagraph"/>
      </w:pPr>
      <w:r>
        <w:t xml:space="preserve">For liquid-phase core heat transfer, FLARE removes the laminar fallback that would otherwise set </w:t>
      </w:r>
      <m:oMath>
        <m:r>
          <w:rPr>
            <w:rFonts w:ascii="Cambria Math" w:hAnsi="Cambria Math"/>
          </w:rPr>
          <m:t>Nu</m:t>
        </m:r>
        <m:r>
          <m:rPr>
            <m:sty m:val="p"/>
          </m:rPr>
          <w:rPr>
            <w:rFonts w:ascii="Cambria Math" w:hAnsi="Cambria Math"/>
          </w:rPr>
          <m:t>=</m:t>
        </m:r>
        <m:r>
          <w:rPr>
            <w:rFonts w:ascii="Cambria Math" w:hAnsi="Cambria Math"/>
          </w:rPr>
          <m:t>3.66</m:t>
        </m:r>
      </m:oMath>
      <w:r>
        <w:t xml:space="preserve"> for low Reynolds number. In this reduced-order model, retaining the turbulent extrapolation during pump coastdown prevents the natural-convection model from becoming spuriously dominant while forced circulation remains present. For steam post-CHF cooling, however, the laminar fallback is retained because near-zero steam velocity makes the turbulent extrapolation physically unreliable.</w:t>
      </w:r>
    </w:p>
    <w:p w14:paraId="2F2B75CC" w14:textId="77777777" w:rsidR="000F504F" w:rsidRDefault="00000000">
      <w:pPr>
        <w:pStyle w:val="BodyText"/>
      </w:pPr>
      <w:r>
        <w:t>When forced flow is unavailable or degraded, FLARE evaluates the Churchill-Chu natural-convection correlation for a vertical surface:</w:t>
      </w:r>
    </w:p>
    <w:p w14:paraId="3152D905" w14:textId="77777777" w:rsidR="000F504F" w:rsidRDefault="00000000">
      <w:pPr>
        <w:pStyle w:val="BodyText"/>
      </w:pPr>
      <m:oMathPara>
        <m:oMathParaPr>
          <m:jc m:val="center"/>
        </m:oMathParaPr>
        <m:oMath>
          <m:r>
            <w:rPr>
              <w:rFonts w:ascii="Cambria Math" w:hAnsi="Cambria Math"/>
            </w:rPr>
            <m:t>Nu</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0.825</m:t>
                  </m:r>
                  <m:r>
                    <m:rPr>
                      <m:sty m:val="p"/>
                    </m:rPr>
                    <w:rPr>
                      <w:rFonts w:ascii="Cambria Math" w:hAnsi="Cambria Math"/>
                    </w:rPr>
                    <m:t>+</m:t>
                  </m:r>
                  <m:f>
                    <m:fPr>
                      <m:ctrlPr>
                        <w:rPr>
                          <w:rFonts w:ascii="Cambria Math" w:hAnsi="Cambria Math"/>
                        </w:rPr>
                      </m:ctrlPr>
                    </m:fPr>
                    <m:num>
                      <m:r>
                        <w:rPr>
                          <w:rFonts w:ascii="Cambria Math" w:hAnsi="Cambria Math"/>
                        </w:rPr>
                        <m:t>0.387R</m:t>
                      </m:r>
                      <m:sSup>
                        <m:sSupPr>
                          <m:ctrlPr>
                            <w:rPr>
                              <w:rFonts w:ascii="Cambria Math" w:hAnsi="Cambria Math"/>
                            </w:rPr>
                          </m:ctrlPr>
                        </m:sSupPr>
                        <m:e>
                          <m:r>
                            <w:rPr>
                              <w:rFonts w:ascii="Cambria Math" w:hAnsi="Cambria Math"/>
                            </w:rPr>
                            <m:t>a</m:t>
                          </m:r>
                        </m:e>
                        <m:sup>
                          <m:r>
                            <w:rPr>
                              <w:rFonts w:ascii="Cambria Math" w:hAnsi="Cambria Math"/>
                            </w:rPr>
                            <m:t>1</m:t>
                          </m:r>
                          <m:r>
                            <m:rPr>
                              <m:sty m:val="p"/>
                            </m:rPr>
                            <w:rPr>
                              <w:rFonts w:ascii="Cambria Math" w:hAnsi="Cambria Math"/>
                            </w:rPr>
                            <m:t>/</m:t>
                          </m:r>
                          <m:r>
                            <w:rPr>
                              <w:rFonts w:ascii="Cambria Math" w:hAnsi="Cambria Math"/>
                            </w:rPr>
                            <m:t>6</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0.492</m:t>
                                      </m:r>
                                      <m:r>
                                        <m:rPr>
                                          <m:sty m:val="p"/>
                                        </m:rPr>
                                        <w:rPr>
                                          <w:rFonts w:ascii="Cambria Math" w:hAnsi="Cambria Math"/>
                                        </w:rPr>
                                        <m:t>/</m:t>
                                      </m:r>
                                      <m:r>
                                        <w:rPr>
                                          <w:rFonts w:ascii="Cambria Math" w:hAnsi="Cambria Math"/>
                                        </w:rPr>
                                        <m:t>Pr</m:t>
                                      </m:r>
                                    </m:e>
                                  </m:d>
                                </m:e>
                                <m:sup>
                                  <m:r>
                                    <w:rPr>
                                      <w:rFonts w:ascii="Cambria Math" w:hAnsi="Cambria Math"/>
                                    </w:rPr>
                                    <m:t>9</m:t>
                                  </m:r>
                                  <m:r>
                                    <m:rPr>
                                      <m:sty m:val="p"/>
                                    </m:rPr>
                                    <w:rPr>
                                      <w:rFonts w:ascii="Cambria Math" w:hAnsi="Cambria Math"/>
                                    </w:rPr>
                                    <m:t>/</m:t>
                                  </m:r>
                                  <m:r>
                                    <w:rPr>
                                      <w:rFonts w:ascii="Cambria Math" w:hAnsi="Cambria Math"/>
                                    </w:rPr>
                                    <m:t>16</m:t>
                                  </m:r>
                                </m:sup>
                              </m:sSup>
                            </m:e>
                          </m:d>
                        </m:e>
                        <m:sup>
                          <m:r>
                            <w:rPr>
                              <w:rFonts w:ascii="Cambria Math" w:hAnsi="Cambria Math"/>
                            </w:rPr>
                            <m:t>8</m:t>
                          </m:r>
                          <m:r>
                            <m:rPr>
                              <m:sty m:val="p"/>
                            </m:rPr>
                            <w:rPr>
                              <w:rFonts w:ascii="Cambria Math" w:hAnsi="Cambria Math"/>
                            </w:rPr>
                            <m:t>/</m:t>
                          </m:r>
                          <m:r>
                            <w:rPr>
                              <w:rFonts w:ascii="Cambria Math" w:hAnsi="Cambria Math"/>
                            </w:rPr>
                            <m:t>27</m:t>
                          </m:r>
                        </m:sup>
                      </m:sSup>
                    </m:den>
                  </m:f>
                </m:e>
              </m:d>
            </m:e>
            <m:sup>
              <m:r>
                <w:rPr>
                  <w:rFonts w:ascii="Cambria Math" w:hAnsi="Cambria Math"/>
                </w:rPr>
                <m:t>2</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4.18</m:t>
              </m:r>
            </m:e>
          </m:d>
        </m:oMath>
      </m:oMathPara>
    </w:p>
    <w:p w14:paraId="525C5A59" w14:textId="77777777" w:rsidR="000F504F" w:rsidRDefault="00000000">
      <w:pPr>
        <w:pStyle w:val="FirstParagraph"/>
      </w:pPr>
      <w:r>
        <w:t>The Rayleigh number is</w:t>
      </w:r>
    </w:p>
    <w:p w14:paraId="3C02F7C0" w14:textId="77777777" w:rsidR="000F504F" w:rsidRDefault="00000000">
      <w:pPr>
        <w:pStyle w:val="BodyText"/>
      </w:pPr>
      <m:oMathPara>
        <m:oMathParaPr>
          <m:jc m:val="center"/>
        </m:oMathParaPr>
        <m:oMath>
          <m:r>
            <w:rPr>
              <w:rFonts w:ascii="Cambria Math" w:hAnsi="Cambria Math"/>
            </w:rPr>
            <m:t>Ra</m:t>
          </m:r>
          <m:r>
            <m:rPr>
              <m:sty m:val="p"/>
            </m:rPr>
            <w:rPr>
              <w:rFonts w:ascii="Cambria Math" w:hAnsi="Cambria Math"/>
            </w:rPr>
            <m:t>=</m:t>
          </m:r>
          <m:r>
            <w:rPr>
              <w:rFonts w:ascii="Cambria Math" w:hAnsi="Cambria Math"/>
            </w:rPr>
            <m:t>GrPr</m:t>
          </m:r>
          <m:r>
            <m:rPr>
              <m:sty m:val="p"/>
            </m:rPr>
            <w:rPr>
              <w:rFonts w:ascii="Cambria Math" w:hAnsi="Cambria Math"/>
            </w:rPr>
            <m:t>=</m:t>
          </m:r>
          <m:f>
            <m:fPr>
              <m:ctrlPr>
                <w:rPr>
                  <w:rFonts w:ascii="Cambria Math" w:hAnsi="Cambria Math"/>
                </w:rPr>
              </m:ctrlPr>
            </m:fPr>
            <m:num>
              <m:r>
                <w:rPr>
                  <w:rFonts w:ascii="Cambria Math" w:hAnsi="Cambria Math"/>
                </w:rPr>
                <m:t>gβ</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t>
                      </m:r>
                    </m:sub>
                  </m:sSub>
                </m:e>
              </m:d>
              <m:sSup>
                <m:sSupPr>
                  <m:ctrlPr>
                    <w:rPr>
                      <w:rFonts w:ascii="Cambria Math" w:hAnsi="Cambria Math"/>
                    </w:rPr>
                  </m:ctrlPr>
                </m:sSupPr>
                <m:e>
                  <m:r>
                    <w:rPr>
                      <w:rFonts w:ascii="Cambria Math" w:hAnsi="Cambria Math"/>
                    </w:rPr>
                    <m:t>L</m:t>
                  </m:r>
                </m:e>
                <m:sup>
                  <m:r>
                    <w:rPr>
                      <w:rFonts w:ascii="Cambria Math" w:hAnsi="Cambria Math"/>
                    </w:rPr>
                    <m:t>3</m:t>
                  </m:r>
                </m:sup>
              </m:sSup>
            </m:num>
            <m:den>
              <m:sSup>
                <m:sSupPr>
                  <m:ctrlPr>
                    <w:rPr>
                      <w:rFonts w:ascii="Cambria Math" w:hAnsi="Cambria Math"/>
                    </w:rPr>
                  </m:ctrlPr>
                </m:sSupPr>
                <m:e>
                  <m:r>
                    <w:rPr>
                      <w:rFonts w:ascii="Cambria Math" w:hAnsi="Cambria Math"/>
                    </w:rPr>
                    <m:t>ν</m:t>
                  </m:r>
                </m:e>
                <m:sup>
                  <m:r>
                    <w:rPr>
                      <w:rFonts w:ascii="Cambria Math" w:hAnsi="Cambria Math"/>
                    </w:rPr>
                    <m:t>2</m:t>
                  </m:r>
                </m:sup>
              </m:sSup>
            </m:den>
          </m:f>
          <m:r>
            <w:rPr>
              <w:rFonts w:ascii="Cambria Math" w:hAnsi="Cambria Math"/>
            </w:rPr>
            <m:t>Pr</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4.19</m:t>
              </m:r>
            </m:e>
          </m:d>
        </m:oMath>
      </m:oMathPara>
    </w:p>
    <w:p w14:paraId="58E75E69" w14:textId="77777777" w:rsidR="000F504F" w:rsidRDefault="00000000">
      <w:pPr>
        <w:pStyle w:val="FirstParagraph"/>
      </w:pPr>
      <w:r>
        <w:t>The controlling pre-CHF heat-transfer coefficient is</w:t>
      </w:r>
    </w:p>
    <w:p w14:paraId="3F1DBDE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c</m:t>
              </m:r>
            </m:sub>
          </m:sSub>
          <m:r>
            <m:rPr>
              <m:sty m:val="p"/>
            </m:rPr>
            <w:rPr>
              <w:rFonts w:ascii="Cambria Math" w:hAnsi="Cambria Math"/>
            </w:rPr>
            <m:t>=max</m:t>
          </m:r>
          <m:d>
            <m:dPr>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DB</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NC</m:t>
                  </m:r>
                </m:sub>
              </m:sSub>
            </m:e>
          </m:d>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HTC</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4.20</m:t>
              </m:r>
            </m:e>
          </m:d>
        </m:oMath>
      </m:oMathPara>
    </w:p>
    <w:p w14:paraId="730C40DA" w14:textId="77777777" w:rsidR="000F504F" w:rsidRDefault="00000000">
      <w:pPr>
        <w:pStyle w:val="Heading2"/>
      </w:pPr>
      <w:bookmarkStart w:id="26" w:name="_Toc231232871"/>
      <w:r>
        <w:lastRenderedPageBreak/>
        <w:t>4.4 Critical Heat Flux, Post-CHF Cooling, and Dry Core</w:t>
      </w:r>
      <w:bookmarkEnd w:id="26"/>
    </w:p>
    <w:p w14:paraId="3820F2E4" w14:textId="77777777" w:rsidR="000F504F" w:rsidRDefault="00000000">
      <w:pPr>
        <w:pStyle w:val="FirstParagraph"/>
      </w:pPr>
      <w:r>
        <w:t>Critical heat flux is evaluated to determine departure from nucleate boiling. The departure from nucleate boiling ratio is</w:t>
      </w:r>
    </w:p>
    <w:p w14:paraId="6312ECDE"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q</m:t>
                  </m:r>
                </m:e>
                <m:sub>
                  <m:r>
                    <w:rPr>
                      <w:rFonts w:ascii="Cambria Math" w:hAnsi="Cambria Math"/>
                    </w:rPr>
                    <m:t>CHF</m:t>
                  </m:r>
                </m:sub>
                <m:sup>
                  <m:r>
                    <m:rPr>
                      <m:sty m:val="p"/>
                    </m:rPr>
                    <w:rPr>
                      <w:rFonts w:ascii="Cambria Math" w:hAnsi="Cambria Math"/>
                    </w:rPr>
                    <m:t>''</m:t>
                  </m:r>
                </m:sup>
              </m:sSubSup>
            </m:num>
            <m:den>
              <m:sSubSup>
                <m:sSubSupPr>
                  <m:ctrlPr>
                    <w:rPr>
                      <w:rFonts w:ascii="Cambria Math" w:hAnsi="Cambria Math"/>
                    </w:rPr>
                  </m:ctrlPr>
                </m:sSubSupPr>
                <m:e>
                  <m:r>
                    <w:rPr>
                      <w:rFonts w:ascii="Cambria Math" w:hAnsi="Cambria Math"/>
                    </w:rPr>
                    <m:t>q</m:t>
                  </m:r>
                </m:e>
                <m:sub>
                  <m:r>
                    <w:rPr>
                      <w:rFonts w:ascii="Cambria Math" w:hAnsi="Cambria Math"/>
                    </w:rPr>
                    <m:t>hot</m:t>
                  </m:r>
                </m:sub>
                <m:sup>
                  <m:r>
                    <m:rPr>
                      <m:sty m:val="p"/>
                    </m:rPr>
                    <w:rPr>
                      <w:rFonts w:ascii="Cambria Math" w:hAnsi="Cambria Math"/>
                    </w:rPr>
                    <m:t>''</m:t>
                  </m:r>
                </m:sup>
              </m:sSub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4.21</m:t>
              </m:r>
            </m:e>
          </m:d>
        </m:oMath>
      </m:oMathPara>
    </w:p>
    <w:p w14:paraId="6815EAE5" w14:textId="77777777" w:rsidR="000F504F" w:rsidRDefault="00000000">
      <w:pPr>
        <w:pStyle w:val="FirstParagraph"/>
      </w:pPr>
      <w:r>
        <w:t>For numerical robustness, CHF is not evaluated below a minimum mass flux:</w:t>
      </w:r>
    </w:p>
    <w:p w14:paraId="2BE142C3" w14:textId="77777777" w:rsidR="000F504F" w:rsidRDefault="00000000">
      <w:pPr>
        <w:pStyle w:val="BodyText"/>
      </w:pPr>
      <m:oMathPara>
        <m:oMathParaPr>
          <m:jc m:val="center"/>
        </m:oMathParaPr>
        <m:oMath>
          <m:r>
            <w:rPr>
              <w:rFonts w:ascii="Cambria Math" w:hAnsi="Cambria Math"/>
            </w:rPr>
            <m:t>G</m:t>
          </m:r>
          <m:r>
            <m:rPr>
              <m:sty m:val="p"/>
            </m:rPr>
            <w:rPr>
              <w:rFonts w:ascii="Cambria Math" w:hAnsi="Cambria Math"/>
            </w:rPr>
            <m:t>&lt;</m:t>
          </m:r>
          <m:sSub>
            <m:sSubPr>
              <m:ctrlPr>
                <w:rPr>
                  <w:rFonts w:ascii="Cambria Math" w:hAnsi="Cambria Math"/>
                </w:rPr>
              </m:ctrlPr>
            </m:sSubPr>
            <m:e>
              <m:r>
                <w:rPr>
                  <w:rFonts w:ascii="Cambria Math" w:hAnsi="Cambria Math"/>
                </w:rPr>
                <m:t>G</m:t>
              </m:r>
            </m:e>
            <m:sub>
              <m:r>
                <w:rPr>
                  <w:rFonts w:ascii="Cambria Math" w:hAnsi="Cambria Math"/>
                </w:rPr>
                <m:t>min</m:t>
              </m:r>
            </m:sub>
          </m:sSub>
          <m:r>
            <w:rPr>
              <w:rFonts w:ascii="Cambria Math" w:hAnsi="Cambria Math"/>
            </w:rPr>
            <m:t> </m:t>
          </m:r>
          <m:r>
            <m:rPr>
              <m:sty m:val="p"/>
            </m:rPr>
            <w:rPr>
              <w:rFonts w:ascii="Cambria Math" w:hAnsi="Cambria Math"/>
            </w:rPr>
            <m:t>⇒</m:t>
          </m:r>
          <m:r>
            <w:rPr>
              <w:rFonts w:ascii="Cambria Math" w:hAnsi="Cambria Math"/>
            </w:rPr>
            <m:t> DNBR</m:t>
          </m:r>
          <m:r>
            <m:rPr>
              <m:sty m:val="p"/>
            </m:rPr>
            <w:rPr>
              <w:rFonts w:ascii="Cambria Math" w:hAnsi="Cambria Math"/>
            </w:rPr>
            <m:t>=NaN.</m:t>
          </m:r>
          <m:r>
            <w:rPr>
              <w:rFonts w:ascii="Cambria Math" w:hAnsi="Cambria Math"/>
            </w:rPr>
            <m:t>  </m:t>
          </m:r>
          <m:d>
            <m:dPr>
              <m:ctrlPr>
                <w:rPr>
                  <w:rFonts w:ascii="Cambria Math" w:hAnsi="Cambria Math"/>
                </w:rPr>
              </m:ctrlPr>
            </m:dPr>
            <m:e>
              <m:r>
                <w:rPr>
                  <w:rFonts w:ascii="Cambria Math" w:hAnsi="Cambria Math"/>
                </w:rPr>
                <m:t>4.22</m:t>
              </m:r>
            </m:e>
          </m:d>
        </m:oMath>
      </m:oMathPara>
    </w:p>
    <w:p w14:paraId="7BCAF812" w14:textId="77777777" w:rsidR="000F504F" w:rsidRDefault="00000000">
      <w:pPr>
        <w:pStyle w:val="FirstParagraph"/>
      </w:pPr>
      <w:r>
        <w:t>Film boiling is triggered when</w:t>
      </w:r>
    </w:p>
    <w:p w14:paraId="349BC473" w14:textId="77777777" w:rsidR="000F504F" w:rsidRDefault="00000000">
      <w:pPr>
        <w:pStyle w:val="BodyText"/>
      </w:pPr>
      <m:oMathPara>
        <m:oMathParaPr>
          <m:jc m:val="center"/>
        </m:oMathParaPr>
        <m:oMath>
          <m:r>
            <w:rPr>
              <w:rFonts w:ascii="Cambria Math" w:hAnsi="Cambria Math"/>
            </w:rPr>
            <m:t>DNBR</m:t>
          </m:r>
          <m:r>
            <m:rPr>
              <m:sty m:val="p"/>
            </m:rPr>
            <w:rPr>
              <w:rFonts w:ascii="Cambria Math" w:hAnsi="Cambria Math"/>
            </w:rPr>
            <m:t>&lt;</m:t>
          </m:r>
          <m:r>
            <w:rPr>
              <w:rFonts w:ascii="Cambria Math" w:hAnsi="Cambria Math"/>
            </w:rPr>
            <m:t>1 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r>
            <m:rPr>
              <m:sty m:val="p"/>
            </m:rPr>
            <w:rPr>
              <w:rFonts w:ascii="Cambria Math" w:hAnsi="Cambria Math"/>
            </w:rPr>
            <m:t>&gt;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Leid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4.23</m:t>
              </m:r>
            </m:e>
          </m:d>
        </m:oMath>
      </m:oMathPara>
    </w:p>
    <w:p w14:paraId="56CC37A2" w14:textId="77777777" w:rsidR="000F504F" w:rsidRDefault="00000000">
      <w:pPr>
        <w:pStyle w:val="FirstParagraph"/>
      </w:pPr>
      <w:r>
        <w:t>A simplified Bromley-type film-boiling model may be represented as</w:t>
      </w:r>
    </w:p>
    <w:p w14:paraId="737F231B"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FB</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B</m:t>
              </m:r>
            </m:sub>
          </m:sSub>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k</m:t>
                          </m:r>
                        </m:e>
                        <m:sub>
                          <m:r>
                            <w:rPr>
                              <w:rFonts w:ascii="Cambria Math" w:hAnsi="Cambria Math"/>
                            </w:rPr>
                            <m:t>v</m:t>
                          </m:r>
                        </m:sub>
                        <m:sup>
                          <m:r>
                            <w:rPr>
                              <w:rFonts w:ascii="Cambria Math" w:hAnsi="Cambria Math"/>
                            </w:rPr>
                            <m:t>3</m:t>
                          </m:r>
                        </m:sup>
                      </m:sSubSup>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e>
                      </m:d>
                      <m:r>
                        <w:rPr>
                          <w:rFonts w:ascii="Cambria Math" w:hAnsi="Cambria Math"/>
                        </w:rPr>
                        <m:t>g</m:t>
                      </m:r>
                      <m:sSubSup>
                        <m:sSubSupPr>
                          <m:ctrlPr>
                            <w:rPr>
                              <w:rFonts w:ascii="Cambria Math" w:hAnsi="Cambria Math"/>
                            </w:rPr>
                          </m:ctrlPr>
                        </m:sSubSupPr>
                        <m:e>
                          <m:r>
                            <w:rPr>
                              <w:rFonts w:ascii="Cambria Math" w:hAnsi="Cambria Math"/>
                            </w:rPr>
                            <m:t>h</m:t>
                          </m:r>
                        </m:e>
                        <m:sub>
                          <m:r>
                            <w:rPr>
                              <w:rFonts w:ascii="Cambria Math" w:hAnsi="Cambria Math"/>
                            </w:rPr>
                            <m:t>fg</m:t>
                          </m:r>
                        </m:sub>
                        <m:sup>
                          <m:r>
                            <m:rPr>
                              <m:sty m:val="p"/>
                            </m:rPr>
                            <w:rPr>
                              <w:rFonts w:ascii="Cambria Math" w:hAnsi="Cambria Math"/>
                            </w:rPr>
                            <m:t>*</m:t>
                          </m:r>
                        </m:sup>
                      </m:sSubSup>
                    </m:num>
                    <m:den>
                      <m:sSub>
                        <m:sSubPr>
                          <m:ctrlPr>
                            <w:rPr>
                              <w:rFonts w:ascii="Cambria Math" w:hAnsi="Cambria Math"/>
                            </w:rPr>
                          </m:ctrlPr>
                        </m:sSubPr>
                        <m:e>
                          <m:r>
                            <w:rPr>
                              <w:rFonts w:ascii="Cambria Math" w:hAnsi="Cambria Math"/>
                            </w:rPr>
                            <m:t>μ</m:t>
                          </m:r>
                        </m:e>
                        <m:sub>
                          <m:r>
                            <w:rPr>
                              <w:rFonts w:ascii="Cambria Math" w:hAnsi="Cambria Math"/>
                            </w:rPr>
                            <m:t>v</m:t>
                          </m:r>
                        </m:sub>
                      </m:sSub>
                      <m:sSub>
                        <m:sSubPr>
                          <m:ctrlPr>
                            <w:rPr>
                              <w:rFonts w:ascii="Cambria Math" w:hAnsi="Cambria Math"/>
                            </w:rPr>
                          </m:ctrlPr>
                        </m:sSubPr>
                        <m:e>
                          <m:r>
                            <w:rPr>
                              <w:rFonts w:ascii="Cambria Math" w:hAnsi="Cambria Math"/>
                            </w:rPr>
                            <m:t>D</m:t>
                          </m:r>
                        </m:e>
                        <m:sub>
                          <m:r>
                            <w:rPr>
                              <w:rFonts w:ascii="Cambria Math" w:hAnsi="Cambria Math"/>
                            </w:rPr>
                            <m:t>o</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sat</m:t>
                              </m:r>
                            </m:sub>
                          </m:sSub>
                        </m:e>
                      </m:d>
                    </m:den>
                  </m:f>
                </m:e>
              </m:d>
            </m:e>
            <m:sup>
              <m:r>
                <w:rPr>
                  <w:rFonts w:ascii="Cambria Math" w:hAnsi="Cambria Math"/>
                </w:rPr>
                <m:t>1</m:t>
              </m:r>
              <m:r>
                <m:rPr>
                  <m:sty m:val="p"/>
                </m:rPr>
                <w:rPr>
                  <w:rFonts w:ascii="Cambria Math" w:hAnsi="Cambria Math"/>
                </w:rPr>
                <m:t>/</m:t>
              </m:r>
              <m:r>
                <w:rPr>
                  <w:rFonts w:ascii="Cambria Math" w:hAnsi="Cambria Math"/>
                </w:rPr>
                <m:t>4</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4.24</m:t>
              </m:r>
            </m:e>
          </m:d>
        </m:oMath>
      </m:oMathPara>
    </w:p>
    <w:p w14:paraId="6F72BA2B" w14:textId="77777777" w:rsidR="000F504F" w:rsidRDefault="00000000">
      <w:pPr>
        <w:pStyle w:val="FirstParagraph"/>
      </w:pPr>
      <w:r>
        <w:t>In steam cooling, a separate steam Dittus-Boelter model is evaluated using saturated-vapor properties:</w:t>
      </w:r>
    </w:p>
    <w:p w14:paraId="1F5CEB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steam</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50</m:t>
              </m:r>
              <m:r>
                <m:rPr>
                  <m:sty m:val="p"/>
                </m:rPr>
                <w:rPr>
                  <w:rFonts w:ascii="Cambria Math" w:hAnsi="Cambria Math"/>
                </w:rPr>
                <m:t>,</m:t>
              </m:r>
              <m:f>
                <m:fPr>
                  <m:ctrlPr>
                    <w:rPr>
                      <w:rFonts w:ascii="Cambria Math" w:hAnsi="Cambria Math"/>
                    </w:rPr>
                  </m:ctrlPr>
                </m:fPr>
                <m:num>
                  <m:r>
                    <w:rPr>
                      <w:rFonts w:ascii="Cambria Math" w:hAnsi="Cambria Math"/>
                    </w:rPr>
                    <m:t>0.023R</m:t>
                  </m:r>
                  <m:sSubSup>
                    <m:sSubSupPr>
                      <m:ctrlPr>
                        <w:rPr>
                          <w:rFonts w:ascii="Cambria Math" w:hAnsi="Cambria Math"/>
                        </w:rPr>
                      </m:ctrlPr>
                    </m:sSubSupPr>
                    <m:e>
                      <m:r>
                        <w:rPr>
                          <w:rFonts w:ascii="Cambria Math" w:hAnsi="Cambria Math"/>
                        </w:rPr>
                        <m:t>e</m:t>
                      </m:r>
                    </m:e>
                    <m:sub>
                      <m:r>
                        <w:rPr>
                          <w:rFonts w:ascii="Cambria Math" w:hAnsi="Cambria Math"/>
                        </w:rPr>
                        <m:t>v</m:t>
                      </m:r>
                    </m:sub>
                    <m:sup>
                      <m:r>
                        <w:rPr>
                          <w:rFonts w:ascii="Cambria Math" w:hAnsi="Cambria Math"/>
                        </w:rPr>
                        <m:t>0.8</m:t>
                      </m:r>
                    </m:sup>
                  </m:sSubSup>
                  <m:r>
                    <w:rPr>
                      <w:rFonts w:ascii="Cambria Math" w:hAnsi="Cambria Math"/>
                    </w:rPr>
                    <m:t>P</m:t>
                  </m:r>
                  <m:sSubSup>
                    <m:sSubSupPr>
                      <m:ctrlPr>
                        <w:rPr>
                          <w:rFonts w:ascii="Cambria Math" w:hAnsi="Cambria Math"/>
                        </w:rPr>
                      </m:ctrlPr>
                    </m:sSubSupPr>
                    <m:e>
                      <m:r>
                        <w:rPr>
                          <w:rFonts w:ascii="Cambria Math" w:hAnsi="Cambria Math"/>
                        </w:rPr>
                        <m:t>r</m:t>
                      </m:r>
                    </m:e>
                    <m:sub>
                      <m:r>
                        <w:rPr>
                          <w:rFonts w:ascii="Cambria Math" w:hAnsi="Cambria Math"/>
                        </w:rPr>
                        <m:t>v</m:t>
                      </m:r>
                    </m:sub>
                    <m:sup>
                      <m:r>
                        <w:rPr>
                          <w:rFonts w:ascii="Cambria Math" w:hAnsi="Cambria Math"/>
                        </w:rPr>
                        <m:t>0.4</m:t>
                      </m:r>
                    </m:sup>
                  </m:sSubSup>
                  <m:sSub>
                    <m:sSubPr>
                      <m:ctrlPr>
                        <w:rPr>
                          <w:rFonts w:ascii="Cambria Math" w:hAnsi="Cambria Math"/>
                        </w:rPr>
                      </m:ctrlPr>
                    </m:sSubPr>
                    <m:e>
                      <m:r>
                        <w:rPr>
                          <w:rFonts w:ascii="Cambria Math" w:hAnsi="Cambria Math"/>
                        </w:rPr>
                        <m:t>k</m:t>
                      </m:r>
                    </m:e>
                    <m:sub>
                      <m:r>
                        <w:rPr>
                          <w:rFonts w:ascii="Cambria Math" w:hAnsi="Cambria Math"/>
                        </w:rPr>
                        <m:t>v</m:t>
                      </m:r>
                    </m:sub>
                  </m:sSub>
                </m:num>
                <m:den>
                  <m:sSub>
                    <m:sSubPr>
                      <m:ctrlPr>
                        <w:rPr>
                          <w:rFonts w:ascii="Cambria Math" w:hAnsi="Cambria Math"/>
                        </w:rPr>
                      </m:ctrlPr>
                    </m:sSubPr>
                    <m:e>
                      <m:r>
                        <w:rPr>
                          <w:rFonts w:ascii="Cambria Math" w:hAnsi="Cambria Math"/>
                        </w:rPr>
                        <m:t>D</m:t>
                      </m:r>
                    </m:e>
                    <m:sub>
                      <m:r>
                        <w:rPr>
                          <w:rFonts w:ascii="Cambria Math" w:hAnsi="Cambria Math"/>
                        </w:rPr>
                        <m:t>h</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4.25</m:t>
              </m:r>
            </m:e>
          </m:d>
        </m:oMath>
      </m:oMathPara>
    </w:p>
    <w:p w14:paraId="4AB3F214" w14:textId="77777777" w:rsidR="000F504F" w:rsidRDefault="00000000">
      <w:pPr>
        <w:pStyle w:val="FirstParagraph"/>
      </w:pPr>
      <w:r>
        <w:t>When the collapsed vessel level falls below the dry-core trigger elevation, FLARE transitions to a dry-core heat-transfer model:</w:t>
      </w:r>
    </w:p>
    <w:p w14:paraId="745AB47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h</m:t>
              </m:r>
            </m:e>
            <m:sub>
              <m:r>
                <w:rPr>
                  <w:rFonts w:ascii="Cambria Math" w:hAnsi="Cambria Math"/>
                </w:rPr>
                <m:t>dry</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gas</m:t>
              </m:r>
            </m:sub>
          </m:sSub>
          <m:r>
            <m:rPr>
              <m:sty m:val="p"/>
            </m:rPr>
            <w:rPr>
              <w:rFonts w:ascii="Cambria Math" w:hAnsi="Cambria Math"/>
            </w:rPr>
            <m:t>+</m:t>
          </m:r>
          <m:r>
            <w:rPr>
              <w:rFonts w:ascii="Cambria Math" w:hAnsi="Cambria Math"/>
            </w:rPr>
            <m:t>εσ</m:t>
          </m:r>
          <m:f>
            <m:fPr>
              <m:ctrlPr>
                <w:rPr>
                  <w:rFonts w:ascii="Cambria Math" w:hAnsi="Cambria Math"/>
                </w:rPr>
              </m:ctrlPr>
            </m:fPr>
            <m:num>
              <m:sSubSup>
                <m:sSubSupPr>
                  <m:ctrlPr>
                    <w:rPr>
                      <w:rFonts w:ascii="Cambria Math" w:hAnsi="Cambria Math"/>
                    </w:rPr>
                  </m:ctrlPr>
                </m:sSubSupPr>
                <m:e>
                  <m:r>
                    <w:rPr>
                      <w:rFonts w:ascii="Cambria Math" w:hAnsi="Cambria Math"/>
                    </w:rPr>
                    <m:t>T</m:t>
                  </m:r>
                </m:e>
                <m:sub>
                  <m:r>
                    <w:rPr>
                      <w:rFonts w:ascii="Cambria Math" w:hAnsi="Cambria Math"/>
                    </w:rPr>
                    <m:t>clad</m:t>
                  </m:r>
                </m:sub>
                <m:sup>
                  <m:r>
                    <w:rPr>
                      <w:rFonts w:ascii="Cambria Math" w:hAnsi="Cambria Math"/>
                    </w:rPr>
                    <m:t>4</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gas</m:t>
                  </m:r>
                </m:sub>
                <m:sup>
                  <m:r>
                    <w:rPr>
                      <w:rFonts w:ascii="Cambria Math" w:hAnsi="Cambria Math"/>
                    </w:rPr>
                    <m:t>4</m:t>
                  </m:r>
                </m:sup>
              </m:sSubSup>
            </m:num>
            <m:den>
              <m:sSub>
                <m:sSubPr>
                  <m:ctrlPr>
                    <w:rPr>
                      <w:rFonts w:ascii="Cambria Math" w:hAnsi="Cambria Math"/>
                    </w:rPr>
                  </m:ctrlPr>
                </m:sSubPr>
                <m:e>
                  <m:r>
                    <w:rPr>
                      <w:rFonts w:ascii="Cambria Math" w:hAnsi="Cambria Math"/>
                    </w:rPr>
                    <m:t>T</m:t>
                  </m:r>
                </m:e>
                <m:sub>
                  <m:r>
                    <w:rPr>
                      <w:rFonts w:ascii="Cambria Math" w:hAnsi="Cambria Math"/>
                    </w:rPr>
                    <m:t>clad</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gas</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4.26</m:t>
              </m:r>
            </m:e>
          </m:d>
        </m:oMath>
      </m:oMathPara>
    </w:p>
    <w:p w14:paraId="56CB2DB3" w14:textId="77777777" w:rsidR="000F504F" w:rsidRDefault="00000000">
      <w:pPr>
        <w:pStyle w:val="FirstParagraph"/>
      </w:pPr>
      <w:r>
        <w:t>This treatment is intentionally approximate. It prevents unrealistic continued nucleate-boiling cooling after core uncovery and provides a conservative trend for source-term and severe-event screening.</w:t>
      </w:r>
    </w:p>
    <w:p w14:paraId="4BA50378" w14:textId="77777777" w:rsidR="000F504F" w:rsidRDefault="00000000">
      <w:pPr>
        <w:pStyle w:val="Heading2"/>
      </w:pPr>
      <w:bookmarkStart w:id="27" w:name="_Toc231232872"/>
      <w:r>
        <w:t>4.5 Zirconium Oxidation and Hydrogen Generation</w:t>
      </w:r>
      <w:bookmarkEnd w:id="27"/>
    </w:p>
    <w:p w14:paraId="1482EB76" w14:textId="77777777" w:rsidR="000F504F" w:rsidRDefault="00000000">
      <w:pPr>
        <w:pStyle w:val="FirstParagraph"/>
      </w:pPr>
      <w:r>
        <w:t>The Baker-Just oxidation correlation is integrated for the hot pin and for a core-wide rod population estimated to exceed the oxidation threshold. The parabolic law is</w:t>
      </w:r>
    </w:p>
    <w:p w14:paraId="7D8FD1A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A</m:t>
                  </m:r>
                </m:e>
                <m:sub>
                  <m:r>
                    <w:rPr>
                      <w:rFonts w:ascii="Cambria Math" w:hAnsi="Cambria Math"/>
                    </w:rPr>
                    <m:t>BJ</m:t>
                  </m:r>
                </m:sub>
              </m:sSub>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BJ</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clad</m:t>
                      </m:r>
                    </m:sub>
                  </m:sSub>
                </m:e>
              </m:d>
            </m:num>
            <m:den>
              <m:r>
                <w:rPr>
                  <w:rFonts w:ascii="Cambria Math" w:hAnsi="Cambria Math"/>
                </w:rPr>
                <m:t>W</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4.27</m:t>
              </m:r>
            </m:e>
          </m:d>
        </m:oMath>
      </m:oMathPara>
    </w:p>
    <w:p w14:paraId="116BC273" w14:textId="77777777" w:rsidR="000F504F" w:rsidRDefault="00000000">
      <w:pPr>
        <w:pStyle w:val="FirstParagraph"/>
      </w:pPr>
      <w:r>
        <w:t xml:space="preserve">where </w:t>
      </w:r>
      <m:oMath>
        <m:r>
          <w:rPr>
            <w:rFonts w:ascii="Cambria Math" w:hAnsi="Cambria Math"/>
          </w:rPr>
          <m:t>W</m:t>
        </m:r>
      </m:oMath>
      <w:r>
        <w:t xml:space="preserve"> is the oxide areal weight gain. The equivalent cladding reacted fraction is calculated as</w:t>
      </w:r>
    </w:p>
    <w:p w14:paraId="6E0F7F21" w14:textId="77777777" w:rsidR="000F504F" w:rsidRDefault="00000000">
      <w:pPr>
        <w:pStyle w:val="BodyText"/>
      </w:pPr>
      <m:oMathPara>
        <m:oMathParaPr>
          <m:jc m:val="center"/>
        </m:oMathParaPr>
        <m:oMath>
          <m:r>
            <w:rPr>
              <w:rFonts w:ascii="Cambria Math" w:hAnsi="Cambria Math"/>
            </w:rPr>
            <m:t>ECR</m:t>
          </m:r>
          <m:r>
            <m:rPr>
              <m:sty m:val="p"/>
            </m:rPr>
            <w:rPr>
              <w:rFonts w:ascii="Cambria Math" w:hAnsi="Cambria Math"/>
            </w:rPr>
            <m:t>=</m:t>
          </m:r>
          <m:r>
            <w:rPr>
              <w:rFonts w:ascii="Cambria Math" w:hAnsi="Cambria Math"/>
            </w:rPr>
            <m:t>100</m:t>
          </m:r>
          <m:f>
            <m:fPr>
              <m:ctrlPr>
                <w:rPr>
                  <w:rFonts w:ascii="Cambria Math" w:hAnsi="Cambria Math"/>
                </w:rPr>
              </m:ctrlPr>
            </m:fPr>
            <m:num>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oxidized</m:t>
                  </m:r>
                </m:sub>
              </m:sSub>
            </m:num>
            <m:den>
              <m:sSub>
                <m:sSubPr>
                  <m:ctrlPr>
                    <w:rPr>
                      <w:rFonts w:ascii="Cambria Math" w:hAnsi="Cambria Math"/>
                    </w:rPr>
                  </m:ctrlPr>
                </m:sSubPr>
                <m:e>
                  <m:r>
                    <w:rPr>
                      <w:rFonts w:ascii="Cambria Math" w:hAnsi="Cambria Math"/>
                    </w:rPr>
                    <m:t>m</m:t>
                  </m:r>
                </m:e>
                <m:sub>
                  <m:r>
                    <w:rPr>
                      <w:rFonts w:ascii="Cambria Math" w:hAnsi="Cambria Math"/>
                    </w:rPr>
                    <m:t>Zr</m:t>
                  </m:r>
                  <m:r>
                    <m:rPr>
                      <m:sty m:val="p"/>
                    </m:rPr>
                    <w:rPr>
                      <w:rFonts w:ascii="Cambria Math" w:hAnsi="Cambria Math"/>
                    </w:rPr>
                    <m:t>,</m:t>
                  </m:r>
                  <m:r>
                    <w:rPr>
                      <w:rFonts w:ascii="Cambria Math" w:hAnsi="Cambria Math"/>
                    </w:rPr>
                    <m:t>initial</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4.28</m:t>
              </m:r>
            </m:e>
          </m:d>
        </m:oMath>
      </m:oMathPara>
    </w:p>
    <w:p w14:paraId="638D0E85" w14:textId="77777777" w:rsidR="000F504F" w:rsidRDefault="00000000">
      <w:pPr>
        <w:pStyle w:val="FirstParagraph"/>
      </w:pPr>
      <w:r>
        <w:t>The hydrogen generation is based on the zirconium-steam reaction</w:t>
      </w:r>
    </w:p>
    <w:p w14:paraId="3572F622" w14:textId="77777777" w:rsidR="000F504F" w:rsidRDefault="00000000">
      <w:pPr>
        <w:pStyle w:val="BodyText"/>
      </w:pPr>
      <m:oMathPara>
        <m:oMathParaPr>
          <m:jc m:val="center"/>
        </m:oMathParaPr>
        <m:oMath>
          <m:r>
            <w:rPr>
              <w:rFonts w:ascii="Cambria Math" w:hAnsi="Cambria Math"/>
            </w:rPr>
            <m:t>Zr</m:t>
          </m:r>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w:rPr>
              <w:rFonts w:ascii="Cambria Math" w:hAnsi="Cambria Math"/>
            </w:rPr>
            <m:t>O</m:t>
          </m:r>
          <m:r>
            <m:rPr>
              <m:sty m:val="p"/>
            </m:rPr>
            <w:rPr>
              <w:rFonts w:ascii="Cambria Math" w:hAnsi="Cambria Math"/>
            </w:rPr>
            <m:t>→</m:t>
          </m:r>
          <m:r>
            <w:rPr>
              <w:rFonts w:ascii="Cambria Math" w:hAnsi="Cambria Math"/>
            </w:rPr>
            <m:t>Zr</m:t>
          </m:r>
          <m:sSub>
            <m:sSubPr>
              <m:ctrlPr>
                <w:rPr>
                  <w:rFonts w:ascii="Cambria Math" w:hAnsi="Cambria Math"/>
                </w:rPr>
              </m:ctrlPr>
            </m:sSubPr>
            <m:e>
              <m:r>
                <w:rPr>
                  <w:rFonts w:ascii="Cambria Math" w:hAnsi="Cambria Math"/>
                </w:rPr>
                <m:t>O</m:t>
              </m:r>
            </m:e>
            <m:sub>
              <m:r>
                <w:rPr>
                  <w:rFonts w:ascii="Cambria Math" w:hAnsi="Cambria Math"/>
                </w:rPr>
                <m:t>2</m:t>
              </m:r>
            </m:sub>
          </m:sSub>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4.29</m:t>
              </m:r>
            </m:e>
          </m:d>
        </m:oMath>
      </m:oMathPara>
    </w:p>
    <w:p w14:paraId="16594CD2" w14:textId="77777777" w:rsidR="000F504F" w:rsidRDefault="00000000">
      <w:pPr>
        <w:pStyle w:val="FirstParagraph"/>
      </w:pPr>
      <w:r>
        <w:t xml:space="preserve">For a reacted zirconium mass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oMath>
      <w:r>
        <w:t>,</w:t>
      </w:r>
    </w:p>
    <w:p w14:paraId="7AE4DF4A"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Zr</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Zr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4.30</m:t>
              </m:r>
            </m:e>
          </m:d>
        </m:oMath>
      </m:oMathPara>
    </w:p>
    <w:p w14:paraId="39571344" w14:textId="77777777" w:rsidR="000F504F" w:rsidRDefault="00000000">
      <w:pPr>
        <w:pStyle w:val="FirstParagraph"/>
      </w:pPr>
      <w:r>
        <w:t>Core-wide hydrogen generation is then</w:t>
      </w:r>
    </w:p>
    <w:p w14:paraId="5C8AFB6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core</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r>
                <w:rPr>
                  <w:rFonts w:ascii="Cambria Math" w:hAnsi="Cambria Math"/>
                </w:rPr>
                <m:t>Δ</m:t>
              </m:r>
            </m:e>
          </m:nary>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4.31</m:t>
              </m:r>
            </m:e>
          </m:d>
        </m:oMath>
      </m:oMathPara>
    </w:p>
    <w:p w14:paraId="5ADCA218" w14:textId="77777777" w:rsidR="000F504F" w:rsidRDefault="00000000">
      <w:pPr>
        <w:pStyle w:val="FirstParagraph"/>
      </w:pPr>
      <w:r>
        <w:t>where the summation is over the estimated population of rods above the oxidation temperature threshold.</w:t>
      </w:r>
    </w:p>
    <w:p w14:paraId="4F7DE90C" w14:textId="77777777" w:rsidR="00C17023" w:rsidRDefault="00C17023" w:rsidP="00C17023">
      <w:pPr>
        <w:pStyle w:val="Heading1"/>
      </w:pPr>
      <w:bookmarkStart w:id="28" w:name="_Toc231232873"/>
      <w:r>
        <w:t>4.6 Statistical Rod-State Model, Hot Pin, and Mean Oxidizing Rod</w:t>
      </w:r>
      <w:bookmarkEnd w:id="28"/>
    </w:p>
    <w:p w14:paraId="2C6263B4" w14:textId="77777777" w:rsidR="00C17023" w:rsidRDefault="00C17023" w:rsidP="00C17023">
      <w:pPr>
        <w:pStyle w:val="FirstParagraph"/>
      </w:pPr>
      <w:r>
        <w:t>FLARE is a lumped-parameter core model. The reactor coolant system is represented by a single thermal-hydraulic control volume, and the core-average fuel and cladding response is calculated from the integrated core power, coolant inventory, coolant enthalpy, and heat-transfer state. This representation is appropriate for rapid system-level accident screening, but it does not explicitly resolve the rod-by-rod or axial distribution of fuel-rod thermal conditions. To estimate regulatory figures-of-merit that depend on local fuel-rod conditions, FLARE supplements the lumped-parameter model with a statistical rod-state reconstruction based on local power peaking parameters.</w:t>
      </w:r>
    </w:p>
    <w:p w14:paraId="5597AAE9" w14:textId="77777777" w:rsidR="00C17023" w:rsidRDefault="00C17023" w:rsidP="00C17023">
      <w:pPr>
        <w:pStyle w:val="BodyText"/>
      </w:pPr>
      <w:r>
        <w:t>The purpose of the statistical rod-state model is to translate a single mean core thermal response into a distribution of representative rod responses. This distribution is then used to define and track the hot pin, the failed-rod fraction, and the mean oxidizing rod. These derived rod states provide the bridge between the lumped-parameter core calculation and figures-of-merit such as peak cladding temperature, equivalent cladding reacted fraction, hydrogen generation, gap release, early in-vessel release, and severe-event source-term escalation.</w:t>
      </w:r>
    </w:p>
    <w:p w14:paraId="3684812A" w14:textId="77777777" w:rsidR="00C17023" w:rsidRDefault="00C17023" w:rsidP="00C17023">
      <w:pPr>
        <w:pStyle w:val="BodyText"/>
      </w:pPr>
      <w:r>
        <w:t>The model is not a substitute for detailed subchannel or fuel-performance analysis. Rather, it is a reduced-order reconstruction intended to preserve the principal effect of power peaking on fuel and cladding response while retaining the computational simplicity of the FLARE system model.</w:t>
      </w:r>
    </w:p>
    <w:p w14:paraId="145BFDE7" w14:textId="77777777" w:rsidR="00C17023" w:rsidRDefault="00C17023" w:rsidP="00C17023">
      <w:pPr>
        <w:pStyle w:val="Heading2"/>
      </w:pPr>
      <w:bookmarkStart w:id="29" w:name="_Toc231232874"/>
      <w:r>
        <w:t>4.6.1 Rod-State Reconstruction from a Lumped-Parameter Core</w:t>
      </w:r>
      <w:bookmarkEnd w:id="29"/>
    </w:p>
    <w:p w14:paraId="282851FF" w14:textId="77777777" w:rsidR="00C17023" w:rsidRDefault="00C17023" w:rsidP="00C17023">
      <w:pPr>
        <w:pStyle w:val="FirstParagraph"/>
      </w:pPr>
      <w:r>
        <w:t xml:space="preserve">Let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be the total number of fuel rods in the modeled core. The lumped-parameter core model computes a mean thermal response associated with the core-average power. The core-average linear heat rate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8BAF771" w14:textId="77777777" w:rsidTr="00104431">
        <w:trPr>
          <w:cnfStyle w:val="100000000000" w:firstRow="1" w:lastRow="0" w:firstColumn="0" w:lastColumn="0" w:oddVBand="0" w:evenVBand="0" w:oddHBand="0" w:evenHBand="0" w:firstRowFirstColumn="0" w:firstRowLastColumn="0" w:lastRowFirstColumn="0" w:lastRowLastColumn="0"/>
          <w:trHeight w:val="765"/>
          <w:jc w:val="center"/>
        </w:trPr>
        <w:tc>
          <w:tcPr>
            <w:tcW w:w="8200" w:type="dxa"/>
            <w:tcBorders>
              <w:top w:val="nil"/>
              <w:left w:val="nil"/>
              <w:bottom w:val="nil"/>
              <w:right w:val="nil"/>
            </w:tcBorders>
            <w:vAlign w:val="center"/>
          </w:tcPr>
          <w:p w14:paraId="2DDE7DA1" w14:textId="77777777" w:rsidR="00C17023" w:rsidRPr="001711CA" w:rsidRDefault="00000000" w:rsidP="00104431">
            <w:pPr>
              <w:pStyle w:val="BodyText"/>
              <w:spacing w:before="0" w:after="0"/>
              <w:rPr>
                <w:rFonts w:eastAsiaTheme="minorEastAsia"/>
              </w:rPr>
            </w:pPr>
            <m:oMathPara>
              <m:oMath>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200" w:type="dxa"/>
            <w:tcBorders>
              <w:left w:val="nil"/>
            </w:tcBorders>
            <w:vAlign w:val="center"/>
          </w:tcPr>
          <w:p w14:paraId="4B8642BC" w14:textId="77777777" w:rsidR="00C17023" w:rsidRDefault="00C17023" w:rsidP="00104431">
            <w:pPr>
              <w:spacing w:after="0"/>
              <w:jc w:val="right"/>
            </w:pPr>
            <w:r>
              <w:t>(4.6-1)</w:t>
            </w:r>
          </w:p>
        </w:tc>
      </w:tr>
    </w:tbl>
    <w:p w14:paraId="37B39F64"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core</m:t>
            </m:r>
          </m:sub>
        </m:sSub>
        <m:d>
          <m:dPr>
            <m:ctrlPr>
              <w:rPr>
                <w:rFonts w:ascii="Cambria Math" w:hAnsi="Cambria Math"/>
              </w:rPr>
            </m:ctrlPr>
          </m:dPr>
          <m:e>
            <m:r>
              <w:rPr>
                <w:rFonts w:ascii="Cambria Math" w:hAnsi="Cambria Math"/>
              </w:rPr>
              <m:t>t</m:t>
            </m:r>
          </m:e>
        </m:d>
      </m:oMath>
      <w:r>
        <w:t xml:space="preserve"> is the total core thermal power and </w:t>
      </w:r>
      <m:oMath>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w:r>
        <w:t xml:space="preserve"> is the active heated length. Local rod power is represented by a dimensionless rod peaking multiplier </w:t>
      </w:r>
      <m:oMath>
        <m:r>
          <w:rPr>
            <w:rFonts w:ascii="Cambria Math" w:hAnsi="Cambria Math"/>
          </w:rPr>
          <m:t>F</m:t>
        </m:r>
      </m:oMath>
      <w:r>
        <w:t>, such that the local rod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798BD41" w14:textId="77777777" w:rsidTr="00104431">
        <w:trPr>
          <w:cnfStyle w:val="100000000000" w:firstRow="1" w:lastRow="0" w:firstColumn="0" w:lastColumn="0" w:oddVBand="0" w:evenVBand="0" w:oddHBand="0" w:evenHBand="0" w:firstRowFirstColumn="0" w:firstRowLastColumn="0" w:lastRowFirstColumn="0" w:lastRowLastColumn="0"/>
          <w:trHeight w:val="333"/>
          <w:jc w:val="center"/>
        </w:trPr>
        <w:tc>
          <w:tcPr>
            <w:tcW w:w="8200" w:type="dxa"/>
            <w:tcBorders>
              <w:bottom w:val="none" w:sz="0" w:space="0" w:color="auto"/>
            </w:tcBorders>
            <w:vAlign w:val="center"/>
          </w:tcPr>
          <w:p w14:paraId="00F68431" w14:textId="77777777" w:rsidR="00C17023" w:rsidRDefault="00C17023" w:rsidP="00104431">
            <w:pPr>
              <w:pStyle w:val="BodyText"/>
              <w:spacing w:before="0" w:after="0"/>
            </w:pPr>
            <m:oMathPara>
              <m:oMathParaPr>
                <m:jc m:val="center"/>
              </m:oMathParaPr>
              <m:oMath>
                <m:r>
                  <w:rPr>
                    <w:rFonts w:ascii="Cambria Math" w:hAnsi="Cambria Math"/>
                  </w:rPr>
                  <m:t>q</m:t>
                </m:r>
                <m:sSub>
                  <m:sSubPr>
                    <m:ctrlPr>
                      <w:rPr>
                        <w:rFonts w:ascii="Cambria Math" w:hAnsi="Cambria Math"/>
                      </w:rPr>
                    </m:ctrlPr>
                  </m:sSubPr>
                  <m:e>
                    <m:r>
                      <m:rPr>
                        <m:sty m:val="p"/>
                      </m:rPr>
                      <w:rPr>
                        <w:rFonts w:ascii="Cambria Math" w:hAnsi="Cambria Math"/>
                      </w:rPr>
                      <m:t>'</m:t>
                    </m:r>
                  </m:e>
                  <m:sub>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w:rPr>
                    <w:rFonts w:ascii="Cambria Math" w:hAnsi="Cambria Math"/>
                  </w:rPr>
                  <m:t> </m:t>
                </m:r>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0C39FC82" w14:textId="77777777" w:rsidR="00C17023" w:rsidRDefault="00C17023" w:rsidP="00104431">
            <w:pPr>
              <w:spacing w:after="0"/>
              <w:jc w:val="right"/>
            </w:pPr>
            <w:r>
              <w:t>(4.6-2)</w:t>
            </w:r>
          </w:p>
        </w:tc>
      </w:tr>
    </w:tbl>
    <w:p w14:paraId="29A1242B" w14:textId="77777777" w:rsidR="00C17023" w:rsidRDefault="00C17023" w:rsidP="00C17023">
      <w:pPr>
        <w:pStyle w:val="FirstParagraph"/>
      </w:pPr>
      <w:r>
        <w:t xml:space="preserve">where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denotes the statistical rod-state multiplier, not to be confused with the user-input radial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The distribution of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constructed so that the population mean is unity,</w:t>
      </w:r>
    </w:p>
    <w:tbl>
      <w:tblPr>
        <w:tblStyle w:val="Table"/>
        <w:tblW w:w="0" w:type="auto"/>
        <w:jc w:val="center"/>
        <w:tblLayout w:type="fixed"/>
        <w:tblLook w:val="04A0" w:firstRow="1" w:lastRow="0" w:firstColumn="1" w:lastColumn="0" w:noHBand="0" w:noVBand="1"/>
      </w:tblPr>
      <w:tblGrid>
        <w:gridCol w:w="8200"/>
        <w:gridCol w:w="1200"/>
      </w:tblGrid>
      <w:tr w:rsidR="00C17023" w14:paraId="1341D953"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5F554A3" w14:textId="77777777" w:rsidR="00C17023" w:rsidRDefault="00C17023" w:rsidP="00104431">
            <w:pPr>
              <w:pStyle w:val="BodyText"/>
              <w:spacing w:before="0" w:after="0"/>
            </w:pPr>
            <m:oMathPara>
              <m:oMathParaPr>
                <m:jc m:val="center"/>
              </m:oMathParaPr>
              <m:oMath>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e>
                </m:d>
                <m:r>
                  <m:rPr>
                    <m:sty m:val="p"/>
                  </m:rPr>
                  <w:rPr>
                    <w:rFonts w:ascii="Cambria Math" w:hAnsi="Cambria Math"/>
                  </w:rPr>
                  <m:t>=</m:t>
                </m:r>
                <m:r>
                  <w:rPr>
                    <w:rFonts w:ascii="Cambria Math" w:hAnsi="Cambria Math"/>
                  </w:rPr>
                  <m:t>1</m:t>
                </m:r>
              </m:oMath>
            </m:oMathPara>
          </w:p>
        </w:tc>
        <w:tc>
          <w:tcPr>
            <w:tcW w:w="1200" w:type="dxa"/>
            <w:tcBorders>
              <w:bottom w:val="none" w:sz="0" w:space="0" w:color="auto"/>
            </w:tcBorders>
            <w:vAlign w:val="center"/>
          </w:tcPr>
          <w:p w14:paraId="4FBCA63A" w14:textId="77777777" w:rsidR="00C17023" w:rsidRDefault="00C17023" w:rsidP="00104431">
            <w:pPr>
              <w:spacing w:after="0"/>
              <w:jc w:val="right"/>
            </w:pPr>
            <w:r>
              <w:t>(4.6-3)</w:t>
            </w:r>
          </w:p>
        </w:tc>
      </w:tr>
    </w:tbl>
    <w:p w14:paraId="603B03A4" w14:textId="77777777" w:rsidR="00C17023" w:rsidRDefault="00C17023" w:rsidP="00C17023">
      <w:pPr>
        <w:pStyle w:val="FirstParagraph"/>
      </w:pPr>
      <w:r>
        <w:t>and the upper tail is consistent with the user-specified local peaking inputs.</w:t>
      </w:r>
    </w:p>
    <w:p w14:paraId="53079726" w14:textId="77777777" w:rsidR="00C17023" w:rsidRDefault="00C17023" w:rsidP="00C17023">
      <w:pPr>
        <w:pStyle w:val="BodyText"/>
      </w:pPr>
      <w:r>
        <w:t xml:space="preserve">The user-input peaking factors </w:t>
      </w:r>
      <m:oMath>
        <m:sSub>
          <m:sSubPr>
            <m:ctrlPr>
              <w:rPr>
                <w:rFonts w:ascii="Cambria Math" w:hAnsi="Cambria Math"/>
              </w:rPr>
            </m:ctrlPr>
          </m:sSubPr>
          <m:e>
            <m:r>
              <w:rPr>
                <w:rFonts w:ascii="Cambria Math" w:hAnsi="Cambria Math"/>
              </w:rPr>
              <m:t>F</m:t>
            </m:r>
          </m:e>
          <m:sub>
            <m:r>
              <w:rPr>
                <w:rFonts w:ascii="Cambria Math" w:hAnsi="Cambria Math"/>
              </w:rPr>
              <m:t>r</m:t>
            </m:r>
          </m:sub>
        </m:sSub>
      </m:oMath>
      <w:r>
        <w:t xml:space="preserve"> and </w:t>
      </w:r>
      <m:oMath>
        <m:sSub>
          <m:sSubPr>
            <m:ctrlPr>
              <w:rPr>
                <w:rFonts w:ascii="Cambria Math" w:hAnsi="Cambria Math"/>
              </w:rPr>
            </m:ctrlPr>
          </m:sSubPr>
          <m:e>
            <m:r>
              <w:rPr>
                <w:rFonts w:ascii="Cambria Math" w:hAnsi="Cambria Math"/>
              </w:rPr>
              <m:t>F</m:t>
            </m:r>
          </m:e>
          <m:sub>
            <m:r>
              <w:rPr>
                <w:rFonts w:ascii="Cambria Math" w:hAnsi="Cambria Math"/>
              </w:rPr>
              <m:t>z</m:t>
            </m:r>
          </m:sub>
        </m:sSub>
      </m:oMath>
      <w:r>
        <w:t xml:space="preserve"> are interpreted as the radial and axial multipliers needed to estimate the limiting local rod condition. The composite hot-pin peaking factor is</w:t>
      </w:r>
    </w:p>
    <w:tbl>
      <w:tblPr>
        <w:tblStyle w:val="Table"/>
        <w:tblW w:w="0" w:type="auto"/>
        <w:jc w:val="center"/>
        <w:tblLayout w:type="fixed"/>
        <w:tblLook w:val="04A0" w:firstRow="1" w:lastRow="0" w:firstColumn="1" w:lastColumn="0" w:noHBand="0" w:noVBand="1"/>
      </w:tblPr>
      <w:tblGrid>
        <w:gridCol w:w="8200"/>
        <w:gridCol w:w="1200"/>
      </w:tblGrid>
      <w:tr w:rsidR="00C17023" w14:paraId="357DBC62"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653E6E3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16EC8E" w14:textId="77777777" w:rsidR="00C17023" w:rsidRDefault="00C17023" w:rsidP="00104431">
            <w:pPr>
              <w:spacing w:after="0"/>
              <w:jc w:val="right"/>
            </w:pPr>
            <w:r>
              <w:t>(4.6-4)</w:t>
            </w:r>
          </w:p>
        </w:tc>
      </w:tr>
    </w:tbl>
    <w:p w14:paraId="33B0C94E" w14:textId="77777777" w:rsidR="00C17023" w:rsidRDefault="00C17023" w:rsidP="00C17023">
      <w:pPr>
        <w:pStyle w:val="FirstParagraph"/>
      </w:pPr>
      <w:r>
        <w:t>and the hot-pin linear heat rate is</w:t>
      </w:r>
    </w:p>
    <w:tbl>
      <w:tblPr>
        <w:tblStyle w:val="Table"/>
        <w:tblW w:w="0" w:type="auto"/>
        <w:jc w:val="center"/>
        <w:tblLayout w:type="fixed"/>
        <w:tblLook w:val="04A0" w:firstRow="1" w:lastRow="0" w:firstColumn="1" w:lastColumn="0" w:noHBand="0" w:noVBand="1"/>
      </w:tblPr>
      <w:tblGrid>
        <w:gridCol w:w="8200"/>
        <w:gridCol w:w="1200"/>
      </w:tblGrid>
      <w:tr w:rsidR="00C17023" w14:paraId="2139EDF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202776AD" w14:textId="77777777" w:rsidR="00C17023" w:rsidRDefault="00C17023" w:rsidP="00104431">
            <w:pPr>
              <w:pStyle w:val="BodyText"/>
              <w:spacing w:before="0" w:after="0"/>
            </w:pPr>
            <m:oMathPara>
              <m:oMathParaPr>
                <m:jc m:val="center"/>
              </m:oMathParaPr>
              <m:oMath>
                <m:r>
                  <w:rPr>
                    <w:rFonts w:ascii="Cambria Math" w:hAnsi="Cambria Math"/>
                  </w:rPr>
                  <w:lastRenderedPageBreak/>
                  <m:t>q</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acc>
                  <m:accPr>
                    <m:chr m:val="‾"/>
                    <m:ctrlPr>
                      <w:rPr>
                        <w:rFonts w:ascii="Cambria Math" w:hAnsi="Cambria Math"/>
                      </w:rPr>
                    </m:ctrlPr>
                  </m:accPr>
                  <m:e>
                    <m:r>
                      <w:rPr>
                        <w:rFonts w:ascii="Cambria Math" w:hAnsi="Cambria Math"/>
                      </w:rPr>
                      <m:t>q</m:t>
                    </m:r>
                  </m:e>
                </m:acc>
                <m:r>
                  <m:rPr>
                    <m:sty m:val="p"/>
                  </m:rPr>
                  <w:rPr>
                    <w:rFonts w:ascii="Cambria Math" w:hAnsi="Cambria Math"/>
                  </w:rPr>
                  <m:t>'</m:t>
                </m:r>
                <m:d>
                  <m:dPr>
                    <m:ctrlPr>
                      <w:rPr>
                        <w:rFonts w:ascii="Cambria Math" w:hAnsi="Cambria Math"/>
                      </w:rPr>
                    </m:ctrlPr>
                  </m:dPr>
                  <m:e>
                    <m:r>
                      <w:rPr>
                        <w:rFonts w:ascii="Cambria Math" w:hAnsi="Cambria Math"/>
                      </w:rPr>
                      <m:t>t</m:t>
                    </m:r>
                  </m:e>
                </m:d>
              </m:oMath>
            </m:oMathPara>
          </w:p>
        </w:tc>
        <w:tc>
          <w:tcPr>
            <w:tcW w:w="1200" w:type="dxa"/>
            <w:tcBorders>
              <w:bottom w:val="none" w:sz="0" w:space="0" w:color="auto"/>
            </w:tcBorders>
            <w:vAlign w:val="center"/>
          </w:tcPr>
          <w:p w14:paraId="25008D50" w14:textId="77777777" w:rsidR="00C17023" w:rsidRDefault="00C17023" w:rsidP="00104431">
            <w:pPr>
              <w:spacing w:after="0"/>
              <w:jc w:val="right"/>
            </w:pPr>
            <w:r>
              <w:t>(4.6-5)</w:t>
            </w:r>
          </w:p>
        </w:tc>
      </w:tr>
    </w:tbl>
    <w:p w14:paraId="466ABD2D" w14:textId="77777777" w:rsidR="00C17023" w:rsidRDefault="00C17023" w:rsidP="00C17023">
      <w:pPr>
        <w:pStyle w:val="FirstParagraph"/>
      </w:pPr>
      <w:r>
        <w:t>The hot pin is therefore the limiting rod state implied by the prescribed peaking factors. It is tracked explicitly because regulatory quantities such as peak cladding temperature and maximum local oxidation are defined by the most adverse local rod condition, not by the core-average rod.</w:t>
      </w:r>
    </w:p>
    <w:p w14:paraId="07E833C7" w14:textId="77777777" w:rsidR="00C17023" w:rsidRDefault="00C17023" w:rsidP="00C17023">
      <w:pPr>
        <w:pStyle w:val="Heading2"/>
      </w:pPr>
      <w:bookmarkStart w:id="30" w:name="_Toc231232875"/>
      <w:r>
        <w:t>4.6.2 Normal Rod-State Distribution</w:t>
      </w:r>
      <w:bookmarkEnd w:id="30"/>
    </w:p>
    <w:p w14:paraId="72171742" w14:textId="77777777" w:rsidR="00C17023" w:rsidRDefault="00C17023" w:rsidP="00C17023">
      <w:pPr>
        <w:pStyle w:val="FirstParagraph"/>
      </w:pPr>
      <w:r>
        <w:t>For estimating failed fractions and oxidation-weighted quantities, FLARE assumes that the population of rod states can be approximated by a normal distribution in the peaking multiplier.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22BAFFA7"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top w:val="nil"/>
              <w:left w:val="nil"/>
              <w:bottom w:val="nil"/>
              <w:right w:val="nil"/>
            </w:tcBorders>
            <w:vAlign w:val="center"/>
          </w:tcPr>
          <w:p w14:paraId="7AE42121" w14:textId="77777777" w:rsidR="00C17023" w:rsidRDefault="00000000" w:rsidP="00104431">
            <w:pPr>
              <w:pStyle w:val="BodyText"/>
              <w:spacing w:before="0" w:after="0"/>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cr m:val="script"/>
                    <m:sty m:val="p"/>
                  </m:rP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F</m:t>
                        </m:r>
                      </m:sub>
                      <m:sup>
                        <m:r>
                          <w:rPr>
                            <w:rFonts w:ascii="Cambria Math" w:hAnsi="Cambria Math"/>
                          </w:rPr>
                          <m:t>2</m:t>
                        </m:r>
                      </m:sup>
                    </m:sSubSup>
                  </m:e>
                </m:d>
              </m:oMath>
            </m:oMathPara>
          </w:p>
        </w:tc>
        <w:tc>
          <w:tcPr>
            <w:tcW w:w="1200" w:type="dxa"/>
            <w:tcBorders>
              <w:top w:val="nil"/>
              <w:left w:val="nil"/>
              <w:bottom w:val="nil"/>
              <w:right w:val="nil"/>
            </w:tcBorders>
            <w:vAlign w:val="center"/>
          </w:tcPr>
          <w:p w14:paraId="1CD7ED65" w14:textId="77777777" w:rsidR="00C17023" w:rsidRDefault="00C17023" w:rsidP="00104431">
            <w:pPr>
              <w:spacing w:after="0"/>
              <w:jc w:val="right"/>
            </w:pPr>
            <w:r>
              <w:t>(4.6-6)</w:t>
            </w:r>
          </w:p>
        </w:tc>
      </w:tr>
    </w:tbl>
    <w:p w14:paraId="7AEE79D7" w14:textId="77777777" w:rsidR="00C17023" w:rsidRDefault="00C17023" w:rsidP="00C17023">
      <w:pPr>
        <w:pStyle w:val="FirstParagraph"/>
      </w:pPr>
      <w:r>
        <w:t xml:space="preserve">with practical truncation imposed as necessary to avoid nonphysical negative power multipliers. The standard deviation </w:t>
      </w:r>
      <m:oMath>
        <m:sSub>
          <m:sSubPr>
            <m:ctrlPr>
              <w:rPr>
                <w:rFonts w:ascii="Cambria Math" w:hAnsi="Cambria Math"/>
              </w:rPr>
            </m:ctrlPr>
          </m:sSubPr>
          <m:e>
            <m:r>
              <w:rPr>
                <w:rFonts w:ascii="Cambria Math" w:hAnsi="Cambria Math"/>
              </w:rPr>
              <m:t>σ</m:t>
            </m:r>
          </m:e>
          <m:sub>
            <m:r>
              <w:rPr>
                <w:rFonts w:ascii="Cambria Math" w:hAnsi="Cambria Math"/>
              </w:rPr>
              <m:t>F</m:t>
            </m:r>
          </m:sub>
        </m:sSub>
      </m:oMath>
      <w:r>
        <w:t xml:space="preserve"> is selected so that the specified hot-pin peaking factor corresponds to an upper-tail quantile of the rod population. If the hot pin is interpreted as approximately the most limiting rod among </w:t>
      </w:r>
      <m:oMath>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w:r>
        <w:t xml:space="preserve"> rods, then</w:t>
      </w:r>
    </w:p>
    <w:tbl>
      <w:tblPr>
        <w:tblStyle w:val="Table"/>
        <w:tblW w:w="0" w:type="auto"/>
        <w:jc w:val="center"/>
        <w:tblLayout w:type="fixed"/>
        <w:tblLook w:val="04A0" w:firstRow="1" w:lastRow="0" w:firstColumn="1" w:lastColumn="0" w:noHBand="0" w:noVBand="1"/>
      </w:tblPr>
      <w:tblGrid>
        <w:gridCol w:w="8200"/>
        <w:gridCol w:w="1200"/>
      </w:tblGrid>
      <w:tr w:rsidR="00C17023" w14:paraId="6647D2DA" w14:textId="77777777" w:rsidTr="00104431">
        <w:trPr>
          <w:cnfStyle w:val="100000000000" w:firstRow="1" w:lastRow="0" w:firstColumn="0" w:lastColumn="0" w:oddVBand="0" w:evenVBand="0" w:oddHBand="0" w:evenHBand="0" w:firstRowFirstColumn="0" w:firstRowLastColumn="0" w:lastRowFirstColumn="0" w:lastRowLastColumn="0"/>
          <w:trHeight w:val="405"/>
          <w:jc w:val="center"/>
        </w:trPr>
        <w:tc>
          <w:tcPr>
            <w:tcW w:w="8200" w:type="dxa"/>
            <w:tcBorders>
              <w:bottom w:val="none" w:sz="0" w:space="0" w:color="auto"/>
            </w:tcBorders>
            <w:vAlign w:val="center"/>
          </w:tcPr>
          <w:p w14:paraId="29C5149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m:rPr>
                        <m:sty m:val="p"/>
                      </m:rPr>
                      <w:rPr>
                        <w:rFonts w:ascii="Cambria Math" w:hAnsi="Cambria Math"/>
                      </w:rPr>
                      <m:t>hot</m:t>
                    </m:r>
                  </m:sub>
                </m:sSub>
                <m:sSub>
                  <m:sSubPr>
                    <m:ctrlPr>
                      <w:rPr>
                        <w:rFonts w:ascii="Cambria Math" w:hAnsi="Cambria Math"/>
                      </w:rPr>
                    </m:ctrlPr>
                  </m:sSubPr>
                  <m:e>
                    <m:r>
                      <w:rPr>
                        <w:rFonts w:ascii="Cambria Math" w:hAnsi="Cambria Math"/>
                      </w:rPr>
                      <m:t>σ</m:t>
                    </m:r>
                  </m:e>
                  <m:sub>
                    <m:r>
                      <w:rPr>
                        <w:rFonts w:ascii="Cambria Math" w:hAnsi="Cambria Math"/>
                      </w:rPr>
                      <m:t>F</m:t>
                    </m:r>
                  </m:sub>
                </m:sSub>
              </m:oMath>
            </m:oMathPara>
          </w:p>
        </w:tc>
        <w:tc>
          <w:tcPr>
            <w:tcW w:w="1200" w:type="dxa"/>
            <w:tcBorders>
              <w:bottom w:val="none" w:sz="0" w:space="0" w:color="auto"/>
            </w:tcBorders>
            <w:vAlign w:val="center"/>
          </w:tcPr>
          <w:p w14:paraId="08B36C21" w14:textId="77777777" w:rsidR="00C17023" w:rsidRDefault="00C17023" w:rsidP="00104431">
            <w:pPr>
              <w:spacing w:after="0"/>
              <w:jc w:val="right"/>
            </w:pPr>
            <w:r>
              <w:t>(4.6-7)</w:t>
            </w:r>
          </w:p>
        </w:tc>
      </w:tr>
    </w:tbl>
    <w:p w14:paraId="6C70DD1E"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129BF4A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0DFC5A1"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hot</m:t>
                    </m:r>
                  </m:sub>
                </m:sSub>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N</m:t>
                            </m:r>
                          </m:e>
                          <m:sub>
                            <m:r>
                              <m:rPr>
                                <m:sty m:val="p"/>
                              </m:rPr>
                              <w:rPr>
                                <w:rFonts w:ascii="Cambria Math" w:hAnsi="Cambria Math"/>
                              </w:rPr>
                              <m:t>rod</m:t>
                            </m:r>
                          </m:sub>
                        </m:sSub>
                      </m:den>
                    </m:f>
                  </m:e>
                </m:d>
              </m:oMath>
            </m:oMathPara>
          </w:p>
        </w:tc>
        <w:tc>
          <w:tcPr>
            <w:tcW w:w="1200" w:type="dxa"/>
            <w:tcBorders>
              <w:bottom w:val="none" w:sz="0" w:space="0" w:color="auto"/>
            </w:tcBorders>
            <w:vAlign w:val="center"/>
          </w:tcPr>
          <w:p w14:paraId="63AD8388" w14:textId="77777777" w:rsidR="00C17023" w:rsidRDefault="00C17023" w:rsidP="00104431">
            <w:pPr>
              <w:spacing w:after="0"/>
              <w:jc w:val="right"/>
            </w:pPr>
            <w:r>
              <w:t>(4.6-8)</w:t>
            </w:r>
          </w:p>
        </w:tc>
      </w:tr>
    </w:tbl>
    <w:p w14:paraId="0404F134" w14:textId="77777777" w:rsidR="00C17023" w:rsidRDefault="00C17023" w:rsidP="00C17023">
      <w:pPr>
        <w:pStyle w:val="FirstParagraph"/>
      </w:pPr>
      <w:r>
        <w:t xml:space="preserve">and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t xml:space="preserve"> is the inverse cumulative distribution function of the standard normal distribution. Thus,</w:t>
      </w:r>
    </w:p>
    <w:tbl>
      <w:tblPr>
        <w:tblStyle w:val="Table"/>
        <w:tblW w:w="0" w:type="auto"/>
        <w:jc w:val="center"/>
        <w:tblLayout w:type="fixed"/>
        <w:tblLook w:val="04A0" w:firstRow="1" w:lastRow="0" w:firstColumn="1" w:lastColumn="0" w:noHBand="0" w:noVBand="1"/>
      </w:tblPr>
      <w:tblGrid>
        <w:gridCol w:w="8200"/>
        <w:gridCol w:w="1200"/>
      </w:tblGrid>
      <w:tr w:rsidR="00C17023" w14:paraId="34E47380"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4CA5FF2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σ</m:t>
                    </m:r>
                  </m:e>
                  <m:sub>
                    <m:r>
                      <w:rPr>
                        <w:rFonts w:ascii="Cambria Math" w:hAnsi="Cambria Math"/>
                      </w:rPr>
                      <m:t>F</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z</m:t>
                        </m:r>
                      </m:e>
                      <m:sub>
                        <m:r>
                          <m:rPr>
                            <m:sty m:val="p"/>
                          </m:rPr>
                          <w:rPr>
                            <w:rFonts w:ascii="Cambria Math" w:hAnsi="Cambria Math"/>
                          </w:rPr>
                          <m:t>hot</m:t>
                        </m:r>
                      </m:sub>
                    </m:sSub>
                  </m:den>
                </m:f>
              </m:oMath>
            </m:oMathPara>
          </w:p>
        </w:tc>
        <w:tc>
          <w:tcPr>
            <w:tcW w:w="1200" w:type="dxa"/>
            <w:tcBorders>
              <w:bottom w:val="none" w:sz="0" w:space="0" w:color="auto"/>
            </w:tcBorders>
            <w:vAlign w:val="center"/>
          </w:tcPr>
          <w:p w14:paraId="173A5BE7" w14:textId="77777777" w:rsidR="00C17023" w:rsidRDefault="00C17023" w:rsidP="00104431">
            <w:pPr>
              <w:spacing w:after="0"/>
              <w:jc w:val="right"/>
            </w:pPr>
            <w:r>
              <w:t>(4.6-9)</w:t>
            </w:r>
          </w:p>
        </w:tc>
      </w:tr>
    </w:tbl>
    <w:p w14:paraId="3B2FD363" w14:textId="77777777" w:rsidR="00C17023" w:rsidRDefault="00C17023" w:rsidP="00C17023">
      <w:pPr>
        <w:pStyle w:val="FirstParagraph"/>
      </w:pPr>
      <w:r>
        <w:t xml:space="preserve">This construction gives the rod-state distribution a physically interpretable normalization: the mean rod has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1</m:t>
        </m:r>
      </m:oMath>
      <w:r>
        <w:t>, while the hot pin corresponds approximately to the upper order statistic of the assumed rod population.</w:t>
      </w:r>
    </w:p>
    <w:p w14:paraId="34CD474B" w14:textId="77777777" w:rsidR="00C17023" w:rsidRDefault="00C17023" w:rsidP="00C17023">
      <w:pPr>
        <w:pStyle w:val="BodyText"/>
      </w:pPr>
      <w:r>
        <w:t xml:space="preserve">In practical scoping applications, the exact statistical interpretation of </w:t>
      </w: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oMath>
      <w:r>
        <w:t xml:space="preserve"> should not be over-interpreted. Plant-specific peaking factors are normally deterministic design-analysis inputs derived from core design methods, not random samples from an ideal normal population. FLARE uses the normal distribution as a convenient reduced-order device for distributing lumped-parameter core response across a plausible rod population.</w:t>
      </w:r>
    </w:p>
    <w:p w14:paraId="4234E947" w14:textId="77777777" w:rsidR="00C17023" w:rsidRDefault="00C17023" w:rsidP="00C17023">
      <w:pPr>
        <w:pStyle w:val="Heading2"/>
      </w:pPr>
      <w:bookmarkStart w:id="31" w:name="_Toc231232876"/>
      <w:r>
        <w:t>4.6.3 Temperature Mapping</w:t>
      </w:r>
      <w:bookmarkEnd w:id="31"/>
    </w:p>
    <w:p w14:paraId="02E62B41" w14:textId="77777777" w:rsidR="00C17023" w:rsidRDefault="00C17023" w:rsidP="00C17023">
      <w:pPr>
        <w:pStyle w:val="FirstParagraph"/>
      </w:pPr>
      <w:r>
        <w:t xml:space="preserve">The lumped core heat-structure model provides a mean cladding and fuel temperature response associated with the core-average power. For statistical rod-state reconstruction, the local rod temperature rise above the coolant reference condition is assumed to scale with the rod peaking multiplier. If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oMath>
      <w:r>
        <w:t xml:space="preserve"> is the mean cladding surface temperature and </w:t>
      </w:r>
      <m:oMath>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xml:space="preserve"> is the local coolant reference temperature, then the cladding temperature for a rod with multiplier </w:t>
      </w:r>
      <m:oMath>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oMath>
      <w:r>
        <w:t xml:space="preserve"> is approximated as</w:t>
      </w:r>
    </w:p>
    <w:tbl>
      <w:tblPr>
        <w:tblStyle w:val="Table"/>
        <w:tblW w:w="0" w:type="auto"/>
        <w:jc w:val="center"/>
        <w:tblLayout w:type="fixed"/>
        <w:tblLook w:val="04A0" w:firstRow="1" w:lastRow="0" w:firstColumn="1" w:lastColumn="0" w:noHBand="0" w:noVBand="1"/>
      </w:tblPr>
      <w:tblGrid>
        <w:gridCol w:w="8200"/>
        <w:gridCol w:w="1200"/>
      </w:tblGrid>
      <w:tr w:rsidR="00C17023" w14:paraId="4E889716"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531603A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E96E980" w14:textId="77777777" w:rsidR="00C17023" w:rsidRDefault="00C17023" w:rsidP="00104431">
            <w:pPr>
              <w:spacing w:after="0"/>
              <w:jc w:val="right"/>
            </w:pPr>
            <w:r>
              <w:t>(4.6-10)</w:t>
            </w:r>
          </w:p>
        </w:tc>
      </w:tr>
    </w:tbl>
    <w:p w14:paraId="6918FAAF" w14:textId="77777777" w:rsidR="00C17023" w:rsidRDefault="00C17023" w:rsidP="00C17023">
      <w:pPr>
        <w:pStyle w:val="FirstParagraph"/>
      </w:pPr>
      <w:r>
        <w:t>Similarly, the local fuel temperature may be reconstructed as</w:t>
      </w:r>
    </w:p>
    <w:tbl>
      <w:tblPr>
        <w:tblStyle w:val="Table"/>
        <w:tblW w:w="0" w:type="auto"/>
        <w:jc w:val="center"/>
        <w:tblLayout w:type="fixed"/>
        <w:tblLook w:val="04A0" w:firstRow="1" w:lastRow="0" w:firstColumn="1" w:lastColumn="0" w:noHBand="0" w:noVBand="1"/>
      </w:tblPr>
      <w:tblGrid>
        <w:gridCol w:w="8200"/>
        <w:gridCol w:w="1200"/>
      </w:tblGrid>
      <w:tr w:rsidR="00C17023" w14:paraId="096DF736" w14:textId="77777777" w:rsidTr="00104431">
        <w:trPr>
          <w:cnfStyle w:val="100000000000" w:firstRow="1" w:lastRow="0" w:firstColumn="0" w:lastColumn="0" w:oddVBand="0" w:evenVBand="0" w:oddHBand="0" w:evenHBand="0" w:firstRowFirstColumn="0" w:firstRowLastColumn="0" w:lastRowFirstColumn="0" w:lastRowLastColumn="0"/>
          <w:trHeight w:val="360"/>
          <w:jc w:val="center"/>
        </w:trPr>
        <w:tc>
          <w:tcPr>
            <w:tcW w:w="8200" w:type="dxa"/>
            <w:tcBorders>
              <w:bottom w:val="none" w:sz="0" w:space="0" w:color="auto"/>
            </w:tcBorders>
            <w:vAlign w:val="center"/>
          </w:tcPr>
          <w:p w14:paraId="7E5607A7"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fuel</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fuel</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5708A14" w14:textId="77777777" w:rsidR="00C17023" w:rsidRDefault="00C17023" w:rsidP="00104431">
            <w:pPr>
              <w:spacing w:after="0"/>
              <w:jc w:val="right"/>
            </w:pPr>
            <w:r>
              <w:t>(4.6-11)</w:t>
            </w:r>
          </w:p>
        </w:tc>
      </w:tr>
    </w:tbl>
    <w:p w14:paraId="5AB19334" w14:textId="77777777" w:rsidR="00C17023" w:rsidRDefault="00C17023" w:rsidP="00C17023">
      <w:pPr>
        <w:pStyle w:val="FirstParagraph"/>
      </w:pPr>
      <w:r>
        <w:lastRenderedPageBreak/>
        <w:t>or, equivalently, by applying the peaking multiplier directly to the local heat flux or linear heat rate used in the radial conduction model.</w:t>
      </w:r>
    </w:p>
    <w:p w14:paraId="696921C2" w14:textId="77777777" w:rsidR="00C17023" w:rsidRDefault="00C17023" w:rsidP="00C17023">
      <w:pPr>
        <w:pStyle w:val="BodyText"/>
      </w:pPr>
      <w:r>
        <w:t>The hot-pin cladding temperature is therefore</w:t>
      </w:r>
    </w:p>
    <w:tbl>
      <w:tblPr>
        <w:tblStyle w:val="Table"/>
        <w:tblW w:w="0" w:type="auto"/>
        <w:jc w:val="center"/>
        <w:tblLayout w:type="fixed"/>
        <w:tblLook w:val="04A0" w:firstRow="1" w:lastRow="0" w:firstColumn="1" w:lastColumn="0" w:noHBand="0" w:noVBand="1"/>
      </w:tblPr>
      <w:tblGrid>
        <w:gridCol w:w="8200"/>
        <w:gridCol w:w="1200"/>
      </w:tblGrid>
      <w:tr w:rsidR="00C17023" w14:paraId="2F29A9DE" w14:textId="77777777" w:rsidTr="00104431">
        <w:trPr>
          <w:cnfStyle w:val="100000000000" w:firstRow="1" w:lastRow="0" w:firstColumn="0" w:lastColumn="0" w:oddVBand="0" w:evenVBand="0" w:oddHBand="0" w:evenHBand="0" w:firstRowFirstColumn="0" w:firstRowLastColumn="0" w:lastRowFirstColumn="0" w:lastRowLastColumn="0"/>
          <w:trHeight w:val="495"/>
          <w:jc w:val="center"/>
        </w:trPr>
        <w:tc>
          <w:tcPr>
            <w:tcW w:w="8200" w:type="dxa"/>
            <w:tcBorders>
              <w:bottom w:val="none" w:sz="0" w:space="0" w:color="auto"/>
            </w:tcBorders>
            <w:vAlign w:val="center"/>
          </w:tcPr>
          <w:p w14:paraId="0140F09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hot</m:t>
                    </m:r>
                  </m:sub>
                </m:sSub>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335A6D8E" w14:textId="77777777" w:rsidR="00C17023" w:rsidRDefault="00C17023" w:rsidP="00104431">
            <w:pPr>
              <w:spacing w:after="0"/>
              <w:jc w:val="right"/>
            </w:pPr>
            <w:r>
              <w:t>(4.6-12)</w:t>
            </w:r>
          </w:p>
        </w:tc>
      </w:tr>
    </w:tbl>
    <w:p w14:paraId="6C66815A" w14:textId="77777777" w:rsidR="00C17023" w:rsidRDefault="00C17023" w:rsidP="00C17023">
      <w:pPr>
        <w:pStyle w:val="FirstParagraph"/>
      </w:pPr>
      <w:r>
        <w:t>and the peak cladding temperature reported by FLARE is</w:t>
      </w:r>
    </w:p>
    <w:tbl>
      <w:tblPr>
        <w:tblStyle w:val="Table"/>
        <w:tblW w:w="0" w:type="auto"/>
        <w:jc w:val="center"/>
        <w:tblLayout w:type="fixed"/>
        <w:tblLook w:val="04A0" w:firstRow="1" w:lastRow="0" w:firstColumn="1" w:lastColumn="0" w:noHBand="0" w:noVBand="1"/>
      </w:tblPr>
      <w:tblGrid>
        <w:gridCol w:w="8200"/>
        <w:gridCol w:w="1200"/>
      </w:tblGrid>
      <w:tr w:rsidR="00C17023" w14:paraId="28F0F733"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37D37C5" w14:textId="77777777" w:rsidR="00C17023" w:rsidRDefault="00C17023" w:rsidP="00104431">
            <w:pPr>
              <w:pStyle w:val="BodyText"/>
              <w:spacing w:before="0" w:after="0"/>
            </w:pPr>
            <m:oMathPara>
              <m:oMathParaPr>
                <m:jc m:val="center"/>
              </m:oMathParaPr>
              <m:oMath>
                <m:r>
                  <m:rPr>
                    <m:sty m:val="p"/>
                  </m:rPr>
                  <w:rPr>
                    <w:rFonts w:ascii="Cambria Math" w:hAnsi="Cambria Math"/>
                  </w:rPr>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65D1492C" w14:textId="77777777" w:rsidR="00C17023" w:rsidRDefault="00C17023" w:rsidP="00104431">
            <w:pPr>
              <w:spacing w:after="0"/>
              <w:jc w:val="right"/>
            </w:pPr>
            <w:r>
              <w:t>(4.6-13)</w:t>
            </w:r>
          </w:p>
        </w:tc>
      </w:tr>
    </w:tbl>
    <w:p w14:paraId="3F482DAE" w14:textId="77777777" w:rsidR="00C17023" w:rsidRDefault="00C17023" w:rsidP="00C17023">
      <w:pPr>
        <w:pStyle w:val="FirstParagraph"/>
      </w:pPr>
      <w:r>
        <w:t>This approximation captures the first-order effect of local power peaking on cladding temperature while avoiding explicit rod-by-rod heat-structure integration.</w:t>
      </w:r>
    </w:p>
    <w:p w14:paraId="4F0D30FF" w14:textId="77777777" w:rsidR="00C17023" w:rsidRDefault="00C17023" w:rsidP="00C17023">
      <w:pPr>
        <w:pStyle w:val="Heading2"/>
      </w:pPr>
      <w:bookmarkStart w:id="32" w:name="_Toc231232877"/>
      <w:r>
        <w:t>4.6.4 Failed-Rod Fraction</w:t>
      </w:r>
      <w:bookmarkEnd w:id="32"/>
    </w:p>
    <w:p w14:paraId="481D76BC" w14:textId="77777777" w:rsidR="00C17023" w:rsidRDefault="00C17023" w:rsidP="00C17023">
      <w:pPr>
        <w:pStyle w:val="FirstParagraph"/>
      </w:pPr>
      <w:r>
        <w:t xml:space="preserve">FLARE estimates rod failure fractions from the reconstructed rod-temperature distribution. Let </w:t>
      </w:r>
      <m:oMath>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w:r>
        <w:t xml:space="preserve"> represent a specified failure threshold. For example, the gap-release threshold may be lower than the early in-vessel failure threshold. A rod is treated as failed for a given failure mode if</w:t>
      </w:r>
    </w:p>
    <w:tbl>
      <w:tblPr>
        <w:tblStyle w:val="Table"/>
        <w:tblW w:w="0" w:type="auto"/>
        <w:jc w:val="center"/>
        <w:tblLayout w:type="fixed"/>
        <w:tblLook w:val="04A0" w:firstRow="1" w:lastRow="0" w:firstColumn="1" w:lastColumn="0" w:noHBand="0" w:noVBand="1"/>
      </w:tblPr>
      <w:tblGrid>
        <w:gridCol w:w="8200"/>
        <w:gridCol w:w="1200"/>
      </w:tblGrid>
      <w:tr w:rsidR="00C17023" w14:paraId="3AED53A0" w14:textId="77777777" w:rsidTr="00104431">
        <w:trPr>
          <w:cnfStyle w:val="100000000000" w:firstRow="1" w:lastRow="0" w:firstColumn="0" w:lastColumn="0" w:oddVBand="0" w:evenVBand="0" w:oddHBand="0" w:evenHBand="0" w:firstRowFirstColumn="0" w:firstRowLastColumn="0" w:lastRowFirstColumn="0" w:lastRowLastColumn="0"/>
          <w:trHeight w:val="378"/>
          <w:jc w:val="center"/>
        </w:trPr>
        <w:tc>
          <w:tcPr>
            <w:tcW w:w="8200" w:type="dxa"/>
            <w:tcBorders>
              <w:bottom w:val="none" w:sz="0" w:space="0" w:color="auto"/>
            </w:tcBorders>
            <w:vAlign w:val="center"/>
          </w:tcPr>
          <w:p w14:paraId="2D60EAC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fail</m:t>
                    </m:r>
                  </m:sub>
                </m:sSub>
              </m:oMath>
            </m:oMathPara>
          </w:p>
        </w:tc>
        <w:tc>
          <w:tcPr>
            <w:tcW w:w="1200" w:type="dxa"/>
            <w:tcBorders>
              <w:bottom w:val="none" w:sz="0" w:space="0" w:color="auto"/>
            </w:tcBorders>
            <w:vAlign w:val="center"/>
          </w:tcPr>
          <w:p w14:paraId="7A1CB8E0" w14:textId="77777777" w:rsidR="00C17023" w:rsidRDefault="00C17023" w:rsidP="00104431">
            <w:pPr>
              <w:spacing w:after="0"/>
              <w:jc w:val="right"/>
            </w:pPr>
            <w:r>
              <w:t>(4.6-14)</w:t>
            </w:r>
          </w:p>
        </w:tc>
      </w:tr>
    </w:tbl>
    <w:p w14:paraId="3DADEA7B" w14:textId="77777777" w:rsidR="00C17023" w:rsidRDefault="00C17023" w:rsidP="00C17023">
      <w:pPr>
        <w:pStyle w:val="FirstParagraph"/>
      </w:pPr>
      <w:r>
        <w:t>Solving Eq. 4.6-10 for the corresponding critical peaking multiplier gives</w:t>
      </w:r>
    </w:p>
    <w:tbl>
      <w:tblPr>
        <w:tblStyle w:val="Table"/>
        <w:tblW w:w="0" w:type="auto"/>
        <w:jc w:val="center"/>
        <w:tblLayout w:type="fixed"/>
        <w:tblLook w:val="04A0" w:firstRow="1" w:lastRow="0" w:firstColumn="1" w:lastColumn="0" w:noHBand="0" w:noVBand="1"/>
      </w:tblPr>
      <w:tblGrid>
        <w:gridCol w:w="8200"/>
        <w:gridCol w:w="1200"/>
      </w:tblGrid>
      <w:tr w:rsidR="00C17023" w14:paraId="0EA42DD2"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540943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fail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027CF3DE" w14:textId="77777777" w:rsidR="00C17023" w:rsidRDefault="00C17023" w:rsidP="00104431">
            <w:pPr>
              <w:spacing w:after="0"/>
              <w:jc w:val="right"/>
            </w:pPr>
            <w:r>
              <w:t>(4.6-15)</w:t>
            </w:r>
          </w:p>
        </w:tc>
      </w:tr>
    </w:tbl>
    <w:p w14:paraId="4B7E7E2C" w14:textId="77777777" w:rsidR="00C17023" w:rsidRDefault="00C17023" w:rsidP="00C17023">
      <w:pPr>
        <w:pStyle w:val="FirstParagraph"/>
      </w:pPr>
      <w:r>
        <w:t xml:space="preserve">for </w:t>
      </w:r>
      <m:oMath>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&gt;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oMath>
      <w:r>
        <w:t>. The instantaneous failed fraction is then the upper-tail probability of the rod-state distribution:</w:t>
      </w:r>
    </w:p>
    <w:tbl>
      <w:tblPr>
        <w:tblStyle w:val="Table"/>
        <w:tblW w:w="0" w:type="auto"/>
        <w:jc w:val="center"/>
        <w:tblLayout w:type="fixed"/>
        <w:tblLook w:val="04A0" w:firstRow="1" w:lastRow="0" w:firstColumn="1" w:lastColumn="0" w:noHBand="0" w:noVBand="1"/>
      </w:tblPr>
      <w:tblGrid>
        <w:gridCol w:w="8200"/>
        <w:gridCol w:w="1200"/>
      </w:tblGrid>
      <w:tr w:rsidR="00C17023" w14:paraId="61205E04"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EBB474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01A990B0" w14:textId="77777777" w:rsidR="00C17023" w:rsidRDefault="00C17023" w:rsidP="00104431">
            <w:pPr>
              <w:spacing w:after="0"/>
              <w:jc w:val="right"/>
            </w:pPr>
            <w:r>
              <w:t>(4.6-16)</w:t>
            </w:r>
          </w:p>
        </w:tc>
      </w:tr>
    </w:tbl>
    <w:p w14:paraId="31C3B47E" w14:textId="77777777" w:rsidR="00C17023" w:rsidRDefault="00C17023" w:rsidP="00C17023">
      <w:pPr>
        <w:pStyle w:val="FirstParagraph"/>
      </w:pPr>
      <w:r>
        <w:t>The failed fraction is latched in time. Once a rod population fraction is calculated to have exceeded a failure threshold, that fraction is retained for the remainder of the transient:</w:t>
      </w:r>
    </w:p>
    <w:tbl>
      <w:tblPr>
        <w:tblStyle w:val="Table"/>
        <w:tblW w:w="0" w:type="auto"/>
        <w:jc w:val="center"/>
        <w:tblLayout w:type="fixed"/>
        <w:tblLook w:val="04A0" w:firstRow="1" w:lastRow="0" w:firstColumn="1" w:lastColumn="0" w:noHBand="0" w:noVBand="1"/>
      </w:tblPr>
      <w:tblGrid>
        <w:gridCol w:w="8200"/>
        <w:gridCol w:w="1200"/>
      </w:tblGrid>
      <w:tr w:rsidR="00C17023" w14:paraId="10DDD4F2" w14:textId="77777777" w:rsidTr="00104431">
        <w:trPr>
          <w:cnfStyle w:val="100000000000" w:firstRow="1" w:lastRow="0" w:firstColumn="0" w:lastColumn="0" w:oddVBand="0" w:evenVBand="0" w:oddHBand="0" w:evenHBand="0" w:firstRowFirstColumn="0" w:firstRowLastColumn="0" w:lastRowFirstColumn="0" w:lastRowLastColumn="0"/>
          <w:trHeight w:val="540"/>
          <w:jc w:val="center"/>
        </w:trPr>
        <w:tc>
          <w:tcPr>
            <w:tcW w:w="8200" w:type="dxa"/>
            <w:tcBorders>
              <w:bottom w:val="none" w:sz="0" w:space="0" w:color="auto"/>
            </w:tcBorders>
            <w:vAlign w:val="center"/>
          </w:tcPr>
          <w:p w14:paraId="3BF02070"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fail,latched</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fail</m:t>
                        </m:r>
                      </m:sub>
                    </m:sSub>
                    <m:d>
                      <m:dPr>
                        <m:ctrlPr>
                          <w:rPr>
                            <w:rFonts w:ascii="Cambria Math" w:hAnsi="Cambria Math"/>
                          </w:rPr>
                        </m:ctrlPr>
                      </m:dPr>
                      <m:e>
                        <m:r>
                          <w:rPr>
                            <w:rFonts w:ascii="Cambria Math" w:hAnsi="Cambria Math"/>
                          </w:rPr>
                          <m:t>τ</m:t>
                        </m:r>
                      </m:e>
                    </m:d>
                  </m:e>
                </m:d>
              </m:oMath>
            </m:oMathPara>
          </w:p>
        </w:tc>
        <w:tc>
          <w:tcPr>
            <w:tcW w:w="1200" w:type="dxa"/>
            <w:tcBorders>
              <w:bottom w:val="none" w:sz="0" w:space="0" w:color="auto"/>
            </w:tcBorders>
            <w:vAlign w:val="center"/>
          </w:tcPr>
          <w:p w14:paraId="06193A4A" w14:textId="77777777" w:rsidR="00C17023" w:rsidRDefault="00C17023" w:rsidP="00104431">
            <w:pPr>
              <w:spacing w:after="0"/>
              <w:jc w:val="right"/>
            </w:pPr>
            <w:r>
              <w:t>(4.6-17)</w:t>
            </w:r>
          </w:p>
        </w:tc>
      </w:tr>
    </w:tbl>
    <w:p w14:paraId="293EF3E6" w14:textId="77777777" w:rsidR="00C17023" w:rsidRDefault="00C17023" w:rsidP="00C17023">
      <w:pPr>
        <w:pStyle w:val="FirstParagraph"/>
      </w:pPr>
      <w:r>
        <w:t>FLARE applies this method separately to different failure or release thresholds. Thus, the gap-release failed fraction and the early in-vessel failed fraction may be different quantities: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726AF05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6F1F89EE"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27FB6553" w14:textId="77777777" w:rsidR="00C17023" w:rsidRDefault="00C17023" w:rsidP="00104431">
            <w:pPr>
              <w:spacing w:after="0"/>
              <w:jc w:val="right"/>
            </w:pPr>
            <w:r>
              <w:t>(4.6-18)</w:t>
            </w:r>
          </w:p>
        </w:tc>
      </w:tr>
      <w:tr w:rsidR="00C17023" w14:paraId="196015C5" w14:textId="77777777" w:rsidTr="00104431">
        <w:trPr>
          <w:jc w:val="center"/>
        </w:trPr>
        <w:tc>
          <w:tcPr>
            <w:tcW w:w="8200" w:type="dxa"/>
            <w:vAlign w:val="center"/>
          </w:tcPr>
          <w:p w14:paraId="0B938650"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e>
                </m:d>
              </m:oMath>
            </m:oMathPara>
          </w:p>
        </w:tc>
        <w:tc>
          <w:tcPr>
            <w:tcW w:w="1200" w:type="dxa"/>
            <w:vAlign w:val="center"/>
          </w:tcPr>
          <w:p w14:paraId="359467D5" w14:textId="77777777" w:rsidR="00C17023" w:rsidRDefault="00C17023" w:rsidP="00104431">
            <w:pPr>
              <w:spacing w:after="0"/>
              <w:jc w:val="right"/>
            </w:pPr>
            <w:r>
              <w:t>(4.6-19)</w:t>
            </w:r>
          </w:p>
        </w:tc>
      </w:tr>
    </w:tbl>
    <w:p w14:paraId="162FF3AC"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F</m:t>
            </m:r>
          </m:e>
          <m:sub>
            <m:r>
              <m:rPr>
                <m:sty m:val="p"/>
              </m:rPr>
              <w:rPr>
                <w:rFonts w:ascii="Cambria Math" w:hAnsi="Cambria Math"/>
              </w:rPr>
              <m:t>gap,crit</m:t>
            </m:r>
          </m:sub>
        </m:sSub>
      </m:oMath>
      <w:r>
        <w:t xml:space="preserve"> and </w:t>
      </w:r>
      <m:oMath>
        <m:sSub>
          <m:sSubPr>
            <m:ctrlPr>
              <w:rPr>
                <w:rFonts w:ascii="Cambria Math" w:hAnsi="Cambria Math"/>
              </w:rPr>
            </m:ctrlPr>
          </m:sSubPr>
          <m:e>
            <m:r>
              <w:rPr>
                <w:rFonts w:ascii="Cambria Math" w:hAnsi="Cambria Math"/>
              </w:rPr>
              <m:t>F</m:t>
            </m:r>
          </m:e>
          <m:sub>
            <m:r>
              <m:rPr>
                <m:sty m:val="p"/>
              </m:rPr>
              <w:rPr>
                <w:rFonts w:ascii="Cambria Math" w:hAnsi="Cambria Math"/>
              </w:rPr>
              <m:t>EIV,crit</m:t>
            </m:r>
          </m:sub>
        </m:sSub>
      </m:oMath>
      <w:r>
        <w:t xml:space="preserve"> are computed using the gap-release and early in-vessel release temperature thresholds, respectively.</w:t>
      </w:r>
    </w:p>
    <w:p w14:paraId="48A3BD70" w14:textId="77777777" w:rsidR="00C17023" w:rsidRDefault="00C17023" w:rsidP="00C17023">
      <w:pPr>
        <w:pStyle w:val="Heading2"/>
      </w:pPr>
      <w:bookmarkStart w:id="33" w:name="_Toc231232878"/>
      <w:r>
        <w:lastRenderedPageBreak/>
        <w:t>4.6.5 Hot Pin</w:t>
      </w:r>
      <w:bookmarkEnd w:id="33"/>
    </w:p>
    <w:p w14:paraId="4CA7551E" w14:textId="77777777" w:rsidR="00C17023" w:rsidRDefault="00C17023" w:rsidP="00C17023">
      <w:pPr>
        <w:pStyle w:val="FirstParagraph"/>
      </w:pPr>
      <w:r>
        <w:t>The hot pin is the limiting rod implied by the prescribed local peaking factors. Its role is to provide the conservative local response used for peak-temperature and maximum-local-oxidation figures-of-merit. The hot pin is assigned the multiplier</w:t>
      </w:r>
    </w:p>
    <w:tbl>
      <w:tblPr>
        <w:tblStyle w:val="Table"/>
        <w:tblW w:w="0" w:type="auto"/>
        <w:jc w:val="center"/>
        <w:tblLayout w:type="fixed"/>
        <w:tblLook w:val="04A0" w:firstRow="1" w:lastRow="0" w:firstColumn="1" w:lastColumn="0" w:noHBand="0" w:noVBand="1"/>
      </w:tblPr>
      <w:tblGrid>
        <w:gridCol w:w="8200"/>
        <w:gridCol w:w="1200"/>
      </w:tblGrid>
      <w:tr w:rsidR="00C17023" w14:paraId="42E04731"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4A793B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m:oMathPara>
          </w:p>
        </w:tc>
        <w:tc>
          <w:tcPr>
            <w:tcW w:w="1200" w:type="dxa"/>
            <w:tcBorders>
              <w:bottom w:val="none" w:sz="0" w:space="0" w:color="auto"/>
            </w:tcBorders>
            <w:vAlign w:val="center"/>
          </w:tcPr>
          <w:p w14:paraId="27DF76E0" w14:textId="77777777" w:rsidR="00C17023" w:rsidRDefault="00C17023" w:rsidP="00104431">
            <w:pPr>
              <w:spacing w:after="0"/>
              <w:jc w:val="right"/>
            </w:pPr>
            <w:r>
              <w:t>(4.6-20)</w:t>
            </w:r>
          </w:p>
        </w:tc>
      </w:tr>
    </w:tbl>
    <w:p w14:paraId="3117F825" w14:textId="77777777" w:rsidR="00C17023" w:rsidRDefault="00C17023" w:rsidP="00C17023">
      <w:pPr>
        <w:pStyle w:val="FirstParagraph"/>
      </w:pPr>
      <w:r>
        <w:t>and its cladding temperature history is evaluated as</w:t>
      </w:r>
    </w:p>
    <w:tbl>
      <w:tblPr>
        <w:tblStyle w:val="Table"/>
        <w:tblW w:w="0" w:type="auto"/>
        <w:jc w:val="center"/>
        <w:tblLayout w:type="fixed"/>
        <w:tblLook w:val="04A0" w:firstRow="1" w:lastRow="0" w:firstColumn="1" w:lastColumn="0" w:noHBand="0" w:noVBand="1"/>
      </w:tblPr>
      <w:tblGrid>
        <w:gridCol w:w="8200"/>
        <w:gridCol w:w="1200"/>
      </w:tblGrid>
      <w:tr w:rsidR="00C17023" w14:paraId="2E4E7EB7" w14:textId="77777777" w:rsidTr="00104431">
        <w:trPr>
          <w:cnfStyle w:val="100000000000" w:firstRow="1" w:lastRow="0" w:firstColumn="0" w:lastColumn="0" w:oddVBand="0" w:evenVBand="0" w:oddHBand="0" w:evenHBand="0" w:firstRowFirstColumn="0" w:firstRowLastColumn="0" w:lastRowFirstColumn="0" w:lastRowLastColumn="0"/>
          <w:trHeight w:val="450"/>
          <w:jc w:val="center"/>
        </w:trPr>
        <w:tc>
          <w:tcPr>
            <w:tcW w:w="8200" w:type="dxa"/>
            <w:tcBorders>
              <w:bottom w:val="none" w:sz="0" w:space="0" w:color="auto"/>
            </w:tcBorders>
            <w:vAlign w:val="center"/>
          </w:tcPr>
          <w:p w14:paraId="7F97790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clad</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m:rPr>
                            <m:sty m:val="p"/>
                          </m:rPr>
                          <w:rPr>
                            <w:rFonts w:ascii="Cambria Math" w:hAnsi="Cambria Math"/>
                          </w:rPr>
                          <m:t>hot</m:t>
                        </m:r>
                      </m:sub>
                    </m:sSub>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10A2C32" w14:textId="77777777" w:rsidR="00C17023" w:rsidRDefault="00C17023" w:rsidP="00104431">
            <w:pPr>
              <w:spacing w:after="0"/>
              <w:jc w:val="right"/>
            </w:pPr>
            <w:r>
              <w:t>(4.6-21)</w:t>
            </w:r>
          </w:p>
        </w:tc>
      </w:tr>
    </w:tbl>
    <w:p w14:paraId="145FF266" w14:textId="77777777" w:rsidR="00C17023" w:rsidRDefault="00C17023" w:rsidP="00C17023">
      <w:pPr>
        <w:pStyle w:val="FirstParagraph"/>
      </w:pPr>
      <w:r>
        <w:t>The hot-pin equivalent cladding reacted fraction is obtained by integrating the oxidation model using the hot-pin cladding temperature:</w:t>
      </w:r>
    </w:p>
    <w:tbl>
      <w:tblPr>
        <w:tblStyle w:val="Table"/>
        <w:tblW w:w="0" w:type="auto"/>
        <w:jc w:val="center"/>
        <w:tblLayout w:type="fixed"/>
        <w:tblLook w:val="04A0" w:firstRow="1" w:lastRow="0" w:firstColumn="1" w:lastColumn="0" w:noHBand="0" w:noVBand="1"/>
      </w:tblPr>
      <w:tblGrid>
        <w:gridCol w:w="8200"/>
        <w:gridCol w:w="1200"/>
      </w:tblGrid>
      <w:tr w:rsidR="00C17023" w14:paraId="501F230B"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3FE2E43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7E59A515" w14:textId="77777777" w:rsidR="00C17023" w:rsidRDefault="00C17023" w:rsidP="00104431">
            <w:pPr>
              <w:spacing w:after="0"/>
              <w:jc w:val="right"/>
            </w:pPr>
            <w:r>
              <w:t>(4.6-22)</w:t>
            </w:r>
          </w:p>
        </w:tc>
      </w:tr>
    </w:tbl>
    <w:p w14:paraId="5590461F" w14:textId="77777777" w:rsidR="00C17023" w:rsidRDefault="00C17023" w:rsidP="00C17023">
      <w:pPr>
        <w:pStyle w:val="FirstParagraph"/>
      </w:pPr>
      <w:r>
        <w:t xml:space="preserve">where </w:t>
      </w:r>
      <m:oMath>
        <m:r>
          <m:rPr>
            <m:scr m:val="script"/>
            <m:sty m:val="p"/>
          </m:rPr>
          <w:rPr>
            <w:rFonts w:ascii="Cambria Math" w:hAnsi="Cambria Math"/>
          </w:rPr>
          <m:t>O</m:t>
        </m:r>
      </m:oMath>
      <w:r>
        <w:t xml:space="preserve"> denotes the Baker-Just oxidation operator described in Section 4.7. The reported maximum local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08076726" w14:textId="77777777" w:rsidTr="00104431">
        <w:trPr>
          <w:cnfStyle w:val="100000000000" w:firstRow="1" w:lastRow="0" w:firstColumn="0" w:lastColumn="0" w:oddVBand="0" w:evenVBand="0" w:oddHBand="0" w:evenHBand="0" w:firstRowFirstColumn="0" w:firstRowLastColumn="0" w:lastRowFirstColumn="0" w:lastRowLastColumn="0"/>
          <w:trHeight w:val="513"/>
          <w:jc w:val="center"/>
        </w:trPr>
        <w:tc>
          <w:tcPr>
            <w:tcW w:w="8200" w:type="dxa"/>
            <w:tcBorders>
              <w:bottom w:val="none" w:sz="0" w:space="0" w:color="auto"/>
            </w:tcBorders>
            <w:vAlign w:val="center"/>
          </w:tcPr>
          <w:p w14:paraId="1ADEE709" w14:textId="77777777" w:rsidR="00C17023" w:rsidRDefault="00C17023" w:rsidP="00104431">
            <w:pPr>
              <w:pStyle w:val="BodyText"/>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7451FA97" w14:textId="77777777" w:rsidR="00C17023" w:rsidRDefault="00C17023" w:rsidP="00104431">
            <w:pPr>
              <w:spacing w:after="0"/>
              <w:jc w:val="right"/>
            </w:pPr>
            <w:r>
              <w:t>(4.6-23)</w:t>
            </w:r>
          </w:p>
        </w:tc>
      </w:tr>
    </w:tbl>
    <w:p w14:paraId="1F0CCCB0" w14:textId="77777777" w:rsidR="00C17023" w:rsidRDefault="00C17023" w:rsidP="00C17023">
      <w:pPr>
        <w:pStyle w:val="FirstParagraph"/>
      </w:pPr>
      <w:r>
        <w:t>In this formulation, the hot pin is not intended to represent the mean condition of failed rods or oxidizing rods. It represents the limiting local rod condition for evaluating peak cladding temperature and maximum local oxidation.</w:t>
      </w:r>
    </w:p>
    <w:p w14:paraId="49153209" w14:textId="77777777" w:rsidR="00C17023" w:rsidRDefault="00C17023" w:rsidP="00C17023">
      <w:pPr>
        <w:pStyle w:val="Heading2"/>
      </w:pPr>
      <w:bookmarkStart w:id="34" w:name="_Toc231232879"/>
      <w:r>
        <w:t>4.6.6 Mean Oxidizing Rod</w:t>
      </w:r>
      <w:bookmarkEnd w:id="34"/>
    </w:p>
    <w:p w14:paraId="4D2D62A7" w14:textId="77777777" w:rsidR="00C17023" w:rsidRDefault="00C17023" w:rsidP="00C17023">
      <w:pPr>
        <w:pStyle w:val="FirstParagraph"/>
      </w:pPr>
      <w:r>
        <w:t>The mean oxidizing rod is a separate derived rod state used to estimate oxidation-integrated source-term and hydrogen-production quantities. It represents the mean condition of the subset of rods whose temperatures exceed the oxidation threshold. This distinction is important because the hot pin may substantially overstate the oxidation state of the broader rod population, while the core-average rod may understate the oxidation state of rods that actually contribute to zirconium-steam reaction.</w:t>
      </w:r>
    </w:p>
    <w:p w14:paraId="612E8346" w14:textId="3B41ED26" w:rsidR="00C17023" w:rsidRDefault="00C17023" w:rsidP="00C17023">
      <w:pPr>
        <w:pStyle w:val="BodyText"/>
      </w:pPr>
      <w:r>
        <w:t xml:space="preserve">Let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xml:space="preserve"> be the temperature threshold above which zirconium oxidation is credited as significant (FLARE assumes a default threshold temperature of 800 C). At each time, the critical peaking multiplier for oxidation is</w:t>
      </w:r>
    </w:p>
    <w:tbl>
      <w:tblPr>
        <w:tblStyle w:val="Table"/>
        <w:tblW w:w="0" w:type="auto"/>
        <w:jc w:val="center"/>
        <w:tblLayout w:type="fixed"/>
        <w:tblLook w:val="04A0" w:firstRow="1" w:lastRow="0" w:firstColumn="1" w:lastColumn="0" w:noHBand="0" w:noVBand="1"/>
      </w:tblPr>
      <w:tblGrid>
        <w:gridCol w:w="8200"/>
        <w:gridCol w:w="1200"/>
      </w:tblGrid>
      <w:tr w:rsidR="00C17023" w14:paraId="1ED1D7DD" w14:textId="77777777" w:rsidTr="00104431">
        <w:trPr>
          <w:cnfStyle w:val="100000000000" w:firstRow="1" w:lastRow="0" w:firstColumn="0" w:lastColumn="0" w:oddVBand="0" w:evenVBand="0" w:oddHBand="0" w:evenHBand="0" w:firstRowFirstColumn="0" w:firstRowLastColumn="0" w:lastRowFirstColumn="0" w:lastRowLastColumn="0"/>
          <w:trHeight w:val="738"/>
          <w:jc w:val="center"/>
        </w:trPr>
        <w:tc>
          <w:tcPr>
            <w:tcW w:w="8200" w:type="dxa"/>
            <w:tcBorders>
              <w:bottom w:val="none" w:sz="0" w:space="0" w:color="auto"/>
            </w:tcBorders>
            <w:vAlign w:val="center"/>
          </w:tcPr>
          <w:p w14:paraId="506EEFC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ox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den>
                </m:f>
              </m:oMath>
            </m:oMathPara>
          </w:p>
        </w:tc>
        <w:tc>
          <w:tcPr>
            <w:tcW w:w="1200" w:type="dxa"/>
            <w:tcBorders>
              <w:bottom w:val="none" w:sz="0" w:space="0" w:color="auto"/>
            </w:tcBorders>
            <w:vAlign w:val="center"/>
          </w:tcPr>
          <w:p w14:paraId="4AF11C27" w14:textId="77777777" w:rsidR="00C17023" w:rsidRDefault="00C17023" w:rsidP="00104431">
            <w:pPr>
              <w:spacing w:after="0"/>
              <w:jc w:val="right"/>
            </w:pPr>
            <w:r>
              <w:t>(4.6-24)</w:t>
            </w:r>
          </w:p>
        </w:tc>
      </w:tr>
    </w:tbl>
    <w:p w14:paraId="73530F00" w14:textId="77777777" w:rsidR="00C17023" w:rsidRDefault="00C17023" w:rsidP="00C17023">
      <w:pPr>
        <w:pStyle w:val="FirstParagraph"/>
      </w:pPr>
      <w:r>
        <w:t>The instantaneous oxidizing fraction is</w:t>
      </w:r>
    </w:p>
    <w:tbl>
      <w:tblPr>
        <w:tblStyle w:val="Table"/>
        <w:tblW w:w="0" w:type="auto"/>
        <w:jc w:val="center"/>
        <w:tblLayout w:type="fixed"/>
        <w:tblLook w:val="04A0" w:firstRow="1" w:lastRow="0" w:firstColumn="1" w:lastColumn="0" w:noHBand="0" w:noVBand="1"/>
      </w:tblPr>
      <w:tblGrid>
        <w:gridCol w:w="8200"/>
        <w:gridCol w:w="1200"/>
      </w:tblGrid>
      <w:tr w:rsidR="00C17023" w14:paraId="0BBB3FF2" w14:textId="77777777" w:rsidTr="00104431">
        <w:trPr>
          <w:cnfStyle w:val="100000000000" w:firstRow="1" w:lastRow="0" w:firstColumn="0" w:lastColumn="0" w:oddVBand="0" w:evenVBand="0" w:oddHBand="0" w:evenHBand="0" w:firstRowFirstColumn="0" w:firstRowLastColumn="0" w:lastRowFirstColumn="0" w:lastRowLastColumn="0"/>
          <w:trHeight w:val="792"/>
          <w:jc w:val="center"/>
        </w:trPr>
        <w:tc>
          <w:tcPr>
            <w:tcW w:w="8200" w:type="dxa"/>
            <w:tcBorders>
              <w:bottom w:val="none" w:sz="0" w:space="0" w:color="auto"/>
            </w:tcBorders>
            <w:vAlign w:val="center"/>
          </w:tcPr>
          <w:p w14:paraId="54736B6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Φ</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e>
                </m:d>
              </m:oMath>
            </m:oMathPara>
          </w:p>
        </w:tc>
        <w:tc>
          <w:tcPr>
            <w:tcW w:w="1200" w:type="dxa"/>
            <w:tcBorders>
              <w:bottom w:val="none" w:sz="0" w:space="0" w:color="auto"/>
            </w:tcBorders>
            <w:vAlign w:val="center"/>
          </w:tcPr>
          <w:p w14:paraId="6AEC7116" w14:textId="77777777" w:rsidR="00C17023" w:rsidRDefault="00C17023" w:rsidP="00104431">
            <w:pPr>
              <w:spacing w:after="0"/>
              <w:jc w:val="right"/>
            </w:pPr>
            <w:r>
              <w:t>(4.6-25)</w:t>
            </w:r>
          </w:p>
        </w:tc>
      </w:tr>
    </w:tbl>
    <w:p w14:paraId="2990F092" w14:textId="77777777" w:rsidR="00C17023" w:rsidRDefault="00C17023" w:rsidP="00C17023">
      <w:pPr>
        <w:pStyle w:val="FirstParagraph"/>
      </w:pPr>
      <w:r>
        <w:t>For a normally distributed peaking multiplier, the conditional mean multiplier of rods in the oxidizing subset is</w:t>
      </w:r>
    </w:p>
    <w:tbl>
      <w:tblPr>
        <w:tblStyle w:val="Table"/>
        <w:tblW w:w="0" w:type="auto"/>
        <w:jc w:val="center"/>
        <w:tblLayout w:type="fixed"/>
        <w:tblLook w:val="04A0" w:firstRow="1" w:lastRow="0" w:firstColumn="1" w:lastColumn="0" w:noHBand="0" w:noVBand="1"/>
      </w:tblPr>
      <w:tblGrid>
        <w:gridCol w:w="8200"/>
        <w:gridCol w:w="1200"/>
      </w:tblGrid>
      <w:tr w:rsidR="00C17023" w14:paraId="51485B92" w14:textId="77777777" w:rsidTr="00104431">
        <w:trPr>
          <w:cnfStyle w:val="100000000000" w:firstRow="1" w:lastRow="0" w:firstColumn="0" w:lastColumn="0" w:oddVBand="0" w:evenVBand="0" w:oddHBand="0" w:evenHBand="0" w:firstRowFirstColumn="0" w:firstRowLastColumn="0" w:lastRowFirstColumn="0" w:lastRowLastColumn="0"/>
          <w:trHeight w:val="522"/>
          <w:jc w:val="center"/>
        </w:trPr>
        <w:tc>
          <w:tcPr>
            <w:tcW w:w="8200" w:type="dxa"/>
            <w:tcBorders>
              <w:bottom w:val="none" w:sz="0" w:space="0" w:color="auto"/>
            </w:tcBorders>
            <w:vAlign w:val="center"/>
          </w:tcPr>
          <w:p w14:paraId="3869D9B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r</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4FD24906" w14:textId="77777777" w:rsidR="00C17023" w:rsidRDefault="00C17023" w:rsidP="00104431">
            <w:pPr>
              <w:spacing w:after="0"/>
              <w:jc w:val="right"/>
            </w:pPr>
            <w:r>
              <w:t>(4.6-26)</w:t>
            </w:r>
          </w:p>
        </w:tc>
      </w:tr>
    </w:tbl>
    <w:p w14:paraId="5FEDDB8F" w14:textId="77777777" w:rsidR="00C17023" w:rsidRDefault="00C17023" w:rsidP="00C17023">
      <w:pPr>
        <w:pStyle w:val="FirstParagraph"/>
      </w:pPr>
      <w:r>
        <w:t>or</w:t>
      </w:r>
    </w:p>
    <w:tbl>
      <w:tblPr>
        <w:tblStyle w:val="Table"/>
        <w:tblW w:w="0" w:type="auto"/>
        <w:jc w:val="center"/>
        <w:tblLayout w:type="fixed"/>
        <w:tblLook w:val="04A0" w:firstRow="1" w:lastRow="0" w:firstColumn="1" w:lastColumn="0" w:noHBand="0" w:noVBand="1"/>
      </w:tblPr>
      <w:tblGrid>
        <w:gridCol w:w="8200"/>
        <w:gridCol w:w="1200"/>
      </w:tblGrid>
      <w:tr w:rsidR="00C17023" w14:paraId="7656E4D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tcBorders>
              <w:bottom w:val="none" w:sz="0" w:space="0" w:color="auto"/>
            </w:tcBorders>
            <w:vAlign w:val="center"/>
          </w:tcPr>
          <w:p w14:paraId="430CEFE4"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F</m:t>
                    </m:r>
                  </m:sub>
                </m:sSub>
                <m:f>
                  <m:fPr>
                    <m:ctrlPr>
                      <w:rPr>
                        <w:rFonts w:ascii="Cambria Math" w:hAnsi="Cambria Math"/>
                      </w:rPr>
                    </m:ctrlPr>
                  </m:fPr>
                  <m:num>
                    <m:r>
                      <w:rPr>
                        <w:rFonts w:ascii="Cambria Math" w:hAnsi="Cambria Math"/>
                      </w:rPr>
                      <m:t>ϕ​</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num>
                  <m:den>
                    <m:r>
                      <w:rPr>
                        <w:rFonts w:ascii="Cambria Math" w:hAnsi="Cambria Math"/>
                      </w:rPr>
                      <m:t>1</m:t>
                    </m:r>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e>
                    </m:d>
                  </m:den>
                </m:f>
              </m:oMath>
            </m:oMathPara>
          </w:p>
        </w:tc>
        <w:tc>
          <w:tcPr>
            <w:tcW w:w="1200" w:type="dxa"/>
            <w:tcBorders>
              <w:bottom w:val="none" w:sz="0" w:space="0" w:color="auto"/>
            </w:tcBorders>
            <w:vAlign w:val="center"/>
          </w:tcPr>
          <w:p w14:paraId="625BC9BB" w14:textId="77777777" w:rsidR="00C17023" w:rsidRDefault="00C17023" w:rsidP="00104431">
            <w:pPr>
              <w:spacing w:after="0"/>
              <w:jc w:val="right"/>
            </w:pPr>
            <w:r>
              <w:t>(4.6-27)</w:t>
            </w:r>
          </w:p>
        </w:tc>
      </w:tr>
    </w:tbl>
    <w:p w14:paraId="7E963178" w14:textId="77777777" w:rsidR="00C17023" w:rsidRDefault="00C17023" w:rsidP="00C17023">
      <w:pPr>
        <w:pStyle w:val="FirstParagraph"/>
      </w:pPr>
      <w:r>
        <w:t>where</w:t>
      </w:r>
    </w:p>
    <w:tbl>
      <w:tblPr>
        <w:tblStyle w:val="Table"/>
        <w:tblW w:w="0" w:type="auto"/>
        <w:jc w:val="center"/>
        <w:tblLayout w:type="fixed"/>
        <w:tblLook w:val="04A0" w:firstRow="1" w:lastRow="0" w:firstColumn="1" w:lastColumn="0" w:noHBand="0" w:noVBand="1"/>
      </w:tblPr>
      <w:tblGrid>
        <w:gridCol w:w="8200"/>
        <w:gridCol w:w="1200"/>
      </w:tblGrid>
      <w:tr w:rsidR="00C17023" w14:paraId="33FADF7A" w14:textId="77777777" w:rsidTr="00104431">
        <w:trPr>
          <w:cnfStyle w:val="100000000000" w:firstRow="1" w:lastRow="0" w:firstColumn="0" w:lastColumn="0" w:oddVBand="0" w:evenVBand="0" w:oddHBand="0" w:evenHBand="0" w:firstRowFirstColumn="0" w:firstRowLastColumn="0" w:lastRowFirstColumn="0" w:lastRowLastColumn="0"/>
          <w:trHeight w:val="720"/>
          <w:jc w:val="center"/>
        </w:trPr>
        <w:tc>
          <w:tcPr>
            <w:tcW w:w="8200" w:type="dxa"/>
            <w:tcBorders>
              <w:bottom w:val="none" w:sz="0" w:space="0" w:color="auto"/>
            </w:tcBorders>
            <w:vAlign w:val="center"/>
          </w:tcPr>
          <w:p w14:paraId="62F4C44C"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z</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m:rPr>
                            <m:sty m:val="p"/>
                          </m:rPr>
                          <w:rPr>
                            <w:rFonts w:ascii="Cambria Math" w:hAnsi="Cambria Math"/>
                          </w:rPr>
                          <m:t>ox,crit</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1</m:t>
                    </m:r>
                  </m:num>
                  <m:den>
                    <m:sSub>
                      <m:sSubPr>
                        <m:ctrlPr>
                          <w:rPr>
                            <w:rFonts w:ascii="Cambria Math" w:hAnsi="Cambria Math"/>
                          </w:rPr>
                        </m:ctrlPr>
                      </m:sSubPr>
                      <m:e>
                        <m:r>
                          <w:rPr>
                            <w:rFonts w:ascii="Cambria Math" w:hAnsi="Cambria Math"/>
                          </w:rPr>
                          <m:t>σ</m:t>
                        </m:r>
                      </m:e>
                      <m:sub>
                        <m:r>
                          <w:rPr>
                            <w:rFonts w:ascii="Cambria Math" w:hAnsi="Cambria Math"/>
                          </w:rPr>
                          <m:t>F</m:t>
                        </m:r>
                      </m:sub>
                    </m:sSub>
                  </m:den>
                </m:f>
              </m:oMath>
            </m:oMathPara>
          </w:p>
        </w:tc>
        <w:tc>
          <w:tcPr>
            <w:tcW w:w="1200" w:type="dxa"/>
            <w:tcBorders>
              <w:bottom w:val="none" w:sz="0" w:space="0" w:color="auto"/>
            </w:tcBorders>
            <w:vAlign w:val="center"/>
          </w:tcPr>
          <w:p w14:paraId="631B939D" w14:textId="77777777" w:rsidR="00C17023" w:rsidRDefault="00C17023" w:rsidP="00104431">
            <w:pPr>
              <w:spacing w:after="0"/>
              <w:jc w:val="right"/>
            </w:pPr>
            <w:r>
              <w:t>(4.6-28)</w:t>
            </w:r>
          </w:p>
        </w:tc>
      </w:tr>
    </w:tbl>
    <w:p w14:paraId="3A5C254F" w14:textId="77777777" w:rsidR="00C17023" w:rsidRDefault="00C17023" w:rsidP="00C17023">
      <w:pPr>
        <w:pStyle w:val="FirstParagraph"/>
      </w:pPr>
      <w:r>
        <w:t xml:space="preserve">and </w:t>
      </w:r>
      <m:oMath>
        <m:r>
          <w:rPr>
            <w:rFonts w:ascii="Cambria Math" w:hAnsi="Cambria Math"/>
          </w:rPr>
          <m:t>ϕ</m:t>
        </m:r>
      </m:oMath>
      <w:r>
        <w:t xml:space="preserve"> is the standard normal probability density function.</w:t>
      </w:r>
    </w:p>
    <w:p w14:paraId="7C10274E" w14:textId="77777777" w:rsidR="00C17023" w:rsidRDefault="00C17023" w:rsidP="00C17023">
      <w:pPr>
        <w:pStyle w:val="BodyText"/>
      </w:pPr>
      <w:r>
        <w:t>The mean oxidizing rod temperature is then</w:t>
      </w:r>
    </w:p>
    <w:tbl>
      <w:tblPr>
        <w:tblStyle w:val="Table"/>
        <w:tblW w:w="0" w:type="auto"/>
        <w:jc w:val="center"/>
        <w:tblLayout w:type="fixed"/>
        <w:tblLook w:val="04A0" w:firstRow="1" w:lastRow="0" w:firstColumn="1" w:lastColumn="0" w:noHBand="0" w:noVBand="1"/>
      </w:tblPr>
      <w:tblGrid>
        <w:gridCol w:w="8200"/>
        <w:gridCol w:w="1200"/>
      </w:tblGrid>
      <w:tr w:rsidR="00C17023" w14:paraId="7766B2C7"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12C0D2DA"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F</m:t>
                        </m:r>
                      </m:e>
                    </m:acc>
                  </m:e>
                  <m:sub>
                    <m:r>
                      <m:rPr>
                        <m:sty m:val="p"/>
                      </m:rPr>
                      <w:rPr>
                        <w:rFonts w:ascii="Cambria Math" w:hAnsi="Cambria Math"/>
                      </w:rPr>
                      <m:t>ox</m:t>
                    </m:r>
                  </m:sub>
                </m:sSub>
                <m:d>
                  <m:dPr>
                    <m:ctrlPr>
                      <w:rPr>
                        <w:rFonts w:ascii="Cambria Math" w:hAnsi="Cambria Math"/>
                      </w:rPr>
                    </m:ctrlPr>
                  </m:dPr>
                  <m:e>
                    <m:r>
                      <w:rPr>
                        <w:rFonts w:ascii="Cambria Math" w:hAnsi="Cambria Math"/>
                      </w:rPr>
                      <m:t>t</m:t>
                    </m:r>
                  </m:e>
                </m:d>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clad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0A659DE3" w14:textId="77777777" w:rsidR="00C17023" w:rsidRDefault="00C17023" w:rsidP="00104431">
            <w:pPr>
              <w:spacing w:after="0"/>
              <w:jc w:val="right"/>
            </w:pPr>
            <w:r>
              <w:t>(4.6-29)</w:t>
            </w:r>
          </w:p>
        </w:tc>
      </w:tr>
    </w:tbl>
    <w:p w14:paraId="39E567AA" w14:textId="77777777" w:rsidR="00C17023" w:rsidRDefault="00C17023" w:rsidP="00C17023">
      <w:pPr>
        <w:pStyle w:val="FirstParagraph"/>
      </w:pPr>
      <w:r>
        <w:t>The corresponding mean oxidizing rod ECR is</w:t>
      </w:r>
    </w:p>
    <w:tbl>
      <w:tblPr>
        <w:tblStyle w:val="Table"/>
        <w:tblW w:w="0" w:type="auto"/>
        <w:jc w:val="center"/>
        <w:tblLayout w:type="fixed"/>
        <w:tblLook w:val="04A0" w:firstRow="1" w:lastRow="0" w:firstColumn="1" w:lastColumn="0" w:noHBand="0" w:noVBand="1"/>
      </w:tblPr>
      <w:tblGrid>
        <w:gridCol w:w="8200"/>
        <w:gridCol w:w="1200"/>
      </w:tblGrid>
      <w:tr w:rsidR="00C17023" w14:paraId="2B00339B" w14:textId="77777777" w:rsidTr="00104431">
        <w:trPr>
          <w:cnfStyle w:val="100000000000" w:firstRow="1" w:lastRow="0" w:firstColumn="0" w:lastColumn="0" w:oddVBand="0" w:evenVBand="0" w:oddHBand="0" w:evenHBand="0" w:firstRowFirstColumn="0" w:firstRowLastColumn="0" w:lastRowFirstColumn="0" w:lastRowLastColumn="0"/>
          <w:trHeight w:val="432"/>
          <w:jc w:val="center"/>
        </w:trPr>
        <w:tc>
          <w:tcPr>
            <w:tcW w:w="8200" w:type="dxa"/>
            <w:tcBorders>
              <w:bottom w:val="none" w:sz="0" w:space="0" w:color="auto"/>
            </w:tcBorders>
            <w:vAlign w:val="center"/>
          </w:tcPr>
          <w:p w14:paraId="30C6C9D6"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r>
                  <m:rPr>
                    <m:scr m:val="script"/>
                    <m:sty m:val="p"/>
                  </m:rPr>
                  <w:rPr>
                    <w:rFonts w:ascii="Cambria Math" w:hAnsi="Cambria Math"/>
                  </w:rPr>
                  <m:t>=O</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 0</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t</m:t>
                    </m:r>
                  </m:e>
                </m:d>
              </m:oMath>
            </m:oMathPara>
          </w:p>
        </w:tc>
        <w:tc>
          <w:tcPr>
            <w:tcW w:w="1200" w:type="dxa"/>
            <w:tcBorders>
              <w:bottom w:val="none" w:sz="0" w:space="0" w:color="auto"/>
            </w:tcBorders>
            <w:vAlign w:val="center"/>
          </w:tcPr>
          <w:p w14:paraId="5539F1DB" w14:textId="77777777" w:rsidR="00C17023" w:rsidRDefault="00C17023" w:rsidP="00104431">
            <w:pPr>
              <w:spacing w:after="0"/>
              <w:jc w:val="right"/>
            </w:pPr>
            <w:r>
              <w:t>(4.6-30)</w:t>
            </w:r>
          </w:p>
        </w:tc>
      </w:tr>
    </w:tbl>
    <w:p w14:paraId="41C87B01" w14:textId="77777777" w:rsidR="00C17023" w:rsidRDefault="00C17023" w:rsidP="00C17023">
      <w:pPr>
        <w:pStyle w:val="FirstParagraph"/>
      </w:pPr>
      <w:r>
        <w:t>This value is used where a population-representative oxidation measure is more appropriate than the hot-pin ECR. In particular, severe-event source-term escalation is based on the maximum mean oxidizing rod ECR rather than the hot-pin ECR:</w:t>
      </w:r>
    </w:p>
    <w:tbl>
      <w:tblPr>
        <w:tblStyle w:val="Table"/>
        <w:tblW w:w="0" w:type="auto"/>
        <w:jc w:val="center"/>
        <w:tblLayout w:type="fixed"/>
        <w:tblLook w:val="04A0" w:firstRow="1" w:lastRow="0" w:firstColumn="1" w:lastColumn="0" w:noHBand="0" w:noVBand="1"/>
      </w:tblPr>
      <w:tblGrid>
        <w:gridCol w:w="8200"/>
        <w:gridCol w:w="1200"/>
      </w:tblGrid>
      <w:tr w:rsidR="00C17023" w14:paraId="79BD8C5A" w14:textId="77777777" w:rsidTr="00104431">
        <w:trPr>
          <w:cnfStyle w:val="100000000000" w:firstRow="1" w:lastRow="0" w:firstColumn="0" w:lastColumn="0" w:oddVBand="0" w:evenVBand="0" w:oddHBand="0" w:evenHBand="0" w:firstRowFirstColumn="0" w:firstRowLastColumn="0" w:lastRowFirstColumn="0" w:lastRowLastColumn="0"/>
          <w:trHeight w:val="783"/>
          <w:jc w:val="center"/>
        </w:trPr>
        <w:tc>
          <w:tcPr>
            <w:tcW w:w="8200" w:type="dxa"/>
            <w:tcBorders>
              <w:bottom w:val="none" w:sz="0" w:space="0" w:color="auto"/>
            </w:tcBorders>
            <w:vAlign w:val="center"/>
          </w:tcPr>
          <w:p w14:paraId="4323A9F5"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200" w:type="dxa"/>
            <w:tcBorders>
              <w:bottom w:val="none" w:sz="0" w:space="0" w:color="auto"/>
            </w:tcBorders>
            <w:vAlign w:val="center"/>
          </w:tcPr>
          <w:p w14:paraId="4A3BF89D" w14:textId="77777777" w:rsidR="00C17023" w:rsidRDefault="00C17023" w:rsidP="00104431">
            <w:pPr>
              <w:spacing w:after="0"/>
              <w:jc w:val="right"/>
            </w:pPr>
            <w:r>
              <w:t>(4.6-31)</w:t>
            </w:r>
          </w:p>
        </w:tc>
      </w:tr>
    </w:tbl>
    <w:p w14:paraId="77BE596B" w14:textId="77777777" w:rsidR="00C17023" w:rsidRDefault="00C17023" w:rsidP="00C17023">
      <w:pPr>
        <w:pStyle w:val="FirstParagraph"/>
      </w:pPr>
      <w:r>
        <w:t xml:space="preserve">where </w:t>
      </w: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oMath>
      <w:r>
        <w:t xml:space="preserve"> is expressed as a fraction rather than percent.</w:t>
      </w:r>
    </w:p>
    <w:p w14:paraId="5C796078" w14:textId="77777777" w:rsidR="00C17023" w:rsidRDefault="00C17023" w:rsidP="00C17023">
      <w:pPr>
        <w:pStyle w:val="Heading2"/>
      </w:pPr>
      <w:bookmarkStart w:id="35" w:name="_Toc231232880"/>
      <w:r>
        <w:t>4.6.7 Population Weighting for Hydrogen Generation</w:t>
      </w:r>
      <w:bookmarkEnd w:id="35"/>
    </w:p>
    <w:p w14:paraId="3776CC83" w14:textId="77777777" w:rsidR="00C17023" w:rsidRDefault="00C17023" w:rsidP="00C17023">
      <w:pPr>
        <w:pStyle w:val="FirstParagraph"/>
      </w:pPr>
      <w:r>
        <w:t>The total zirconium-steam reaction and hydrogen generation depend on both the oxidation rate and the number of rods participating in the reaction. FLARE therefore separates the local oxidation severity from the oxidizing population fraction. The number of rods participating in oxidation is estimated as</w:t>
      </w:r>
    </w:p>
    <w:tbl>
      <w:tblPr>
        <w:tblStyle w:val="Table"/>
        <w:tblW w:w="0" w:type="auto"/>
        <w:jc w:val="center"/>
        <w:tblLayout w:type="fixed"/>
        <w:tblLook w:val="04A0" w:firstRow="1" w:lastRow="0" w:firstColumn="1" w:lastColumn="0" w:noHBand="0" w:noVBand="1"/>
      </w:tblPr>
      <w:tblGrid>
        <w:gridCol w:w="8200"/>
        <w:gridCol w:w="1200"/>
      </w:tblGrid>
      <w:tr w:rsidR="00C17023" w14:paraId="5F8AFD38" w14:textId="77777777" w:rsidTr="00104431">
        <w:trPr>
          <w:cnfStyle w:val="100000000000" w:firstRow="1" w:lastRow="0" w:firstColumn="0" w:lastColumn="0" w:oddVBand="0" w:evenVBand="0" w:oddHBand="0" w:evenHBand="0" w:firstRowFirstColumn="0" w:firstRowLastColumn="0" w:lastRowFirstColumn="0" w:lastRowLastColumn="0"/>
          <w:trHeight w:val="387"/>
          <w:jc w:val="center"/>
        </w:trPr>
        <w:tc>
          <w:tcPr>
            <w:tcW w:w="8200" w:type="dxa"/>
            <w:tcBorders>
              <w:bottom w:val="none" w:sz="0" w:space="0" w:color="auto"/>
            </w:tcBorders>
            <w:vAlign w:val="center"/>
          </w:tcPr>
          <w:p w14:paraId="63908D29"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200" w:type="dxa"/>
            <w:tcBorders>
              <w:bottom w:val="none" w:sz="0" w:space="0" w:color="auto"/>
            </w:tcBorders>
            <w:vAlign w:val="center"/>
          </w:tcPr>
          <w:p w14:paraId="3B845A5A" w14:textId="77777777" w:rsidR="00C17023" w:rsidRDefault="00C17023" w:rsidP="00104431">
            <w:pPr>
              <w:spacing w:after="0"/>
              <w:jc w:val="right"/>
            </w:pPr>
            <w:r>
              <w:t>(4.6-32)</w:t>
            </w:r>
          </w:p>
        </w:tc>
      </w:tr>
    </w:tbl>
    <w:p w14:paraId="722134F8" w14:textId="77777777" w:rsidR="00C17023" w:rsidRDefault="00C17023" w:rsidP="00C17023">
      <w:pPr>
        <w:pStyle w:val="FirstParagraph"/>
      </w:pPr>
      <w:r>
        <w:t xml:space="preserve">The oxidation rate for the mean oxidizing rod is evaluated from the Baker-Just rate expression using </w:t>
      </w:r>
      <m:oMath>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oMath>
      <w:r>
        <w:t>. The core-wide hydrogen source is then approximated by scaling the representative oxidizing-rod reaction rate by the oxidizing population:</w:t>
      </w:r>
    </w:p>
    <w:tbl>
      <w:tblPr>
        <w:tblStyle w:val="Table"/>
        <w:tblW w:w="0" w:type="auto"/>
        <w:jc w:val="center"/>
        <w:tblLayout w:type="fixed"/>
        <w:tblLook w:val="04A0" w:firstRow="1" w:lastRow="0" w:firstColumn="1" w:lastColumn="0" w:noHBand="0" w:noVBand="1"/>
      </w:tblPr>
      <w:tblGrid>
        <w:gridCol w:w="8200"/>
        <w:gridCol w:w="1200"/>
      </w:tblGrid>
      <w:tr w:rsidR="00C17023" w14:paraId="560C1CA4" w14:textId="77777777" w:rsidTr="00104431">
        <w:trPr>
          <w:cnfStyle w:val="100000000000" w:firstRow="1" w:lastRow="0" w:firstColumn="0" w:lastColumn="0" w:oddVBand="0" w:evenVBand="0" w:oddHBand="0" w:evenHBand="0" w:firstRowFirstColumn="0" w:firstRowLastColumn="0" w:lastRowFirstColumn="0" w:lastRowLastColumn="0"/>
          <w:trHeight w:val="423"/>
          <w:jc w:val="center"/>
        </w:trPr>
        <w:tc>
          <w:tcPr>
            <w:tcW w:w="8200" w:type="dxa"/>
            <w:tcBorders>
              <w:bottom w:val="none" w:sz="0" w:space="0" w:color="auto"/>
            </w:tcBorders>
            <w:vAlign w:val="center"/>
          </w:tcPr>
          <w:p w14:paraId="7EF9EFF2"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w:rPr>
                    <w:rFonts w:ascii="Cambria Math" w:hAnsi="Cambria Math"/>
                  </w:rPr>
                  <m:t> </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,rod</m:t>
                    </m:r>
                  </m:sub>
                </m:sSub>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e>
                </m:d>
              </m:oMath>
            </m:oMathPara>
          </w:p>
        </w:tc>
        <w:tc>
          <w:tcPr>
            <w:tcW w:w="1200" w:type="dxa"/>
            <w:tcBorders>
              <w:bottom w:val="none" w:sz="0" w:space="0" w:color="auto"/>
            </w:tcBorders>
            <w:vAlign w:val="center"/>
          </w:tcPr>
          <w:p w14:paraId="55771FCF" w14:textId="77777777" w:rsidR="00C17023" w:rsidRDefault="00C17023" w:rsidP="00104431">
            <w:pPr>
              <w:spacing w:after="0"/>
              <w:jc w:val="right"/>
            </w:pPr>
            <w:r>
              <w:t>(4.6-33)</w:t>
            </w:r>
          </w:p>
        </w:tc>
      </w:tr>
    </w:tbl>
    <w:p w14:paraId="29B3B49E" w14:textId="77777777" w:rsidR="00C17023" w:rsidRDefault="00C17023" w:rsidP="00C17023">
      <w:pPr>
        <w:pStyle w:val="FirstParagraph"/>
      </w:pPr>
      <w:r>
        <w:t>and the cumulative hydrogen generation is</w:t>
      </w:r>
    </w:p>
    <w:tbl>
      <w:tblPr>
        <w:tblStyle w:val="Table"/>
        <w:tblW w:w="0" w:type="auto"/>
        <w:jc w:val="center"/>
        <w:tblLayout w:type="fixed"/>
        <w:tblLook w:val="04A0" w:firstRow="1" w:lastRow="0" w:firstColumn="1" w:lastColumn="0" w:noHBand="0" w:noVBand="1"/>
      </w:tblPr>
      <w:tblGrid>
        <w:gridCol w:w="8200"/>
        <w:gridCol w:w="1200"/>
      </w:tblGrid>
      <w:tr w:rsidR="00C17023" w14:paraId="1AF18C4C" w14:textId="77777777" w:rsidTr="00104431">
        <w:trPr>
          <w:cnfStyle w:val="100000000000" w:firstRow="1" w:lastRow="0" w:firstColumn="0" w:lastColumn="0" w:oddVBand="0" w:evenVBand="0" w:oddHBand="0" w:evenHBand="0" w:firstRowFirstColumn="0" w:firstRowLastColumn="0" w:lastRowFirstColumn="0" w:lastRowLastColumn="0"/>
          <w:trHeight w:val="702"/>
          <w:jc w:val="center"/>
        </w:trPr>
        <w:tc>
          <w:tcPr>
            <w:tcW w:w="8200" w:type="dxa"/>
            <w:tcBorders>
              <w:bottom w:val="none" w:sz="0" w:space="0" w:color="auto"/>
            </w:tcBorders>
            <w:vAlign w:val="center"/>
          </w:tcPr>
          <w:p w14:paraId="6E24E098" w14:textId="77777777" w:rsidR="00C17023" w:rsidRDefault="00000000" w:rsidP="00104431">
            <w:pPr>
              <w:pStyle w:val="BodyText"/>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e>
                </m:nary>
                <m:d>
                  <m:dPr>
                    <m:ctrlPr>
                      <w:rPr>
                        <w:rFonts w:ascii="Cambria Math" w:hAnsi="Cambria Math"/>
                      </w:rPr>
                    </m:ctrlPr>
                  </m:dPr>
                  <m:e>
                    <m:r>
                      <w:rPr>
                        <w:rFonts w:ascii="Cambria Math" w:hAnsi="Cambria Math"/>
                      </w:rPr>
                      <m:t>τ</m:t>
                    </m:r>
                  </m:e>
                </m:d>
                <m:r>
                  <w:rPr>
                    <w:rFonts w:ascii="Cambria Math" w:hAnsi="Cambria Math"/>
                  </w:rPr>
                  <m:t> dτ</m:t>
                </m:r>
              </m:oMath>
            </m:oMathPara>
          </w:p>
        </w:tc>
        <w:tc>
          <w:tcPr>
            <w:tcW w:w="1200" w:type="dxa"/>
            <w:tcBorders>
              <w:bottom w:val="none" w:sz="0" w:space="0" w:color="auto"/>
            </w:tcBorders>
            <w:vAlign w:val="center"/>
          </w:tcPr>
          <w:p w14:paraId="17C92733" w14:textId="77777777" w:rsidR="00C17023" w:rsidRDefault="00C17023" w:rsidP="00104431">
            <w:pPr>
              <w:spacing w:after="0"/>
              <w:jc w:val="right"/>
            </w:pPr>
            <w:r>
              <w:t>(4.6-34)</w:t>
            </w:r>
          </w:p>
        </w:tc>
      </w:tr>
    </w:tbl>
    <w:p w14:paraId="3F9FFF00" w14:textId="77777777" w:rsidR="00C17023" w:rsidRDefault="00C17023" w:rsidP="00C17023">
      <w:pPr>
        <w:pStyle w:val="FirstParagraph"/>
      </w:pPr>
      <w:r>
        <w:t>This formulation avoids treating the entire core as if it were at the hot-pin temperature. It also avoids the opposite nonconservatism of using the core-average cladding temperature when only the upper tail of the rod population is participating in high-temperature oxidation.</w:t>
      </w:r>
    </w:p>
    <w:p w14:paraId="78067019" w14:textId="77777777" w:rsidR="00C17023" w:rsidRDefault="00C17023" w:rsidP="00C17023">
      <w:pPr>
        <w:pStyle w:val="Heading2"/>
      </w:pPr>
      <w:bookmarkStart w:id="36" w:name="_Toc231232881"/>
      <w:r>
        <w:t>4.6.8 Figures-of-Merit Tracked from the Rod-State Model</w:t>
      </w:r>
      <w:bookmarkEnd w:id="36"/>
    </w:p>
    <w:p w14:paraId="2A076BC4" w14:textId="77777777" w:rsidR="00C17023" w:rsidRDefault="00C17023" w:rsidP="00C17023">
      <w:pPr>
        <w:pStyle w:val="FirstParagraph"/>
      </w:pPr>
      <w:r>
        <w:t>The statistical rod-state model produces several distinct figures-of-merit: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200"/>
        <w:gridCol w:w="1200"/>
      </w:tblGrid>
      <w:tr w:rsidR="00C17023" w14:paraId="016BB6A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8200" w:type="dxa"/>
            <w:vAlign w:val="center"/>
          </w:tcPr>
          <w:p w14:paraId="79BDFB44" w14:textId="77777777" w:rsidR="00C17023" w:rsidRDefault="00C17023" w:rsidP="00104431">
            <w:pPr>
              <w:pStyle w:val="BodyText"/>
              <w:spacing w:before="0" w:after="0"/>
            </w:pPr>
            <m:oMathPara>
              <m:oMathParaPr>
                <m:jc m:val="center"/>
              </m:oMathParaPr>
              <m:oMath>
                <m:r>
                  <m:rPr>
                    <m:sty m:val="p"/>
                  </m:rPr>
                  <w:rPr>
                    <w:rFonts w:ascii="Cambria Math" w:hAnsi="Cambria Math"/>
                  </w:rPr>
                  <w:lastRenderedPageBreak/>
                  <m:t>PCT=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085D6155" w14:textId="77777777" w:rsidR="00C17023" w:rsidRDefault="00C17023" w:rsidP="00104431">
            <w:pPr>
              <w:spacing w:after="0"/>
              <w:jc w:val="right"/>
            </w:pPr>
            <w:r>
              <w:t>(4.6-35)</w:t>
            </w:r>
          </w:p>
        </w:tc>
      </w:tr>
      <w:tr w:rsidR="00C17023" w14:paraId="3BAE9B06" w14:textId="77777777" w:rsidTr="00104431">
        <w:trPr>
          <w:jc w:val="center"/>
        </w:trPr>
        <w:tc>
          <w:tcPr>
            <w:tcW w:w="8200" w:type="dxa"/>
            <w:vAlign w:val="center"/>
          </w:tcPr>
          <w:p w14:paraId="1C4ABDB2" w14:textId="77777777" w:rsidR="00C17023" w:rsidRDefault="00C17023" w:rsidP="00104431">
            <w:pPr>
              <w:pStyle w:val="FirstParagraph"/>
              <w:spacing w:before="0" w:after="0"/>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m:oMathPara>
          </w:p>
        </w:tc>
        <w:tc>
          <w:tcPr>
            <w:tcW w:w="1200" w:type="dxa"/>
            <w:vAlign w:val="center"/>
          </w:tcPr>
          <w:p w14:paraId="7A5C22C3" w14:textId="77777777" w:rsidR="00C17023" w:rsidRDefault="00C17023" w:rsidP="00104431">
            <w:pPr>
              <w:spacing w:after="0"/>
              <w:jc w:val="right"/>
            </w:pPr>
            <w:r>
              <w:t>(4.6-36)</w:t>
            </w:r>
          </w:p>
        </w:tc>
      </w:tr>
      <w:tr w:rsidR="00C17023" w14:paraId="6FEA455A" w14:textId="77777777" w:rsidTr="00104431">
        <w:trPr>
          <w:jc w:val="center"/>
        </w:trPr>
        <w:tc>
          <w:tcPr>
            <w:tcW w:w="8200" w:type="dxa"/>
            <w:vAlign w:val="center"/>
          </w:tcPr>
          <w:p w14:paraId="347E00EF"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oMath>
            </m:oMathPara>
          </w:p>
        </w:tc>
        <w:tc>
          <w:tcPr>
            <w:tcW w:w="1200" w:type="dxa"/>
            <w:vAlign w:val="center"/>
          </w:tcPr>
          <w:p w14:paraId="60F69CCD" w14:textId="77777777" w:rsidR="00C17023" w:rsidRDefault="00C17023" w:rsidP="00104431">
            <w:pPr>
              <w:spacing w:after="0"/>
              <w:jc w:val="right"/>
            </w:pPr>
            <w:r>
              <w:t>(4.6-37)</w:t>
            </w:r>
          </w:p>
        </w:tc>
      </w:tr>
      <w:tr w:rsidR="00C17023" w14:paraId="58646639" w14:textId="77777777" w:rsidTr="00104431">
        <w:trPr>
          <w:jc w:val="center"/>
        </w:trPr>
        <w:tc>
          <w:tcPr>
            <w:tcW w:w="8200" w:type="dxa"/>
            <w:vAlign w:val="center"/>
          </w:tcPr>
          <w:p w14:paraId="09738895"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gap,max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oMath>
            </m:oMathPara>
          </w:p>
        </w:tc>
        <w:tc>
          <w:tcPr>
            <w:tcW w:w="1200" w:type="dxa"/>
            <w:vAlign w:val="center"/>
          </w:tcPr>
          <w:p w14:paraId="304B6B69" w14:textId="77777777" w:rsidR="00C17023" w:rsidRDefault="00C17023" w:rsidP="00104431">
            <w:pPr>
              <w:spacing w:after="0"/>
              <w:jc w:val="right"/>
            </w:pPr>
            <w:r>
              <w:t>(4.6-38)</w:t>
            </w:r>
          </w:p>
        </w:tc>
      </w:tr>
      <w:tr w:rsidR="00C17023" w14:paraId="3D82AC94" w14:textId="77777777" w:rsidTr="00104431">
        <w:trPr>
          <w:jc w:val="center"/>
        </w:trPr>
        <w:tc>
          <w:tcPr>
            <w:tcW w:w="8200" w:type="dxa"/>
            <w:vAlign w:val="center"/>
          </w:tcPr>
          <w:p w14:paraId="1EB272B3"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EIV,max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oMath>
            </m:oMathPara>
          </w:p>
        </w:tc>
        <w:tc>
          <w:tcPr>
            <w:tcW w:w="1200" w:type="dxa"/>
            <w:vAlign w:val="center"/>
          </w:tcPr>
          <w:p w14:paraId="3EE6F646" w14:textId="77777777" w:rsidR="00C17023" w:rsidRDefault="00C17023" w:rsidP="00104431">
            <w:pPr>
              <w:spacing w:after="0"/>
              <w:jc w:val="right"/>
            </w:pPr>
            <w:r>
              <w:t>(4.6-39)</w:t>
            </w:r>
          </w:p>
        </w:tc>
      </w:tr>
      <w:tr w:rsidR="00C17023" w14:paraId="4CA3566D" w14:textId="77777777" w:rsidTr="00104431">
        <w:trPr>
          <w:jc w:val="center"/>
        </w:trPr>
        <w:tc>
          <w:tcPr>
            <w:tcW w:w="8200" w:type="dxa"/>
            <w:vAlign w:val="center"/>
          </w:tcPr>
          <w:p w14:paraId="592378BD" w14:textId="77777777" w:rsidR="00C17023" w:rsidRDefault="00000000" w:rsidP="00104431">
            <w:pPr>
              <w:pStyle w:val="FirstParagraph"/>
              <w:spacing w:before="0" w:after="0"/>
            </w:pPr>
            <m:oMathPara>
              <m:oMathParaPr>
                <m:jc m:val="center"/>
              </m:oMathParaP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,max</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oMath>
            </m:oMathPara>
          </w:p>
        </w:tc>
        <w:tc>
          <w:tcPr>
            <w:tcW w:w="1200" w:type="dxa"/>
            <w:vAlign w:val="center"/>
          </w:tcPr>
          <w:p w14:paraId="40DBD5BC" w14:textId="77777777" w:rsidR="00C17023" w:rsidRDefault="00C17023" w:rsidP="00104431">
            <w:pPr>
              <w:spacing w:after="0"/>
              <w:jc w:val="right"/>
            </w:pPr>
            <w:r>
              <w:t>(4.6-40)</w:t>
            </w:r>
          </w:p>
        </w:tc>
      </w:tr>
    </w:tbl>
    <w:p w14:paraId="3137783A" w14:textId="77777777" w:rsidR="00C17023" w:rsidRDefault="00C17023" w:rsidP="00C17023">
      <w:pPr>
        <w:pStyle w:val="FirstParagraph"/>
      </w:pPr>
      <w:r>
        <w:t>The hot pin therefore controls peak local thermal criteria, while the failed fractions and mean oxidizing rod control population-integrated release and oxidation metrics. This separation is essential to maintaining a reasonable reduced-order representation of the core. A single lumped temperature is insufficient to represent local peaking, but using the hot pin for every rod would be excessively conservative for population-integrated quantities.</w:t>
      </w:r>
    </w:p>
    <w:p w14:paraId="380C20BD" w14:textId="77777777" w:rsidR="00C17023" w:rsidRDefault="00C17023" w:rsidP="00C17023">
      <w:pPr>
        <w:pStyle w:val="Heading2"/>
      </w:pPr>
      <w:bookmarkStart w:id="37" w:name="_Toc231232882"/>
      <w:r>
        <w:t>4.6.9 Assumptions and Limitations</w:t>
      </w:r>
      <w:bookmarkEnd w:id="37"/>
    </w:p>
    <w:p w14:paraId="4450BA11" w14:textId="77777777" w:rsidR="00C17023" w:rsidRDefault="00C17023" w:rsidP="00C17023">
      <w:pPr>
        <w:pStyle w:val="FirstParagraph"/>
      </w:pPr>
      <w:r>
        <w:t>The rod-state model is based on the following assumptions.</w:t>
      </w:r>
    </w:p>
    <w:p w14:paraId="67FEFBFC" w14:textId="77777777" w:rsidR="00C17023" w:rsidRDefault="00C17023" w:rsidP="00C17023">
      <w:pPr>
        <w:pStyle w:val="BodyText"/>
      </w:pPr>
      <w:r>
        <w:t>First, the distribution of rod states is represented by a normal distribution in the local peaking multiplier. Actual core power distributions are deterministic outcomes of fuel loading, burnup, control history, and three-dimensional neutronic effects. The normal distribution is a convenient reduced-order approximation, not a mechanistic neutronic model.</w:t>
      </w:r>
    </w:p>
    <w:p w14:paraId="3C15DC45" w14:textId="77777777" w:rsidR="00C17023" w:rsidRDefault="00C17023" w:rsidP="00C17023">
      <w:pPr>
        <w:pStyle w:val="BodyText"/>
      </w:pPr>
      <w:r>
        <w:t>Second, local temperature rise is assumed to scale with local power peaking. This is reasonable for scoping calculations in which the same heat-transfer regime applies across the representative rod population, but it is less accurate when different portions of the rod population are in different heat-transfer regimes, such as nucleate boiling, transition boiling, film boiling, reflood, or dry-core conditions.</w:t>
      </w:r>
    </w:p>
    <w:p w14:paraId="2DB02839" w14:textId="77777777" w:rsidR="00C17023" w:rsidRDefault="00C17023" w:rsidP="00C17023">
      <w:pPr>
        <w:pStyle w:val="BodyText"/>
      </w:pPr>
      <w:r>
        <w:t xml:space="preserve">Third, the model assumes that the hot pin can be represented by the composite peaking factor </w:t>
      </w:r>
      <m:oMath>
        <m:sSub>
          <m:sSubPr>
            <m:ctrlPr>
              <w:rPr>
                <w:rFonts w:ascii="Cambria Math" w:hAnsi="Cambria Math"/>
              </w:rPr>
            </m:ctrlPr>
          </m:sSubPr>
          <m:e>
            <m:r>
              <w:rPr>
                <w:rFonts w:ascii="Cambria Math" w:hAnsi="Cambria Math"/>
              </w:rPr>
              <m:t>F</m:t>
            </m:r>
          </m:e>
          <m:sub>
            <m:r>
              <w:rPr>
                <w:rFonts w:ascii="Cambria Math" w:hAnsi="Cambria Math"/>
              </w:rPr>
              <m:t>r</m:t>
            </m:r>
          </m:sub>
        </m:sSub>
        <m:sSub>
          <m:sSubPr>
            <m:ctrlPr>
              <w:rPr>
                <w:rFonts w:ascii="Cambria Math" w:hAnsi="Cambria Math"/>
              </w:rPr>
            </m:ctrlPr>
          </m:sSubPr>
          <m:e>
            <m:r>
              <w:rPr>
                <w:rFonts w:ascii="Cambria Math" w:hAnsi="Cambria Math"/>
              </w:rPr>
              <m:t>F</m:t>
            </m:r>
          </m:e>
          <m:sub>
            <m:r>
              <w:rPr>
                <w:rFonts w:ascii="Cambria Math" w:hAnsi="Cambria Math"/>
              </w:rPr>
              <m:t>z</m:t>
            </m:r>
          </m:sub>
        </m:sSub>
      </m:oMath>
      <w:r>
        <w:t>. In detailed licensing analysis, radial and axial peaking are normally treated with more explicit spatial structure. FLARE collapses these effects into a limiting local multiplier.</w:t>
      </w:r>
    </w:p>
    <w:p w14:paraId="5A03CE6C" w14:textId="77777777" w:rsidR="00C17023" w:rsidRDefault="00C17023" w:rsidP="00C17023">
      <w:pPr>
        <w:pStyle w:val="BodyText"/>
      </w:pPr>
      <w:r>
        <w:t>Fourth, failed fractions are inferred from temperature thresholds applied to the reconstructed rod population. The model does not explicitly calculate rod internal pressure, cladding ballooning, burst strain, fuel relocation, axial gas communication, or detailed mechanical failure. The failed fractions should therefore be interpreted as screening estimates tied to thermal thresholds.</w:t>
      </w:r>
    </w:p>
    <w:p w14:paraId="5F12FC85" w14:textId="77777777" w:rsidR="00C17023" w:rsidRDefault="00C17023" w:rsidP="00C17023">
      <w:pPr>
        <w:pStyle w:val="BodyText"/>
      </w:pPr>
      <w:r>
        <w:t>Fifth, the mean oxidizing rod is a conditional statistical construct. It is intended to represent the average severity of rods participating in high-temperature oxidation. It is not an actual physical rod and should not be interpreted as a replacement for detailed rod-by-rod oxidation analysis.</w:t>
      </w:r>
    </w:p>
    <w:p w14:paraId="766E5ABF" w14:textId="77777777" w:rsidR="00C17023" w:rsidRDefault="00C17023" w:rsidP="00C17023">
      <w:pPr>
        <w:pStyle w:val="BodyText"/>
      </w:pPr>
      <w:r>
        <w:t>Finally, the statistical rod-state model is one-way coupled to the lumped thermal-hydraulic solution. Rod failures, oxidation, and hydrogen generation are tracked as consequences of the calculated thermal response; they do not feed back into the core thermal-hydraulic calculation except through any explicitly modeled heat sources or source-term coupling already present elsewhere in FLARE.</w:t>
      </w:r>
    </w:p>
    <w:p w14:paraId="1FECB74F" w14:textId="77777777" w:rsidR="001F0D14" w:rsidRDefault="001F0D14" w:rsidP="001F0D14">
      <w:pPr>
        <w:pStyle w:val="Heading1"/>
      </w:pPr>
      <w:bookmarkStart w:id="38" w:name="_Toc231232883"/>
      <w:r>
        <w:t>4.7 Zirconium Oxidation and Hydrogen Generation</w:t>
      </w:r>
      <w:bookmarkEnd w:id="38"/>
    </w:p>
    <w:p w14:paraId="574101E1" w14:textId="77777777" w:rsidR="001F0D14" w:rsidRDefault="001F0D14" w:rsidP="001F0D14">
      <w:pPr>
        <w:pStyle w:val="FirstParagraph"/>
      </w:pPr>
      <w:r>
        <w:t xml:space="preserve">The statistical rod-state model in Section 4.6 defines the rod temperature histories that are passed to the oxidation model. Section 4.7 defines the oxidation and hydrogen-generation theory used to convert those temperature histories into equivalent cladding reacted fraction, maximum local oxidation, mean oxidizing rod oxidation, and core-wide hydrogen generation. In FLARE, zirconium oxidation is treated as a consequence model: the thermal-hydraulic and heat-structure solution determines cladding temperature, and the oxidation calculation post-processes that temperature history. The calculated oxidation and </w:t>
      </w:r>
      <w:r>
        <w:lastRenderedPageBreak/>
        <w:t>hydrogen quantities are then used as figures-of-merit for regulatory screening, source-term escalation, and FLARECON containment-hydrogen assessment.</w:t>
      </w:r>
    </w:p>
    <w:p w14:paraId="73F1E6B5" w14:textId="77777777" w:rsidR="001F0D14" w:rsidRDefault="001F0D14" w:rsidP="001F0D14">
      <w:pPr>
        <w:pStyle w:val="BodyText"/>
      </w:pPr>
      <w:r>
        <w:t>The oxidation model is intentionally reduced-order. It is not a detailed fuel-rod mechanical model and does not explicitly represent cladding ballooning, burst strain, oxide-layer cracking, oxygen diffusion into prior-beta metal, fuel relocation, or axial variation of the oxidation front. Its purpose is to provide a transparent, conservative scoping estimate of high-temperature zirconium-steam reaction using the same small set of state variables available in the lumped-parameter FLARE core model.</w:t>
      </w:r>
    </w:p>
    <w:p w14:paraId="222CA305" w14:textId="77777777" w:rsidR="001F0D14" w:rsidRDefault="001F0D14" w:rsidP="001F0D14">
      <w:pPr>
        <w:pStyle w:val="Heading2"/>
      </w:pPr>
      <w:bookmarkStart w:id="39" w:name="_Toc231232884"/>
      <w:r>
        <w:t>4.7.1 Zirconium-Steam Reaction</w:t>
      </w:r>
      <w:bookmarkEnd w:id="39"/>
    </w:p>
    <w:p w14:paraId="2576B4A2" w14:textId="77777777" w:rsidR="001F0D14" w:rsidRDefault="001F0D14" w:rsidP="001F0D14">
      <w:pPr>
        <w:pStyle w:val="FirstParagraph"/>
      </w:pPr>
      <w:r>
        <w:t>The principal high-temperature reaction of interest is the exothermic oxidation of zirconium by steam,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D7D630B"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5FC7F12"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Zr+</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O→Zr</m:t>
                </m:r>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r>
                  <m:rPr>
                    <m:sty m:val="p"/>
                  </m:rPr>
                  <w:rPr>
                    <w:rFonts w:ascii="Cambria Math" w:hAnsi="Cambria Math"/>
                  </w:rPr>
                  <m:t>+</m:t>
                </m:r>
                <m:r>
                  <w:rPr>
                    <w:rFonts w:ascii="Cambria Math" w:hAnsi="Cambria Math"/>
                  </w:rPr>
                  <m:t>2 </m:t>
                </m:r>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m:oMathPara>
          </w:p>
        </w:tc>
        <w:tc>
          <w:tcPr>
            <w:tcW w:w="1300" w:type="dxa"/>
            <w:tcBorders>
              <w:bottom w:val="nil"/>
            </w:tcBorders>
            <w:vAlign w:val="center"/>
          </w:tcPr>
          <w:p w14:paraId="52A3B5AC" w14:textId="77777777" w:rsidR="001F0D14" w:rsidRDefault="001F0D14" w:rsidP="00104431">
            <w:pPr>
              <w:spacing w:after="0"/>
              <w:jc w:val="right"/>
            </w:pPr>
            <w:r>
              <w:rPr>
                <w:rFonts w:ascii="Times New Roman" w:hAnsi="Times New Roman"/>
                <w:sz w:val="22"/>
              </w:rPr>
              <w:t>(4.7-1)</w:t>
            </w:r>
          </w:p>
        </w:tc>
      </w:tr>
    </w:tbl>
    <w:p w14:paraId="7E4D9BD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Q</m:t>
            </m:r>
          </m:e>
          <m:sub>
            <m:r>
              <m:rPr>
                <m:sty m:val="p"/>
              </m:rPr>
              <w:rPr>
                <w:rFonts w:ascii="Cambria Math" w:hAnsi="Cambria Math"/>
              </w:rPr>
              <m:t>rxn</m:t>
            </m:r>
          </m:sub>
        </m:sSub>
      </m:oMath>
      <w:r>
        <w:t xml:space="preserve"> is the heat of reaction. The reaction consumes zirconium metal and steam, forms zirconium dioxide, and releases hydrogen. In detailed severe-accident codes, the reaction heat may be strongly coupled to the local cladding energy equation. In FLARE, the oxidation calculation is principally used to estimate cladding reacted fraction and hydrogen production. Any oxidation heat feedback is treated only if explicitly enabled in the applicable heat-source model; otherwise, the reaction is a diagnostic and source-term quantity derived from the calculated cladding temperature.</w:t>
      </w:r>
    </w:p>
    <w:p w14:paraId="0260C19B" w14:textId="77777777" w:rsidR="001F0D14" w:rsidRDefault="001F0D14" w:rsidP="001F0D14">
      <w:pPr>
        <w:pStyle w:val="BodyText"/>
      </w:pPr>
      <w:r>
        <w:t xml:space="preserve">The stoichiometric relation between oxygen uptake and zirconium consumption follows directly from Eq. 4.7-1. If </w:t>
      </w:r>
      <m:oMath>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mass of oxygen added to the cladding, the corresponding mass of zirconium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14D6C9"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4F00ED4" w14:textId="77777777" w:rsidR="001F0D14" w:rsidRDefault="001F0D14" w:rsidP="00104431">
            <w:pPr>
              <w:pStyle w:val="BodyText"/>
              <w:spacing w:before="0" w:after="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r>
                      <m:rPr>
                        <m:sty m:val="p"/>
                      </m:rPr>
                      <w:rPr>
                        <w:rFonts w:ascii="Cambria Math" w:hAnsi="Cambria Math"/>
                      </w:rPr>
                      <m:t>Zr</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1875CBB6" w14:textId="77777777" w:rsidR="001F0D14" w:rsidRDefault="001F0D14" w:rsidP="00104431">
            <w:pPr>
              <w:spacing w:after="0"/>
              <w:jc w:val="right"/>
            </w:pPr>
            <w:r>
              <w:rPr>
                <w:rFonts w:ascii="Times New Roman" w:hAnsi="Times New Roman"/>
                <w:sz w:val="22"/>
              </w:rPr>
              <w:t>(4.7-2)</w:t>
            </w:r>
          </w:p>
        </w:tc>
      </w:tr>
    </w:tbl>
    <w:p w14:paraId="0C80DCC7"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r>
              <m:rPr>
                <m:sty m:val="p"/>
              </m:rPr>
              <w:rPr>
                <w:rFonts w:ascii="Cambria Math" w:hAnsi="Cambria Math"/>
              </w:rPr>
              <m:t>Zr</m:t>
            </m:r>
          </m:sub>
        </m:sSub>
      </m:oMath>
      <w:r>
        <w:t xml:space="preserve"> is the molecular weight of zirconium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t xml:space="preserve"> is the atomic weight of oxygen. The corresponding hydrogen mass generated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DFD9E6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6A2663B" w14:textId="77777777" w:rsidR="001F0D14" w:rsidRDefault="001F0D14" w:rsidP="00104431">
            <w:pPr>
              <w:pStyle w:val="BodyText"/>
              <w:spacing w:before="0" w:after="0"/>
              <w:jc w:val="center"/>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m</m:t>
                    </m:r>
                  </m:e>
                  <m:sub>
                    <m:r>
                      <w:rPr>
                        <w:rFonts w:ascii="Cambria Math" w:hAnsi="Cambria Math"/>
                      </w:rPr>
                      <m:t>O</m:t>
                    </m:r>
                  </m:sub>
                </m:sSub>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5F38B827" w14:textId="77777777" w:rsidR="001F0D14" w:rsidRDefault="001F0D14" w:rsidP="00104431">
            <w:pPr>
              <w:spacing w:after="0"/>
              <w:jc w:val="right"/>
            </w:pPr>
            <w:r>
              <w:rPr>
                <w:rFonts w:ascii="Times New Roman" w:hAnsi="Times New Roman"/>
                <w:sz w:val="22"/>
              </w:rPr>
              <w:t>(4.7-3)</w:t>
            </w:r>
          </w:p>
        </w:tc>
      </w:tr>
    </w:tbl>
    <w:p w14:paraId="25B21D39"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oMath>
      <w:r>
        <w:t xml:space="preserve"> is the molecular weight of hydrogen gas. These stoichiometric relationships are used to convert oxide weight gain into equivalent cladding reacted fraction and core-wide hydrogen generation.</w:t>
      </w:r>
    </w:p>
    <w:p w14:paraId="3D17E4B4" w14:textId="77777777" w:rsidR="001F0D14" w:rsidRDefault="001F0D14" w:rsidP="001F0D14">
      <w:pPr>
        <w:pStyle w:val="Heading2"/>
      </w:pPr>
      <w:bookmarkStart w:id="40" w:name="_Toc231232885"/>
      <w:r>
        <w:t>4.7.2 Baker-Just Parabolic Oxidation Law</w:t>
      </w:r>
      <w:bookmarkEnd w:id="40"/>
    </w:p>
    <w:p w14:paraId="58ADB4CA" w14:textId="77777777" w:rsidR="001F0D14" w:rsidRDefault="001F0D14" w:rsidP="001F0D14">
      <w:pPr>
        <w:pStyle w:val="FirstParagraph"/>
      </w:pPr>
      <w:r>
        <w:t xml:space="preserve">FLARE uses the Baker-Just correlation as the default high-temperature zirconium oxidation model. The Baker-Just model is a parabolic rate law for oxygen weight gain. Let </w:t>
      </w:r>
      <m:oMath>
        <m:r>
          <w:rPr>
            <w:rFonts w:ascii="Cambria Math" w:hAnsi="Cambria Math"/>
          </w:rPr>
          <m:t>W</m:t>
        </m:r>
      </m:oMath>
      <w:r>
        <w:t xml:space="preserve"> denote the oxygen areal weight gain on the cladding surface. In FLARE notation, </w:t>
      </w:r>
      <m:oMath>
        <m:r>
          <w:rPr>
            <w:rFonts w:ascii="Cambria Math" w:hAnsi="Cambria Math"/>
          </w:rPr>
          <m:t>W</m:t>
        </m:r>
      </m:oMath>
      <w:r>
        <w:t xml:space="preserve"> may be carried internally in engineering units consistent with the implemented Baker-Just constants; conceptually, it is an oxygen mass per unit cladding surface area. The parabolic law may be written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ACD4C7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AFD9CB3"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dW</m:t>
                    </m:r>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num>
                  <m:den>
                    <m:r>
                      <w:rPr>
                        <w:rFonts w:ascii="Cambria Math" w:hAnsi="Cambria Math"/>
                      </w:rPr>
                      <m:t>W</m:t>
                    </m:r>
                  </m:den>
                </m:f>
              </m:oMath>
            </m:oMathPara>
          </w:p>
        </w:tc>
        <w:tc>
          <w:tcPr>
            <w:tcW w:w="1300" w:type="dxa"/>
            <w:tcBorders>
              <w:bottom w:val="nil"/>
            </w:tcBorders>
            <w:vAlign w:val="center"/>
          </w:tcPr>
          <w:p w14:paraId="0E714769" w14:textId="77777777" w:rsidR="001F0D14" w:rsidRDefault="001F0D14" w:rsidP="00104431">
            <w:pPr>
              <w:spacing w:after="0"/>
              <w:jc w:val="right"/>
            </w:pPr>
            <w:r>
              <w:rPr>
                <w:rFonts w:ascii="Times New Roman" w:hAnsi="Times New Roman"/>
                <w:sz w:val="22"/>
              </w:rPr>
              <w:t>(4.7-4)</w:t>
            </w:r>
          </w:p>
        </w:tc>
      </w:tr>
    </w:tbl>
    <w:p w14:paraId="20FAD8A8" w14:textId="77777777" w:rsidR="001F0D14" w:rsidRDefault="001F0D14" w:rsidP="001F0D14">
      <w:pPr>
        <w:pStyle w:val="FirstParagraph"/>
      </w:pPr>
      <w:r>
        <w:t>where the temperature-dependent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95F5D5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5668B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m:rPr>
                    <m:sty m:val="p"/>
                  </m:rPr>
                  <w:rPr>
                    <w:rFonts w:ascii="Cambria Math" w:hAnsi="Cambria Math"/>
                  </w:rPr>
                  <m:t>=</m:t>
                </m:r>
                <m:sSub>
                  <m:sSubPr>
                    <m:ctrlPr>
                      <w:rPr>
                        <w:rFonts w:ascii="Cambria Math" w:hAnsi="Cambria Math"/>
                      </w:rPr>
                    </m:ctrlPr>
                  </m:sSubPr>
                  <m:e>
                    <m:r>
                      <w:rPr>
                        <w:rFonts w:ascii="Cambria Math" w:hAnsi="Cambria Math"/>
                      </w:rPr>
                      <m:t>A</m:t>
                    </m:r>
                  </m:e>
                  <m:sub>
                    <m:r>
                      <m:rPr>
                        <m:sty m:val="p"/>
                      </m:rPr>
                      <w:rPr>
                        <w:rFonts w:ascii="Cambria Math" w:hAnsi="Cambria Math"/>
                      </w:rPr>
                      <m:t>BJ</m:t>
                    </m:r>
                  </m:sub>
                </m:sSub>
                <m:r>
                  <m:rPr>
                    <m:sty m:val="p"/>
                  </m:rPr>
                  <w:rPr>
                    <w:rFonts w:ascii="Cambria Math" w:hAnsi="Cambria Math"/>
                  </w:rPr>
                  <m:t>exp</m:t>
                </m:r>
                <m:r>
                  <w:rPr>
                    <w:rFonts w:ascii="Cambria Math" w:hAnsi="Cambria Math"/>
                  </w:rPr>
                  <m:t>​</m:t>
                </m:r>
                <m:d>
                  <m:dPr>
                    <m:ctrlPr>
                      <w:rPr>
                        <w:rFonts w:ascii="Cambria Math" w:hAnsi="Cambria Math"/>
                      </w:rPr>
                    </m:ctrlPr>
                  </m:dPr>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B</m:t>
                            </m:r>
                          </m:e>
                          <m:sub>
                            <m:r>
                              <m:rPr>
                                <m:sty m:val="p"/>
                              </m:rPr>
                              <w:rPr>
                                <w:rFonts w:ascii="Cambria Math" w:hAnsi="Cambria Math"/>
                              </w:rPr>
                              <m:t>BJ</m:t>
                            </m:r>
                          </m:sub>
                        </m:sSub>
                      </m:num>
                      <m:den>
                        <m:sSub>
                          <m:sSubPr>
                            <m:ctrlPr>
                              <w:rPr>
                                <w:rFonts w:ascii="Cambria Math" w:hAnsi="Cambria Math"/>
                              </w:rPr>
                            </m:ctrlPr>
                          </m:sSubPr>
                          <m:e>
                            <m:r>
                              <w:rPr>
                                <w:rFonts w:ascii="Cambria Math" w:hAnsi="Cambria Math"/>
                              </w:rPr>
                              <m:t>T</m:t>
                            </m:r>
                          </m:e>
                          <m:sub>
                            <m:r>
                              <m:rPr>
                                <m:sty m:val="p"/>
                              </m:rPr>
                              <w:rPr>
                                <w:rFonts w:ascii="Cambria Math" w:hAnsi="Cambria Math"/>
                              </w:rPr>
                              <m:t>clad</m:t>
                            </m:r>
                          </m:sub>
                        </m:sSub>
                      </m:den>
                    </m:f>
                  </m:e>
                </m:d>
              </m:oMath>
            </m:oMathPara>
          </w:p>
        </w:tc>
        <w:tc>
          <w:tcPr>
            <w:tcW w:w="1300" w:type="dxa"/>
            <w:tcBorders>
              <w:bottom w:val="nil"/>
            </w:tcBorders>
            <w:vAlign w:val="center"/>
          </w:tcPr>
          <w:p w14:paraId="57FB28F6" w14:textId="77777777" w:rsidR="001F0D14" w:rsidRDefault="001F0D14" w:rsidP="00104431">
            <w:pPr>
              <w:spacing w:after="0"/>
              <w:jc w:val="right"/>
            </w:pPr>
            <w:r>
              <w:rPr>
                <w:rFonts w:ascii="Times New Roman" w:hAnsi="Times New Roman"/>
                <w:sz w:val="22"/>
              </w:rPr>
              <w:t>(4.7-5)</w:t>
            </w:r>
          </w:p>
        </w:tc>
      </w:tr>
    </w:tbl>
    <w:p w14:paraId="3A8C31F0" w14:textId="77777777" w:rsidR="001F0D14" w:rsidRDefault="001F0D14" w:rsidP="001F0D14">
      <w:pPr>
        <w:pStyle w:val="FirstParagraph"/>
      </w:pPr>
      <w:r>
        <w:t xml:space="preserve">Here </w:t>
      </w:r>
      <m:oMath>
        <m:sSub>
          <m:sSubPr>
            <m:ctrlPr>
              <w:rPr>
                <w:rFonts w:ascii="Cambria Math" w:hAnsi="Cambria Math"/>
              </w:rPr>
            </m:ctrlPr>
          </m:sSubPr>
          <m:e>
            <m:r>
              <w:rPr>
                <w:rFonts w:ascii="Cambria Math" w:hAnsi="Cambria Math"/>
              </w:rPr>
              <m:t>A</m:t>
            </m:r>
          </m:e>
          <m:sub>
            <m:r>
              <m:rPr>
                <m:sty m:val="p"/>
              </m:rPr>
              <w:rPr>
                <w:rFonts w:ascii="Cambria Math" w:hAnsi="Cambria Math"/>
              </w:rPr>
              <m:t>BJ</m:t>
            </m:r>
          </m:sub>
        </m:sSub>
      </m:oMath>
      <w:r>
        <w:t xml:space="preserve"> and </w:t>
      </w:r>
      <m:oMath>
        <m:sSub>
          <m:sSubPr>
            <m:ctrlPr>
              <w:rPr>
                <w:rFonts w:ascii="Cambria Math" w:hAnsi="Cambria Math"/>
              </w:rPr>
            </m:ctrlPr>
          </m:sSubPr>
          <m:e>
            <m:r>
              <w:rPr>
                <w:rFonts w:ascii="Cambria Math" w:hAnsi="Cambria Math"/>
              </w:rPr>
              <m:t>B</m:t>
            </m:r>
          </m:e>
          <m:sub>
            <m:r>
              <m:rPr>
                <m:sty m:val="p"/>
              </m:rPr>
              <w:rPr>
                <w:rFonts w:ascii="Cambria Math" w:hAnsi="Cambria Math"/>
              </w:rPr>
              <m:t>BJ</m:t>
            </m:r>
          </m:sub>
        </m:sSub>
      </m:oMath>
      <w:r>
        <w:t xml:space="preserve"> are the Baker-Just constants in the unit system used by the implementation, and </w:t>
      </w:r>
      <m:oMath>
        <m:sSub>
          <m:sSubPr>
            <m:ctrlPr>
              <w:rPr>
                <w:rFonts w:ascii="Cambria Math" w:hAnsi="Cambria Math"/>
              </w:rPr>
            </m:ctrlPr>
          </m:sSubPr>
          <m:e>
            <m:r>
              <w:rPr>
                <w:rFonts w:ascii="Cambria Math" w:hAnsi="Cambria Math"/>
              </w:rPr>
              <m:t>T</m:t>
            </m:r>
          </m:e>
          <m:sub>
            <m:r>
              <m:rPr>
                <m:sty m:val="p"/>
              </m:rPr>
              <w:rPr>
                <w:rFonts w:ascii="Cambria Math" w:hAnsi="Cambria Math"/>
              </w:rPr>
              <m:t>clad</m:t>
            </m:r>
          </m:sub>
        </m:sSub>
      </m:oMath>
      <w:r>
        <w:t xml:space="preserve"> is the cladding surface temperature in kelvin. The inverse dependence on </w:t>
      </w:r>
      <m:oMath>
        <m:r>
          <w:rPr>
            <w:rFonts w:ascii="Cambria Math" w:hAnsi="Cambria Math"/>
          </w:rPr>
          <m:t>W</m:t>
        </m:r>
      </m:oMath>
      <w:r>
        <w:t xml:space="preserve"> produces the familiar parabolic behavior: oxidation is initially rapid when the oxide layer is thin and slows as the oxide layer thickens.</w:t>
      </w:r>
    </w:p>
    <w:p w14:paraId="2F649689" w14:textId="77777777" w:rsidR="001F0D14" w:rsidRDefault="001F0D14" w:rsidP="001F0D14">
      <w:pPr>
        <w:pStyle w:val="BodyText"/>
      </w:pPr>
      <w:r>
        <w:lastRenderedPageBreak/>
        <w:t xml:space="preserve">Equivalently, Eq. 4.7-4 can be written in terms of </w:t>
      </w:r>
      <m:oMath>
        <m:sSup>
          <m:sSupPr>
            <m:ctrlPr>
              <w:rPr>
                <w:rFonts w:ascii="Cambria Math" w:hAnsi="Cambria Math"/>
              </w:rPr>
            </m:ctrlPr>
          </m:sSupPr>
          <m:e>
            <m:r>
              <w:rPr>
                <w:rFonts w:ascii="Cambria Math" w:hAnsi="Cambria Math"/>
              </w:rPr>
              <m:t>W</m:t>
            </m:r>
          </m:e>
          <m:sup>
            <m:r>
              <w:rPr>
                <w:rFonts w:ascii="Cambria Math" w:hAnsi="Cambria Math"/>
              </w:rPr>
              <m:t>2</m:t>
            </m:r>
          </m:sup>
        </m:sSup>
      </m:oMath>
      <w:r>
        <w:t>:</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8F75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0EFD126" w14:textId="77777777" w:rsidR="001F0D14" w:rsidRDefault="00000000" w:rsidP="00104431">
            <w:pPr>
              <w:pStyle w:val="BodyText"/>
              <w:spacing w:before="0" w:after="0"/>
              <w:jc w:val="center"/>
            </w:pPr>
            <m:oMathPara>
              <m:oMathParaPr>
                <m:jc m:val="center"/>
              </m:oMathParaPr>
              <m:oMath>
                <m:f>
                  <m:fPr>
                    <m:ctrlPr>
                      <w:rPr>
                        <w:rFonts w:ascii="Cambria Math" w:hAnsi="Cambria Math"/>
                      </w:rPr>
                    </m:ctrlPr>
                  </m:fPr>
                  <m:num>
                    <m:r>
                      <w:rPr>
                        <w:rFonts w:ascii="Cambria Math" w:hAnsi="Cambria Math"/>
                      </w:rPr>
                      <m:t>d</m:t>
                    </m:r>
                    <m:sSup>
                      <m:sSupPr>
                        <m:ctrlPr>
                          <w:rPr>
                            <w:rFonts w:ascii="Cambria Math" w:hAnsi="Cambria Math"/>
                          </w:rPr>
                        </m:ctrlPr>
                      </m:sSupPr>
                      <m:e>
                        <m:r>
                          <w:rPr>
                            <w:rFonts w:ascii="Cambria Math" w:hAnsi="Cambria Math"/>
                          </w:rPr>
                          <m:t>W</m:t>
                        </m:r>
                      </m:e>
                      <m:sup>
                        <m:r>
                          <w:rPr>
                            <w:rFonts w:ascii="Cambria Math" w:hAnsi="Cambria Math"/>
                          </w:rPr>
                          <m:t>2</m:t>
                        </m:r>
                      </m:sup>
                    </m:sSup>
                  </m:num>
                  <m:den>
                    <m:r>
                      <w:rPr>
                        <w:rFonts w:ascii="Cambria Math" w:hAnsi="Cambria Math"/>
                      </w:rPr>
                      <m:t>dt</m:t>
                    </m:r>
                  </m:den>
                </m:f>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oMath>
            </m:oMathPara>
          </w:p>
        </w:tc>
        <w:tc>
          <w:tcPr>
            <w:tcW w:w="1300" w:type="dxa"/>
            <w:tcBorders>
              <w:bottom w:val="nil"/>
            </w:tcBorders>
            <w:vAlign w:val="center"/>
          </w:tcPr>
          <w:p w14:paraId="4B376E4E" w14:textId="77777777" w:rsidR="001F0D14" w:rsidRDefault="001F0D14" w:rsidP="00104431">
            <w:pPr>
              <w:spacing w:after="0"/>
              <w:jc w:val="right"/>
            </w:pPr>
            <w:r>
              <w:rPr>
                <w:rFonts w:ascii="Times New Roman" w:hAnsi="Times New Roman"/>
                <w:sz w:val="22"/>
              </w:rPr>
              <w:t>(4.7-6)</w:t>
            </w:r>
          </w:p>
        </w:tc>
      </w:tr>
    </w:tbl>
    <w:p w14:paraId="229A0284" w14:textId="77777777" w:rsidR="001F0D14" w:rsidRDefault="001F0D14" w:rsidP="001F0D14">
      <w:pPr>
        <w:pStyle w:val="FirstParagraph"/>
      </w:pPr>
      <w:r>
        <w:t xml:space="preserve">For a constant cladding temperature over a time interval </w:t>
      </w:r>
      <m:oMath>
        <m:r>
          <w:rPr>
            <w:rFonts w:ascii="Cambria Math" w:hAnsi="Cambria Math"/>
          </w:rPr>
          <m:t>Δt</m:t>
        </m:r>
      </m:oMath>
      <w:r>
        <w:t>, the exact parabolic update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A55C0A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95F42D8"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n</m:t>
                            </m:r>
                          </m:sub>
                          <m:sup>
                            <m:r>
                              <w:rPr>
                                <w:rFonts w:ascii="Cambria Math" w:hAnsi="Cambria Math"/>
                              </w:rPr>
                              <m:t>2</m:t>
                            </m:r>
                          </m:sup>
                        </m:sSub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m:rPr>
                                    <m:sty m:val="p"/>
                                  </m:rPr>
                                  <w:rPr>
                                    <w:rFonts w:ascii="Cambria Math" w:hAnsi="Cambria Math"/>
                                  </w:rPr>
                                  <m:t>clad</m:t>
                                </m:r>
                              </m:sub>
                            </m:sSub>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2694177C" w14:textId="77777777" w:rsidR="001F0D14" w:rsidRDefault="001F0D14" w:rsidP="00104431">
            <w:pPr>
              <w:spacing w:after="0"/>
              <w:jc w:val="right"/>
            </w:pPr>
            <w:r>
              <w:rPr>
                <w:rFonts w:ascii="Times New Roman" w:hAnsi="Times New Roman"/>
                <w:sz w:val="22"/>
              </w:rPr>
              <w:t>(4.7-7)</w:t>
            </w:r>
          </w:p>
        </w:tc>
      </w:tr>
    </w:tbl>
    <w:p w14:paraId="66CD4B0B" w14:textId="77777777" w:rsidR="001F0D14" w:rsidRDefault="001F0D14" w:rsidP="001F0D14">
      <w:pPr>
        <w:pStyle w:val="FirstParagraph"/>
      </w:pPr>
      <w:r>
        <w:t xml:space="preserve">This form is numerically convenient because it avoids a singular explicit update when </w:t>
      </w:r>
      <m:oMath>
        <m:r>
          <w:rPr>
            <w:rFonts w:ascii="Cambria Math" w:hAnsi="Cambria Math"/>
          </w:rPr>
          <m:t>W</m:t>
        </m:r>
      </m:oMath>
      <w:r>
        <w:t xml:space="preserve"> is small. In transient calculations, FLARE evaluates the rate coefficient using a representative temperature over the step, typically the current or time-centered cladding temperature depending on the integration option.</w:t>
      </w:r>
    </w:p>
    <w:p w14:paraId="6CC4C68D" w14:textId="77777777" w:rsidR="001F0D14" w:rsidRDefault="001F0D14" w:rsidP="001F0D14">
      <w:pPr>
        <w:pStyle w:val="Heading2"/>
      </w:pPr>
      <w:bookmarkStart w:id="41" w:name="_Toc231232886"/>
      <w:r>
        <w:t>4.7.3 Numerical Integration of Oxide Weight Gain</w:t>
      </w:r>
      <w:bookmarkEnd w:id="41"/>
    </w:p>
    <w:p w14:paraId="5401FC18" w14:textId="77777777" w:rsidR="001F0D14" w:rsidRDefault="001F0D14" w:rsidP="001F0D14">
      <w:pPr>
        <w:pStyle w:val="FirstParagraph"/>
      </w:pPr>
      <w:r>
        <w:t xml:space="preserve">The oxidation calculation is integrated in time using the cladding temperature history from the selected rod state. For a rod state </w:t>
      </w:r>
      <m:oMath>
        <m:r>
          <w:rPr>
            <w:rFonts w:ascii="Cambria Math" w:hAnsi="Cambria Math"/>
          </w:rPr>
          <m:t>s</m:t>
        </m:r>
      </m:oMath>
      <w:r>
        <w:t>, such as the hot pin or mean oxidizing rod, the oxidation state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479464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30FBB5"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w:rPr>
                                        <w:rFonts w:ascii="Cambria Math" w:hAnsi="Cambria Math"/>
                                      </w:rPr>
                                      <m:t>s</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BJ</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51354A89" w14:textId="77777777" w:rsidR="001F0D14" w:rsidRDefault="001F0D14" w:rsidP="00104431">
            <w:pPr>
              <w:spacing w:after="0"/>
              <w:jc w:val="right"/>
            </w:pPr>
            <w:r>
              <w:rPr>
                <w:rFonts w:ascii="Times New Roman" w:hAnsi="Times New Roman"/>
                <w:sz w:val="22"/>
              </w:rPr>
              <w:t>(4.7-8)</w:t>
            </w:r>
          </w:p>
        </w:tc>
      </w:tr>
    </w:tbl>
    <w:p w14:paraId="3B8B04B0" w14:textId="77777777" w:rsidR="001F0D14" w:rsidRDefault="001F0D14" w:rsidP="001F0D14">
      <w:pPr>
        <w:pStyle w:val="FirstParagraph"/>
      </w:pPr>
      <w:r>
        <w:t xml:space="preserve">where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oMath>
      <w:r>
        <w:t xml:space="preserve"> is the representative cladding temperature for the time step. A simple time-centered estimate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1A68E5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F3FB26C"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e>
                </m:d>
              </m:oMath>
            </m:oMathPara>
          </w:p>
        </w:tc>
        <w:tc>
          <w:tcPr>
            <w:tcW w:w="1300" w:type="dxa"/>
            <w:tcBorders>
              <w:bottom w:val="nil"/>
            </w:tcBorders>
            <w:vAlign w:val="center"/>
          </w:tcPr>
          <w:p w14:paraId="29ACB4F3" w14:textId="77777777" w:rsidR="001F0D14" w:rsidRDefault="001F0D14" w:rsidP="00104431">
            <w:pPr>
              <w:spacing w:after="0"/>
              <w:jc w:val="right"/>
            </w:pPr>
            <w:r>
              <w:rPr>
                <w:rFonts w:ascii="Times New Roman" w:hAnsi="Times New Roman"/>
                <w:sz w:val="22"/>
              </w:rPr>
              <w:t>(4.7-9)</w:t>
            </w:r>
          </w:p>
        </w:tc>
      </w:tr>
    </w:tbl>
    <w:p w14:paraId="4DAF850F" w14:textId="77777777" w:rsidR="001F0D14" w:rsidRDefault="001F0D14" w:rsidP="001F0D14">
      <w:pPr>
        <w:pStyle w:val="FirstParagraph"/>
      </w:pPr>
      <w:r>
        <w:t xml:space="preserve">When only the current-step temperature is available, the implementation may use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n</m:t>
            </m:r>
            <m:r>
              <m:rPr>
                <m:sty m:val="p"/>
              </m:rPr>
              <w:rPr>
                <w:rFonts w:ascii="Cambria Math" w:hAnsi="Cambria Math"/>
              </w:rPr>
              <m:t>+</m:t>
            </m:r>
            <m:r>
              <w:rPr>
                <w:rFonts w:ascii="Cambria Math" w:hAnsi="Cambria Math"/>
              </w:rPr>
              <m:t>1</m:t>
            </m:r>
          </m:sup>
        </m:sSubSup>
      </m:oMath>
      <w:r>
        <w:t xml:space="preserve"> as the representative value. Since the Baker-Just rate is exponentially dependent on temperature, the selected time-centering convention should be retained consistently for verification and sensitivity studies.</w:t>
      </w:r>
    </w:p>
    <w:p w14:paraId="6190680A" w14:textId="77777777" w:rsidR="001F0D14" w:rsidRDefault="001F0D14" w:rsidP="001F0D14">
      <w:pPr>
        <w:pStyle w:val="BodyText"/>
      </w:pPr>
      <w:r>
        <w:t xml:space="preserve">Oxidation is normally suppressed below a threshold temperature because low-temperature zirconium oxidation is not a controlling contributor to large-break LOCA acceptance metrics or hydrogen generation in the intended FLARE applications. With an oxidation cutoff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the effective rate coefficient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115B90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7BF42E6E"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eff</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r>
                        <m:e>
                          <m:sSub>
                            <m:sSubPr>
                              <m:ctrlPr>
                                <w:rPr>
                                  <w:rFonts w:ascii="Cambria Math" w:hAnsi="Cambria Math"/>
                                </w:rPr>
                              </m:ctrlPr>
                            </m:sSubPr>
                            <m:e>
                              <m:r>
                                <w:rPr>
                                  <w:rFonts w:ascii="Cambria Math" w:hAnsi="Cambria Math"/>
                                </w:rPr>
                                <m:t>K</m:t>
                              </m:r>
                            </m:e>
                            <m:sub>
                              <m:r>
                                <m:rPr>
                                  <m:sty m:val="p"/>
                                </m:rPr>
                                <w:rPr>
                                  <w:rFonts w:ascii="Cambria Math" w:hAnsi="Cambria Math"/>
                                </w:rPr>
                                <m:t>BJ</m:t>
                              </m:r>
                            </m:sub>
                          </m:sSub>
                          <m:d>
                            <m:dPr>
                              <m:ctrlPr>
                                <w:rPr>
                                  <w:rFonts w:ascii="Cambria Math" w:hAnsi="Cambria Math"/>
                                </w:rPr>
                              </m:ctrlPr>
                            </m:dPr>
                            <m:e>
                              <m:r>
                                <w:rPr>
                                  <w:rFonts w:ascii="Cambria Math" w:hAnsi="Cambria Math"/>
                                </w:rPr>
                                <m:t>T</m:t>
                              </m:r>
                            </m:e>
                          </m:d>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ox</m:t>
                              </m:r>
                            </m:sub>
                          </m:sSub>
                        </m:e>
                      </m:mr>
                    </m:m>
                  </m:e>
                </m:d>
              </m:oMath>
            </m:oMathPara>
          </w:p>
        </w:tc>
        <w:tc>
          <w:tcPr>
            <w:tcW w:w="1300" w:type="dxa"/>
            <w:tcBorders>
              <w:bottom w:val="nil"/>
            </w:tcBorders>
            <w:vAlign w:val="center"/>
          </w:tcPr>
          <w:p w14:paraId="61A63A41" w14:textId="77777777" w:rsidR="001F0D14" w:rsidRDefault="001F0D14" w:rsidP="00104431">
            <w:pPr>
              <w:spacing w:after="0"/>
              <w:jc w:val="right"/>
            </w:pPr>
            <w:r>
              <w:rPr>
                <w:rFonts w:ascii="Times New Roman" w:hAnsi="Times New Roman"/>
                <w:sz w:val="22"/>
              </w:rPr>
              <w:t>(4.7-10)</w:t>
            </w:r>
          </w:p>
        </w:tc>
      </w:tr>
    </w:tbl>
    <w:p w14:paraId="79687DE9" w14:textId="77777777" w:rsidR="001F0D14" w:rsidRDefault="001F0D14" w:rsidP="001F0D14">
      <w:pPr>
        <w:pStyle w:val="FirstParagraph"/>
      </w:pPr>
      <w:r>
        <w:t xml:space="preserve">The cutoff is a modeling guard, not a statement that oxidation is physically absent below </w:t>
      </w:r>
      <m:oMath>
        <m:sSub>
          <m:sSubPr>
            <m:ctrlPr>
              <w:rPr>
                <w:rFonts w:ascii="Cambria Math" w:hAnsi="Cambria Math"/>
              </w:rPr>
            </m:ctrlPr>
          </m:sSubPr>
          <m:e>
            <m:r>
              <w:rPr>
                <w:rFonts w:ascii="Cambria Math" w:hAnsi="Cambria Math"/>
              </w:rPr>
              <m:t>T</m:t>
            </m:r>
          </m:e>
          <m:sub>
            <m:r>
              <m:rPr>
                <m:sty m:val="p"/>
              </m:rPr>
              <w:rPr>
                <w:rFonts w:ascii="Cambria Math" w:hAnsi="Cambria Math"/>
              </w:rPr>
              <m:t>ox</m:t>
            </m:r>
          </m:sub>
        </m:sSub>
      </m:oMath>
      <w:r>
        <w:t>. It reflects the intended use of FLARE as a rapid accident-analysis screening tool focused on high-temperature cladding response.</w:t>
      </w:r>
    </w:p>
    <w:p w14:paraId="38B34636" w14:textId="77777777" w:rsidR="001F0D14" w:rsidRDefault="001F0D14" w:rsidP="001F0D14">
      <w:pPr>
        <w:pStyle w:val="Heading2"/>
      </w:pPr>
      <w:bookmarkStart w:id="42" w:name="_Toc231232887"/>
      <w:r>
        <w:t>4.7.4 Equivalent Cladding Reacted Fraction</w:t>
      </w:r>
      <w:bookmarkEnd w:id="42"/>
    </w:p>
    <w:p w14:paraId="5099551E" w14:textId="77777777" w:rsidR="001F0D14" w:rsidRDefault="001F0D14" w:rsidP="001F0D14">
      <w:pPr>
        <w:pStyle w:val="FirstParagraph"/>
      </w:pPr>
      <w:r>
        <w:t xml:space="preserve">The equivalent cladding reacted fraction is the fraction of the original cladding metal thickness that would be consumed by the amount of oxygen uptake calculated from the oxidation model. If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is the oxygen mass uptake per unit cladding surface area for rod state </w:t>
      </w:r>
      <m:oMath>
        <m:r>
          <w:rPr>
            <w:rFonts w:ascii="Cambria Math" w:hAnsi="Cambria Math"/>
          </w:rPr>
          <m:t>s</m:t>
        </m:r>
      </m:oMath>
      <w:r>
        <w:t>, the equivalent reacted zirconium thickness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1E0B44E8"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5632F0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90FCBD3" w14:textId="77777777" w:rsidR="001F0D14" w:rsidRDefault="001F0D14" w:rsidP="00104431">
            <w:pPr>
              <w:spacing w:after="0"/>
              <w:jc w:val="right"/>
            </w:pPr>
            <w:r>
              <w:rPr>
                <w:rFonts w:ascii="Times New Roman" w:hAnsi="Times New Roman"/>
                <w:sz w:val="22"/>
              </w:rPr>
              <w:t>(4.7-11)</w:t>
            </w:r>
          </w:p>
        </w:tc>
      </w:tr>
    </w:tbl>
    <w:p w14:paraId="315F374C"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ρ</m:t>
            </m:r>
          </m:e>
          <m:sub>
            <m:r>
              <m:rPr>
                <m:sty m:val="p"/>
              </m:rPr>
              <w:rPr>
                <w:rFonts w:ascii="Cambria Math" w:hAnsi="Cambria Math"/>
              </w:rPr>
              <m:t>Zr</m:t>
            </m:r>
          </m:sub>
        </m:sSub>
      </m:oMath>
      <w:r>
        <w:t xml:space="preserve"> is the density of zirconium metal. The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C06E59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CD92F3C"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δ</m:t>
                        </m:r>
                      </m:e>
                      <m:sub>
                        <m:r>
                          <m:rPr>
                            <m:sty m:val="p"/>
                          </m:rPr>
                          <w:rPr>
                            <w:rFonts w:ascii="Cambria Math" w:hAnsi="Cambria Math"/>
                          </w:rPr>
                          <m:t>rxn,</m:t>
                        </m:r>
                        <m:r>
                          <w:rPr>
                            <w:rFonts w:ascii="Cambria Math" w:hAnsi="Cambria Math"/>
                          </w:rPr>
                          <m:t>s</m:t>
                        </m:r>
                      </m:sub>
                    </m:sSub>
                  </m:num>
                  <m:den>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oMath>
            </m:oMathPara>
          </w:p>
        </w:tc>
        <w:tc>
          <w:tcPr>
            <w:tcW w:w="1300" w:type="dxa"/>
            <w:tcBorders>
              <w:bottom w:val="nil"/>
            </w:tcBorders>
            <w:vAlign w:val="center"/>
          </w:tcPr>
          <w:p w14:paraId="22F5D55C" w14:textId="77777777" w:rsidR="001F0D14" w:rsidRDefault="001F0D14" w:rsidP="00104431">
            <w:pPr>
              <w:spacing w:after="0"/>
              <w:jc w:val="right"/>
            </w:pPr>
            <w:r>
              <w:rPr>
                <w:rFonts w:ascii="Times New Roman" w:hAnsi="Times New Roman"/>
                <w:sz w:val="22"/>
              </w:rPr>
              <w:t>(4.7-12)</w:t>
            </w:r>
          </w:p>
        </w:tc>
      </w:tr>
    </w:tbl>
    <w:p w14:paraId="3FA3A4E8" w14:textId="77777777" w:rsidR="001F0D14" w:rsidRDefault="001F0D14" w:rsidP="001F0D14">
      <w:pPr>
        <w:pStyle w:val="FirstParagraph"/>
      </w:pPr>
      <w:r>
        <w:t>and the value reported in percent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ADA87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3FA2F34"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w:rPr>
                        <w:rFonts w:ascii="Cambria Math" w:hAnsi="Cambria Math"/>
                      </w:rPr>
                      <m:t>s</m:t>
                    </m:r>
                    <m:r>
                      <m:rPr>
                        <m:sty m:val="p"/>
                      </m:rPr>
                      <w:rPr>
                        <w:rFonts w:ascii="Cambria Math" w:hAnsi="Cambria Math"/>
                      </w:rPr>
                      <m:t>,%</m:t>
                    </m:r>
                  </m:sub>
                </m:sSub>
                <m:r>
                  <m:rPr>
                    <m:sty m:val="p"/>
                  </m:rPr>
                  <w:rPr>
                    <w:rFonts w:ascii="Cambria Math" w:hAnsi="Cambria Math"/>
                  </w:rPr>
                  <m:t>=</m:t>
                </m:r>
                <m:r>
                  <w:rPr>
                    <w:rFonts w:ascii="Cambria Math" w:hAnsi="Cambria Math"/>
                  </w:rPr>
                  <m:t>100</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s</m:t>
                        </m:r>
                      </m:sub>
                    </m:sSub>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FF185FB" w14:textId="77777777" w:rsidR="001F0D14" w:rsidRDefault="001F0D14" w:rsidP="00104431">
            <w:pPr>
              <w:spacing w:after="0"/>
              <w:jc w:val="right"/>
            </w:pPr>
            <w:r>
              <w:rPr>
                <w:rFonts w:ascii="Times New Roman" w:hAnsi="Times New Roman"/>
                <w:sz w:val="22"/>
              </w:rPr>
              <w:t>(4.7-13)</w:t>
            </w:r>
          </w:p>
        </w:tc>
      </w:tr>
    </w:tbl>
    <w:p w14:paraId="2425364D"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δ</m:t>
            </m:r>
          </m:e>
          <m:sub>
            <m:r>
              <m:rPr>
                <m:sty m:val="p"/>
              </m:rPr>
              <w:rPr>
                <w:rFonts w:ascii="Cambria Math" w:hAnsi="Cambria Math"/>
              </w:rPr>
              <m:t>clad</m:t>
            </m:r>
          </m:sub>
        </m:sSub>
      </m:oMath>
      <w:r>
        <w:t xml:space="preserve"> is the initial cladding wall thickness. The regulatory maximum-local-oxidation figure-of-merit is based on the hot-pin value,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5ECD740"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2A0E39E"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3148EE5B" w14:textId="77777777" w:rsidR="001F0D14" w:rsidRDefault="001F0D14" w:rsidP="00104431">
            <w:pPr>
              <w:spacing w:after="0"/>
              <w:jc w:val="right"/>
            </w:pPr>
            <w:r>
              <w:rPr>
                <w:rFonts w:ascii="Times New Roman" w:hAnsi="Times New Roman"/>
                <w:sz w:val="22"/>
              </w:rPr>
              <w:t>(4.7-14)</w:t>
            </w:r>
          </w:p>
        </w:tc>
      </w:tr>
    </w:tbl>
    <w:p w14:paraId="7A0A82F2" w14:textId="77777777" w:rsidR="001F0D14" w:rsidRDefault="001F0D14" w:rsidP="001F0D14">
      <w:pPr>
        <w:pStyle w:val="FirstParagraph"/>
      </w:pPr>
      <w:r>
        <w:t>where the hot pin is defined in Section 4.6. The mean oxidizing rod ECR is calculated similarly but uses the conditional mean oxidizing rod temperature rather than the hot-pin temperature.</w:t>
      </w:r>
    </w:p>
    <w:p w14:paraId="004E6FCF" w14:textId="77777777" w:rsidR="001F0D14" w:rsidRDefault="001F0D14" w:rsidP="001F0D14">
      <w:pPr>
        <w:pStyle w:val="Heading2"/>
      </w:pPr>
      <w:bookmarkStart w:id="43" w:name="_Toc231232888"/>
      <w:r>
        <w:t>4.7.5 Hot-Pin Oxidation</w:t>
      </w:r>
      <w:bookmarkEnd w:id="43"/>
    </w:p>
    <w:p w14:paraId="5C240F45" w14:textId="77777777" w:rsidR="001F0D14" w:rsidRDefault="001F0D14" w:rsidP="001F0D14">
      <w:pPr>
        <w:pStyle w:val="FirstParagraph"/>
      </w:pPr>
      <w:r>
        <w:t xml:space="preserve">The hot pin represents the most adverse local rod state implied by the specified radial and axial peaking factors. Its temperature history, </w:t>
      </w:r>
      <m:oMath>
        <m:sSub>
          <m:sSubPr>
            <m:ctrlPr>
              <w:rPr>
                <w:rFonts w:ascii="Cambria Math" w:hAnsi="Cambria Math"/>
              </w:rPr>
            </m:ctrlPr>
          </m:sSubPr>
          <m:e>
            <m:r>
              <w:rPr>
                <w:rFonts w:ascii="Cambria Math" w:hAnsi="Cambria Math"/>
              </w:rPr>
              <m:t>T</m:t>
            </m:r>
          </m:e>
          <m:sub>
            <m:r>
              <m:rPr>
                <m:sty m:val="p"/>
              </m:rPr>
              <w:rPr>
                <w:rFonts w:ascii="Cambria Math" w:hAnsi="Cambria Math"/>
              </w:rPr>
              <m:t>hot</m:t>
            </m:r>
          </m:sub>
        </m:sSub>
        <m:d>
          <m:dPr>
            <m:ctrlPr>
              <w:rPr>
                <w:rFonts w:ascii="Cambria Math" w:hAnsi="Cambria Math"/>
              </w:rPr>
            </m:ctrlPr>
          </m:dPr>
          <m:e>
            <m:r>
              <w:rPr>
                <w:rFonts w:ascii="Cambria Math" w:hAnsi="Cambria Math"/>
              </w:rPr>
              <m:t>t</m:t>
            </m:r>
          </m:e>
        </m:d>
      </m:oMath>
      <w:r>
        <w:t>, is used to calculate the local oxidation state most relevant to peak cladding temperature and maximum local oxidation. The hot-pin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80E8EF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E6AB75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0F0759D9" w14:textId="77777777" w:rsidR="001F0D14" w:rsidRDefault="001F0D14" w:rsidP="00104431">
            <w:pPr>
              <w:spacing w:after="0"/>
              <w:jc w:val="right"/>
            </w:pPr>
            <w:r>
              <w:rPr>
                <w:rFonts w:ascii="Times New Roman" w:hAnsi="Times New Roman"/>
                <w:sz w:val="22"/>
              </w:rPr>
              <w:t>(4.7-15)</w:t>
            </w:r>
          </w:p>
        </w:tc>
      </w:tr>
    </w:tbl>
    <w:p w14:paraId="518F1E86" w14:textId="77777777" w:rsidR="001F0D14" w:rsidRDefault="001F0D14" w:rsidP="001F0D14">
      <w:pPr>
        <w:pStyle w:val="FirstParagraph"/>
      </w:pPr>
      <w:r>
        <w:t>The hot-pin equivalent cladding reacted fraction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42F775" w14:textId="77777777" w:rsidTr="001F0D14">
        <w:trPr>
          <w:cnfStyle w:val="100000000000" w:firstRow="1" w:lastRow="0" w:firstColumn="0" w:lastColumn="0" w:oddVBand="0" w:evenVBand="0" w:oddHBand="0" w:evenHBand="0" w:firstRowFirstColumn="0" w:firstRowLastColumn="0" w:lastRowFirstColumn="0" w:lastRowLastColumn="0"/>
          <w:trHeight w:val="612"/>
          <w:jc w:val="center"/>
        </w:trPr>
        <w:tc>
          <w:tcPr>
            <w:tcW w:w="7900" w:type="dxa"/>
            <w:tcBorders>
              <w:bottom w:val="nil"/>
            </w:tcBorders>
            <w:vAlign w:val="center"/>
          </w:tcPr>
          <w:p w14:paraId="7A92EC7E"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hot</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1879A9A" w14:textId="77777777" w:rsidR="001F0D14" w:rsidRDefault="001F0D14" w:rsidP="00104431">
            <w:pPr>
              <w:spacing w:after="0"/>
              <w:jc w:val="right"/>
            </w:pPr>
            <w:r>
              <w:rPr>
                <w:rFonts w:ascii="Times New Roman" w:hAnsi="Times New Roman"/>
                <w:sz w:val="22"/>
              </w:rPr>
              <w:t>(4.7-16)</w:t>
            </w:r>
          </w:p>
        </w:tc>
      </w:tr>
    </w:tbl>
    <w:p w14:paraId="761C4AE5" w14:textId="77777777" w:rsidR="001F0D14" w:rsidRDefault="001F0D14" w:rsidP="001F0D14">
      <w:pPr>
        <w:pStyle w:val="FirstParagraph"/>
      </w:pPr>
      <w:r>
        <w:t>This value is tracked as a latched maximum over the transient because maximum local oxidation is a limiting local condition: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EB6535D"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723C1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hot,max</m:t>
                    </m:r>
                  </m:sub>
                </m:sSub>
                <m:d>
                  <m:dPr>
                    <m:ctrlPr>
                      <w:rPr>
                        <w:rFonts w:ascii="Cambria Math" w:hAnsi="Cambria Math"/>
                      </w:rPr>
                    </m:ctrlPr>
                  </m:dPr>
                  <m:e>
                    <m:r>
                      <w:rPr>
                        <w:rFonts w:ascii="Cambria Math" w:hAnsi="Cambria Math"/>
                      </w:rPr>
                      <m:t>t</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τ</m:t>
                    </m:r>
                    <m:r>
                      <m:rPr>
                        <m:sty m:val="p"/>
                      </m:rPr>
                      <w:rPr>
                        <w:rFonts w:ascii="Cambria Math" w:hAnsi="Cambria Math"/>
                      </w:rPr>
                      <m:t>≤</m:t>
                    </m:r>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τ</m:t>
                        </m:r>
                      </m:e>
                    </m:d>
                  </m:e>
                </m:d>
              </m:oMath>
            </m:oMathPara>
          </w:p>
        </w:tc>
        <w:tc>
          <w:tcPr>
            <w:tcW w:w="1300" w:type="dxa"/>
            <w:tcBorders>
              <w:bottom w:val="nil"/>
            </w:tcBorders>
            <w:vAlign w:val="center"/>
          </w:tcPr>
          <w:p w14:paraId="5777EC6F" w14:textId="77777777" w:rsidR="001F0D14" w:rsidRDefault="001F0D14" w:rsidP="00104431">
            <w:pPr>
              <w:spacing w:after="0"/>
              <w:jc w:val="right"/>
            </w:pPr>
            <w:r>
              <w:rPr>
                <w:rFonts w:ascii="Times New Roman" w:hAnsi="Times New Roman"/>
                <w:sz w:val="22"/>
              </w:rPr>
              <w:t>(4.7-17)</w:t>
            </w:r>
          </w:p>
        </w:tc>
      </w:tr>
    </w:tbl>
    <w:p w14:paraId="23A8E5FD" w14:textId="77777777" w:rsidR="001F0D14" w:rsidRDefault="001F0D14" w:rsidP="001F0D14">
      <w:pPr>
        <w:pStyle w:val="FirstParagraph"/>
      </w:pPr>
      <w:r>
        <w:t>The hot-pin result should not be used by itself to estimate core-wide oxidation or hydrogen generation. Applying the hot-pin temperature to every rod would implicitly assume the entire core is at the limiting local peaking condition and would generally overstate population-integrated oxidation.</w:t>
      </w:r>
    </w:p>
    <w:p w14:paraId="218BCE2A" w14:textId="77777777" w:rsidR="001F0D14" w:rsidRDefault="001F0D14" w:rsidP="001F0D14">
      <w:pPr>
        <w:pStyle w:val="Heading2"/>
      </w:pPr>
      <w:bookmarkStart w:id="44" w:name="_Toc231232889"/>
      <w:r>
        <w:t>4.7.6 Mean Oxidizing Rod Oxidation</w:t>
      </w:r>
      <w:bookmarkEnd w:id="44"/>
    </w:p>
    <w:p w14:paraId="0B70DE07" w14:textId="77777777" w:rsidR="001F0D14" w:rsidRDefault="001F0D14" w:rsidP="001F0D14">
      <w:pPr>
        <w:pStyle w:val="FirstParagraph"/>
      </w:pPr>
      <w:r>
        <w:t>For core-wide hydrogen generation and severe-event source-term escalation, FLARE uses the mean oxidizing rod defined in Section 4.6. This rod state represents the conditional mean temperature of the portion of the rod population above the oxidation threshold. Its oxide weight gain is advanced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7F1C6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40271F0"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e>
                            </m:d>
                          </m:e>
                          <m:sup>
                            <m:r>
                              <w:rPr>
                                <w:rFonts w:ascii="Cambria Math" w:hAnsi="Cambria Math"/>
                              </w:rPr>
                              <m:t>2</m:t>
                            </m:r>
                          </m:sup>
                        </m:sSup>
                        <m:r>
                          <m:rPr>
                            <m:sty m:val="p"/>
                          </m:rPr>
                          <w:rPr>
                            <w:rFonts w:ascii="Cambria Math" w:hAnsi="Cambria Math"/>
                          </w:rPr>
                          <m:t>+</m:t>
                        </m:r>
                        <m:r>
                          <w:rPr>
                            <w:rFonts w:ascii="Cambria Math" w:hAnsi="Cambria Math"/>
                          </w:rPr>
                          <m:t>2</m:t>
                        </m:r>
                        <m:sSub>
                          <m:sSubPr>
                            <m:ctrlPr>
                              <w:rPr>
                                <w:rFonts w:ascii="Cambria Math" w:hAnsi="Cambria Math"/>
                              </w:rPr>
                            </m:ctrlPr>
                          </m:sSubPr>
                          <m:e>
                            <m:r>
                              <w:rPr>
                                <w:rFonts w:ascii="Cambria Math" w:hAnsi="Cambria Math"/>
                              </w:rPr>
                              <m:t>K</m:t>
                            </m:r>
                          </m:e>
                          <m:sub>
                            <m:r>
                              <m:rPr>
                                <m:sty m:val="p"/>
                              </m:rPr>
                              <w:rPr>
                                <w:rFonts w:ascii="Cambria Math" w:hAnsi="Cambria Math"/>
                              </w:rPr>
                              <m:t>eff</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T</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e>
                        </m:d>
                        <m:r>
                          <w:rPr>
                            <w:rFonts w:ascii="Cambria Math" w:hAnsi="Cambria Math"/>
                          </w:rPr>
                          <m:t>Δt</m:t>
                        </m:r>
                      </m:e>
                    </m:d>
                  </m:e>
                  <m:sup>
                    <m:r>
                      <w:rPr>
                        <w:rFonts w:ascii="Cambria Math" w:hAnsi="Cambria Math"/>
                      </w:rPr>
                      <m:t>1</m:t>
                    </m:r>
                    <m:r>
                      <m:rPr>
                        <m:sty m:val="p"/>
                      </m:rPr>
                      <w:rPr>
                        <w:rFonts w:ascii="Cambria Math" w:hAnsi="Cambria Math"/>
                      </w:rPr>
                      <m:t>/</m:t>
                    </m:r>
                    <m:r>
                      <w:rPr>
                        <w:rFonts w:ascii="Cambria Math" w:hAnsi="Cambria Math"/>
                      </w:rPr>
                      <m:t>2</m:t>
                    </m:r>
                  </m:sup>
                </m:sSup>
              </m:oMath>
            </m:oMathPara>
          </w:p>
        </w:tc>
        <w:tc>
          <w:tcPr>
            <w:tcW w:w="1300" w:type="dxa"/>
            <w:tcBorders>
              <w:bottom w:val="nil"/>
            </w:tcBorders>
            <w:vAlign w:val="center"/>
          </w:tcPr>
          <w:p w14:paraId="6CD9AAEC" w14:textId="77777777" w:rsidR="001F0D14" w:rsidRDefault="001F0D14" w:rsidP="00104431">
            <w:pPr>
              <w:spacing w:after="0"/>
              <w:jc w:val="right"/>
            </w:pPr>
            <w:r>
              <w:rPr>
                <w:rFonts w:ascii="Times New Roman" w:hAnsi="Times New Roman"/>
                <w:sz w:val="22"/>
              </w:rPr>
              <w:t>(4.7-18)</w:t>
            </w:r>
          </w:p>
        </w:tc>
      </w:tr>
    </w:tbl>
    <w:p w14:paraId="2871F1F0" w14:textId="77777777" w:rsidR="001F0D14" w:rsidRDefault="001F0D14" w:rsidP="001F0D14">
      <w:pPr>
        <w:pStyle w:val="FirstParagraph"/>
      </w:pPr>
      <w:r>
        <w:t>and its corresponding ECR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FB5D12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65B5F87"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m:rPr>
                        <m:sty m:val="p"/>
                      </m:rPr>
                      <w:rPr>
                        <w:rFonts w:ascii="Cambria Math" w:hAnsi="Cambria Math"/>
                      </w:rPr>
                      <m:t>ECR</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r>
                  <w:rPr>
                    <w:rFonts w:ascii="Cambria Math" w:hAnsi="Cambria Math"/>
                  </w:rPr>
                  <m:t>100</m:t>
                </m:r>
                <m:f>
                  <m:fPr>
                    <m:ctrlPr>
                      <w:rPr>
                        <w:rFonts w:ascii="Cambria Math" w:hAnsi="Cambria Math"/>
                      </w:rPr>
                    </m:ctrlPr>
                  </m:fPr>
                  <m:num>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num>
                  <m:den>
                    <m:sSub>
                      <m:sSubPr>
                        <m:ctrlPr>
                          <w:rPr>
                            <w:rFonts w:ascii="Cambria Math" w:hAnsi="Cambria Math"/>
                          </w:rPr>
                        </m:ctrlPr>
                      </m:sSubPr>
                      <m:e>
                        <m:r>
                          <w:rPr>
                            <w:rFonts w:ascii="Cambria Math" w:hAnsi="Cambria Math"/>
                          </w:rPr>
                          <m:t>ρ</m:t>
                        </m:r>
                      </m:e>
                      <m:sub>
                        <m:r>
                          <m:rPr>
                            <m:sty m:val="p"/>
                          </m:rPr>
                          <w:rPr>
                            <w:rFonts w:ascii="Cambria Math" w:hAnsi="Cambria Math"/>
                          </w:rPr>
                          <m:t>Zr</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den>
                </m:f>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6A6C81A0" w14:textId="77777777" w:rsidR="001F0D14" w:rsidRDefault="001F0D14" w:rsidP="00104431">
            <w:pPr>
              <w:spacing w:after="0"/>
              <w:jc w:val="right"/>
            </w:pPr>
            <w:r>
              <w:rPr>
                <w:rFonts w:ascii="Times New Roman" w:hAnsi="Times New Roman"/>
                <w:sz w:val="22"/>
              </w:rPr>
              <w:t>(4.7-19)</w:t>
            </w:r>
          </w:p>
        </w:tc>
      </w:tr>
    </w:tbl>
    <w:p w14:paraId="5D26CDCA" w14:textId="77777777" w:rsidR="001F0D14" w:rsidRDefault="001F0D14" w:rsidP="001F0D14">
      <w:pPr>
        <w:pStyle w:val="FirstParagraph"/>
      </w:pPr>
      <w:r>
        <w:t>The severe-event escalation model uses the maximum mean oxidizing rod ECR expressed as a fraction,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266EA05"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4B1B6CB"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E</m:t>
                    </m:r>
                  </m:e>
                  <m:sub>
                    <m:r>
                      <m:rPr>
                        <m:sty m:val="p"/>
                      </m:rPr>
                      <w:rPr>
                        <w:rFonts w:ascii="Cambria Math" w:hAnsi="Cambria Math"/>
                      </w:rPr>
                      <m:t>mean</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m:rPr>
                                <m:sty m:val="p"/>
                              </m:rPr>
                              <w:rPr>
                                <w:rFonts w:ascii="Cambria Math" w:hAnsi="Cambria Math"/>
                              </w:rPr>
                              <m:t>ECR</m:t>
                            </m:r>
                          </m:e>
                          <m:sub>
                            <m:r>
                              <m:rPr>
                                <m:sty m:val="p"/>
                              </m:rPr>
                              <w:rPr>
                                <w:rFonts w:ascii="Cambria Math" w:hAnsi="Cambria Math"/>
                              </w:rPr>
                              <m:t>mean ox,%</m:t>
                            </m:r>
                          </m:sub>
                        </m:sSub>
                        <m:d>
                          <m:dPr>
                            <m:ctrlPr>
                              <w:rPr>
                                <w:rFonts w:ascii="Cambria Math" w:hAnsi="Cambria Math"/>
                              </w:rPr>
                            </m:ctrlPr>
                          </m:dPr>
                          <m:e>
                            <m:r>
                              <w:rPr>
                                <w:rFonts w:ascii="Cambria Math" w:hAnsi="Cambria Math"/>
                              </w:rPr>
                              <m:t>t</m:t>
                            </m:r>
                          </m:e>
                        </m:d>
                      </m:num>
                      <m:den>
                        <m:r>
                          <w:rPr>
                            <w:rFonts w:ascii="Cambria Math" w:hAnsi="Cambria Math"/>
                          </w:rPr>
                          <m:t>100</m:t>
                        </m:r>
                      </m:den>
                    </m:f>
                  </m:e>
                </m:d>
              </m:oMath>
            </m:oMathPara>
          </w:p>
        </w:tc>
        <w:tc>
          <w:tcPr>
            <w:tcW w:w="1300" w:type="dxa"/>
            <w:tcBorders>
              <w:bottom w:val="nil"/>
            </w:tcBorders>
            <w:vAlign w:val="center"/>
          </w:tcPr>
          <w:p w14:paraId="20BE5F9E" w14:textId="77777777" w:rsidR="001F0D14" w:rsidRDefault="001F0D14" w:rsidP="00104431">
            <w:pPr>
              <w:spacing w:after="0"/>
              <w:jc w:val="right"/>
            </w:pPr>
            <w:r>
              <w:rPr>
                <w:rFonts w:ascii="Times New Roman" w:hAnsi="Times New Roman"/>
                <w:sz w:val="22"/>
              </w:rPr>
              <w:t>(4.7-20)</w:t>
            </w:r>
          </w:p>
        </w:tc>
      </w:tr>
    </w:tbl>
    <w:p w14:paraId="012C8F72" w14:textId="77777777" w:rsidR="001F0D14" w:rsidRDefault="001F0D14" w:rsidP="001F0D14">
      <w:pPr>
        <w:pStyle w:val="FirstParagraph"/>
      </w:pPr>
      <w:r>
        <w:t>This choice separates the local limiting-rod metric from the population-representative oxidation metric. The hot pin remains the appropriate rod state for maximum local oxidation, while the mean oxidizing rod is more appropriate for scaling quantities tied to the oxidizing subset of the core.</w:t>
      </w:r>
    </w:p>
    <w:p w14:paraId="2587C2C9" w14:textId="77777777" w:rsidR="001F0D14" w:rsidRDefault="001F0D14" w:rsidP="001F0D14">
      <w:pPr>
        <w:pStyle w:val="Heading2"/>
      </w:pPr>
      <w:bookmarkStart w:id="45" w:name="_Toc231232890"/>
      <w:r>
        <w:lastRenderedPageBreak/>
        <w:t>4.7.7 Core-Wide Hydrogen Generation</w:t>
      </w:r>
      <w:bookmarkEnd w:id="45"/>
    </w:p>
    <w:p w14:paraId="64485F9A" w14:textId="77777777" w:rsidR="001F0D14" w:rsidRDefault="001F0D14" w:rsidP="001F0D14">
      <w:pPr>
        <w:pStyle w:val="FirstParagraph"/>
      </w:pPr>
      <w:r>
        <w:t>The hydrogen source is calculated from the incremental oxygen uptake of the oxidizing rod population. For a representative oxidizing rod, the incremental oxygen uptake over a time step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044C3F1" w14:textId="77777777" w:rsidTr="001F0D14">
        <w:trPr>
          <w:cnfStyle w:val="100000000000" w:firstRow="1" w:lastRow="0" w:firstColumn="0" w:lastColumn="0" w:oddVBand="0" w:evenVBand="0" w:oddHBand="0" w:evenHBand="0" w:firstRowFirstColumn="0" w:firstRowLastColumn="0" w:lastRowFirstColumn="0" w:lastRowLastColumn="0"/>
          <w:trHeight w:val="360"/>
          <w:jc w:val="center"/>
        </w:trPr>
        <w:tc>
          <w:tcPr>
            <w:tcW w:w="7900" w:type="dxa"/>
            <w:tcBorders>
              <w:bottom w:val="nil"/>
            </w:tcBorders>
            <w:vAlign w:val="center"/>
          </w:tcPr>
          <w:p w14:paraId="47888055"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sup>
                </m:sSubSup>
              </m:oMath>
            </m:oMathPara>
          </w:p>
        </w:tc>
        <w:tc>
          <w:tcPr>
            <w:tcW w:w="1300" w:type="dxa"/>
            <w:tcBorders>
              <w:bottom w:val="nil"/>
            </w:tcBorders>
            <w:vAlign w:val="center"/>
          </w:tcPr>
          <w:p w14:paraId="5AB015E4" w14:textId="77777777" w:rsidR="001F0D14" w:rsidRDefault="001F0D14" w:rsidP="00104431">
            <w:pPr>
              <w:spacing w:after="0"/>
              <w:jc w:val="right"/>
            </w:pPr>
            <w:r>
              <w:rPr>
                <w:rFonts w:ascii="Times New Roman" w:hAnsi="Times New Roman"/>
                <w:sz w:val="22"/>
              </w:rPr>
              <w:t>(4.7-21)</w:t>
            </w:r>
          </w:p>
        </w:tc>
      </w:tr>
    </w:tbl>
    <w:p w14:paraId="591DAE8B" w14:textId="77777777" w:rsidR="001F0D14" w:rsidRDefault="001F0D14" w:rsidP="001F0D14">
      <w:pPr>
        <w:pStyle w:val="FirstParagraph"/>
      </w:pPr>
      <w:r>
        <w:t>The effective oxidizing cladding surface area per rod is approximated as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FBB3D6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2BDFAF6"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m:rPr>
                    <m:sty m:val="p"/>
                  </m:rPr>
                  <w:rPr>
                    <w:rFonts w:ascii="Cambria Math" w:hAnsi="Cambria Math"/>
                  </w:rPr>
                  <m:t>=</m:t>
                </m:r>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2D51A1DC" w14:textId="77777777" w:rsidR="001F0D14" w:rsidRDefault="001F0D14" w:rsidP="00104431">
            <w:pPr>
              <w:spacing w:after="0"/>
              <w:jc w:val="right"/>
            </w:pPr>
            <w:r>
              <w:rPr>
                <w:rFonts w:ascii="Times New Roman" w:hAnsi="Times New Roman"/>
                <w:sz w:val="22"/>
              </w:rPr>
              <w:t>(4.7-22)</w:t>
            </w:r>
          </w:p>
        </w:tc>
      </w:tr>
    </w:tbl>
    <w:p w14:paraId="3D2E7E84" w14:textId="77777777" w:rsidR="001F0D14" w:rsidRDefault="001F0D14" w:rsidP="001F0D14">
      <w:pPr>
        <w:pStyle w:val="FirstParagraph"/>
      </w:pPr>
      <w:r>
        <w:t xml:space="preserve">where </w:t>
      </w:r>
      <m:oMath>
        <m:sSub>
          <m:sSubPr>
            <m:ctrlPr>
              <w:rPr>
                <w:rFonts w:ascii="Cambria Math" w:hAnsi="Cambria Math"/>
              </w:rPr>
            </m:ctrlPr>
          </m:sSubPr>
          <m:e>
            <m:r>
              <w:rPr>
                <w:rFonts w:ascii="Cambria Math" w:hAnsi="Cambria Math"/>
              </w:rPr>
              <m:t>d</m:t>
            </m:r>
          </m:e>
          <m:sub>
            <m:r>
              <m:rPr>
                <m:sty m:val="p"/>
              </m:rPr>
              <w:rPr>
                <w:rFonts w:ascii="Cambria Math" w:hAnsi="Cambria Math"/>
              </w:rPr>
              <m:t>pin</m:t>
            </m:r>
          </m:sub>
        </m:sSub>
      </m:oMath>
      <w:r>
        <w:t xml:space="preserve"> is the cladding outside diameter used in the reduced-order rod model. If </w:t>
      </w:r>
      <m:oMath>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oMath>
      <w:r>
        <w:t xml:space="preserve"> is the oxidizing fraction from the statistical rod-state model, the number of oxidizing rods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50CE34A"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B8645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N</m:t>
                    </m:r>
                  </m:e>
                  <m:sub>
                    <m:r>
                      <m:rPr>
                        <m:sty m:val="p"/>
                      </m:rPr>
                      <w:rPr>
                        <w:rFonts w:ascii="Cambria Math" w:hAnsi="Cambria Math"/>
                      </w:rPr>
                      <m:t>rod</m:t>
                    </m:r>
                  </m:sub>
                </m:sSub>
              </m:oMath>
            </m:oMathPara>
          </w:p>
        </w:tc>
        <w:tc>
          <w:tcPr>
            <w:tcW w:w="1300" w:type="dxa"/>
            <w:tcBorders>
              <w:bottom w:val="nil"/>
            </w:tcBorders>
            <w:vAlign w:val="center"/>
          </w:tcPr>
          <w:p w14:paraId="2BEE6E5E" w14:textId="77777777" w:rsidR="001F0D14" w:rsidRDefault="001F0D14" w:rsidP="00104431">
            <w:pPr>
              <w:spacing w:after="0"/>
              <w:jc w:val="right"/>
            </w:pPr>
            <w:r>
              <w:rPr>
                <w:rFonts w:ascii="Times New Roman" w:hAnsi="Times New Roman"/>
                <w:sz w:val="22"/>
              </w:rPr>
              <w:t>(4.7-23)</w:t>
            </w:r>
          </w:p>
        </w:tc>
      </w:tr>
    </w:tbl>
    <w:p w14:paraId="0A78713E" w14:textId="77777777" w:rsidR="001F0D14" w:rsidRDefault="001F0D14" w:rsidP="001F0D14">
      <w:pPr>
        <w:pStyle w:val="FirstParagraph"/>
      </w:pPr>
      <w:r>
        <w:t>The incremental hydrogen mass generated during the time step is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47367BF"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9D059B" w14:textId="77777777" w:rsidR="001F0D14" w:rsidRDefault="001F0D14" w:rsidP="00104431">
            <w:pPr>
              <w:pStyle w:val="BodyText"/>
              <w:spacing w:before="0" w:after="0"/>
              <w:jc w:val="center"/>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N</m:t>
                    </m:r>
                  </m:e>
                  <m:sub>
                    <m:r>
                      <m:rPr>
                        <m:sty m:val="p"/>
                      </m:rPr>
                      <w:rPr>
                        <w:rFonts w:ascii="Cambria Math" w:hAnsi="Cambria Math"/>
                      </w:rPr>
                      <m:t>ox</m:t>
                    </m:r>
                  </m:sub>
                  <m:sup>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sup>
                </m:sSubSup>
                <m:sSub>
                  <m:sSubPr>
                    <m:ctrlPr>
                      <w:rPr>
                        <w:rFonts w:ascii="Cambria Math" w:hAnsi="Cambria Math"/>
                      </w:rPr>
                    </m:ctrlPr>
                  </m:sSubPr>
                  <m:e>
                    <m:r>
                      <w:rPr>
                        <w:rFonts w:ascii="Cambria Math" w:hAnsi="Cambria Math"/>
                      </w:rPr>
                      <m:t>A</m:t>
                    </m:r>
                  </m:e>
                  <m:sub>
                    <m:r>
                      <m:rPr>
                        <m:sty m:val="p"/>
                      </m:rPr>
                      <w:rPr>
                        <w:rFonts w:ascii="Cambria Math" w:hAnsi="Cambria Math"/>
                      </w:rPr>
                      <m:t>clad</m:t>
                    </m:r>
                  </m:sub>
                </m:sSub>
                <m:r>
                  <w:rPr>
                    <w:rFonts w:ascii="Cambria Math" w:hAnsi="Cambria Math"/>
                  </w:rPr>
                  <m:t>Δ</m:t>
                </m:r>
                <m:sSubSup>
                  <m:sSubSupPr>
                    <m:ctrlPr>
                      <w:rPr>
                        <w:rFonts w:ascii="Cambria Math" w:hAnsi="Cambria Math"/>
                      </w:rPr>
                    </m:ctrlPr>
                  </m:sSubSupPr>
                  <m:e>
                    <m:r>
                      <w:rPr>
                        <w:rFonts w:ascii="Cambria Math" w:hAnsi="Cambria Math"/>
                      </w:rPr>
                      <m:t>W</m:t>
                    </m:r>
                  </m:e>
                  <m:sub>
                    <m:r>
                      <m:rPr>
                        <m:sty m:val="p"/>
                      </m:rPr>
                      <w:rPr>
                        <w:rFonts w:ascii="Cambria Math" w:hAnsi="Cambria Math"/>
                      </w:rPr>
                      <m:t>mean ox</m:t>
                    </m:r>
                  </m:sub>
                  <m:sup>
                    <m:r>
                      <w:rPr>
                        <w:rFonts w:ascii="Cambria Math" w:hAnsi="Cambria Math"/>
                      </w:rPr>
                      <m:t>n</m:t>
                    </m:r>
                    <m:r>
                      <m:rPr>
                        <m:sty m:val="p"/>
                      </m:rPr>
                      <w:rPr>
                        <w:rFonts w:ascii="Cambria Math" w:hAnsi="Cambria Math"/>
                      </w:rPr>
                      <m:t>+</m:t>
                    </m:r>
                    <m:r>
                      <w:rPr>
                        <w:rFonts w:ascii="Cambria Math" w:hAnsi="Cambria Math"/>
                      </w:rPr>
                      <m:t>1</m:t>
                    </m:r>
                  </m:sup>
                </m:sSubSup>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27ECD9FC" w14:textId="77777777" w:rsidR="001F0D14" w:rsidRDefault="001F0D14" w:rsidP="00104431">
            <w:pPr>
              <w:spacing w:after="0"/>
              <w:jc w:val="right"/>
            </w:pPr>
            <w:r>
              <w:rPr>
                <w:rFonts w:ascii="Times New Roman" w:hAnsi="Times New Roman"/>
                <w:sz w:val="22"/>
              </w:rPr>
              <w:t>(4.7-24)</w:t>
            </w:r>
          </w:p>
        </w:tc>
      </w:tr>
    </w:tbl>
    <w:p w14:paraId="1A5FE401" w14:textId="77777777" w:rsidR="001F0D14" w:rsidRDefault="001F0D14" w:rsidP="001F0D14">
      <w:pPr>
        <w:pStyle w:val="FirstParagraph"/>
      </w:pPr>
      <w:r>
        <w:t>and the cumulative hydrogen mass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E431047"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6BBAB721" w14:textId="77777777" w:rsidR="001F0D14" w:rsidRDefault="00000000" w:rsidP="00104431">
            <w:pPr>
              <w:pStyle w:val="BodyText"/>
              <w:spacing w:before="0" w:after="0"/>
              <w:jc w:val="center"/>
            </w:pPr>
            <m:oMathPara>
              <m:oMathParaPr>
                <m:jc m:val="center"/>
              </m:oMathParaPr>
              <m:oMath>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sup>
                </m:sSubSup>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up>
                    <m:r>
                      <w:rPr>
                        <w:rFonts w:ascii="Cambria Math" w:hAnsi="Cambria Math"/>
                      </w:rPr>
                      <m:t>n</m:t>
                    </m:r>
                    <m:r>
                      <m:rPr>
                        <m:sty m:val="p"/>
                      </m:rPr>
                      <w:rPr>
                        <w:rFonts w:ascii="Cambria Math" w:hAnsi="Cambria Math"/>
                      </w:rPr>
                      <m:t>+</m:t>
                    </m:r>
                    <m:r>
                      <w:rPr>
                        <w:rFonts w:ascii="Cambria Math" w:hAnsi="Cambria Math"/>
                      </w:rPr>
                      <m:t>1</m:t>
                    </m:r>
                  </m:sup>
                </m:sSubSup>
              </m:oMath>
            </m:oMathPara>
          </w:p>
        </w:tc>
        <w:tc>
          <w:tcPr>
            <w:tcW w:w="1300" w:type="dxa"/>
            <w:tcBorders>
              <w:bottom w:val="nil"/>
            </w:tcBorders>
            <w:vAlign w:val="center"/>
          </w:tcPr>
          <w:p w14:paraId="751052BD" w14:textId="77777777" w:rsidR="001F0D14" w:rsidRDefault="001F0D14" w:rsidP="00104431">
            <w:pPr>
              <w:spacing w:after="0"/>
              <w:jc w:val="right"/>
            </w:pPr>
            <w:r>
              <w:rPr>
                <w:rFonts w:ascii="Times New Roman" w:hAnsi="Times New Roman"/>
                <w:sz w:val="22"/>
              </w:rPr>
              <w:t>(4.7-25)</w:t>
            </w:r>
          </w:p>
        </w:tc>
      </w:tr>
    </w:tbl>
    <w:p w14:paraId="3DD431C2" w14:textId="77777777" w:rsidR="001F0D14" w:rsidRDefault="001F0D14" w:rsidP="001F0D14">
      <w:pPr>
        <w:pStyle w:val="FirstParagraph"/>
      </w:pPr>
      <w:r>
        <w:t>Equivalently, in differential form,</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319AC45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1085C1A3"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ox</m:t>
                    </m:r>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A</m:t>
                    </m:r>
                  </m:e>
                  <m:sub>
                    <m:r>
                      <m:rPr>
                        <m:sty m:val="p"/>
                      </m:rPr>
                      <w:rPr>
                        <w:rFonts w:ascii="Cambria Math" w:hAnsi="Cambria Math"/>
                      </w:rPr>
                      <m:t>clad</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W</m:t>
                        </m:r>
                      </m:e>
                      <m:sub>
                        <m:r>
                          <m:rPr>
                            <m:sty m:val="p"/>
                          </m:rPr>
                          <w:rPr>
                            <w:rFonts w:ascii="Cambria Math" w:hAnsi="Cambria Math"/>
                          </w:rPr>
                          <m:t>mean ox</m:t>
                        </m:r>
                      </m:sub>
                    </m:sSub>
                  </m:num>
                  <m:den>
                    <m:r>
                      <w:rPr>
                        <w:rFonts w:ascii="Cambria Math" w:hAnsi="Cambria Math"/>
                      </w:rPr>
                      <m:t>dt</m:t>
                    </m:r>
                  </m:den>
                </m:f>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num>
                  <m:den>
                    <m:sSub>
                      <m:sSubPr>
                        <m:ctrlPr>
                          <w:rPr>
                            <w:rFonts w:ascii="Cambria Math" w:hAnsi="Cambria Math"/>
                          </w:rPr>
                        </m:ctrlPr>
                      </m:sSubPr>
                      <m:e>
                        <m:r>
                          <w:rPr>
                            <w:rFonts w:ascii="Cambria Math" w:hAnsi="Cambria Math"/>
                          </w:rPr>
                          <m:t>M</m:t>
                        </m:r>
                      </m:e>
                      <m:sub>
                        <m:r>
                          <w:rPr>
                            <w:rFonts w:ascii="Cambria Math" w:hAnsi="Cambria Math"/>
                          </w:rPr>
                          <m:t>O</m:t>
                        </m:r>
                      </m:sub>
                    </m:sSub>
                  </m:den>
                </m:f>
              </m:oMath>
            </m:oMathPara>
          </w:p>
        </w:tc>
        <w:tc>
          <w:tcPr>
            <w:tcW w:w="1300" w:type="dxa"/>
            <w:tcBorders>
              <w:bottom w:val="nil"/>
            </w:tcBorders>
            <w:vAlign w:val="center"/>
          </w:tcPr>
          <w:p w14:paraId="76623BBD" w14:textId="77777777" w:rsidR="001F0D14" w:rsidRDefault="001F0D14" w:rsidP="00104431">
            <w:pPr>
              <w:spacing w:after="0"/>
              <w:jc w:val="right"/>
            </w:pPr>
            <w:r>
              <w:rPr>
                <w:rFonts w:ascii="Times New Roman" w:hAnsi="Times New Roman"/>
                <w:sz w:val="22"/>
              </w:rPr>
              <w:t>(4.7-26)</w:t>
            </w:r>
          </w:p>
        </w:tc>
      </w:tr>
    </w:tbl>
    <w:p w14:paraId="196AE8B1" w14:textId="77777777" w:rsidR="001F0D14" w:rsidRDefault="001F0D14" w:rsidP="001F0D14">
      <w:pPr>
        <w:pStyle w:val="FirstParagraph"/>
      </w:pPr>
      <w:r>
        <w:t>The hydrogen source passed to FLARECON is based on the incremental or time-rate form of this expression, depending on the output coupling interval. FLARECON then treats hydrogen as a noncondensable gas species in the containment gas mixture.</w:t>
      </w:r>
    </w:p>
    <w:p w14:paraId="356D92C9" w14:textId="77777777" w:rsidR="001F0D14" w:rsidRDefault="001F0D14" w:rsidP="001F0D14">
      <w:pPr>
        <w:pStyle w:val="Heading2"/>
      </w:pPr>
      <w:bookmarkStart w:id="46" w:name="_Toc231232891"/>
      <w:r>
        <w:t>4.7.8 Relationship to 10 CFR 50.46 Figures-of-Merit</w:t>
      </w:r>
      <w:bookmarkEnd w:id="46"/>
    </w:p>
    <w:p w14:paraId="47A5039C" w14:textId="77777777" w:rsidR="001F0D14" w:rsidRDefault="001F0D14" w:rsidP="001F0D14">
      <w:pPr>
        <w:pStyle w:val="FirstParagraph"/>
      </w:pPr>
      <w:r>
        <w:t>The oxidation model supports two distinct 10 CFR 50.46-related figures-of-merit. The maximum-local-oxidation metric is based on the hot pin,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2F14BEC"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2088424D" w14:textId="77777777" w:rsidR="001F0D14" w:rsidRDefault="001F0D14" w:rsidP="00104431">
            <w:pPr>
              <w:pStyle w:val="BodyText"/>
              <w:spacing w:before="0" w:after="0"/>
              <w:jc w:val="center"/>
            </w:pPr>
            <m:oMathPara>
              <m:oMathParaPr>
                <m:jc m:val="center"/>
              </m:oMathParaPr>
              <m:oMath>
                <m:r>
                  <m:rPr>
                    <m:sty m:val="p"/>
                  </m:rPr>
                  <w:rPr>
                    <w:rFonts w:ascii="Cambria Math" w:hAnsi="Cambria Math"/>
                  </w:rPr>
                  <m:t>MLO=</m:t>
                </m:r>
                <m:limLow>
                  <m:limLowPr>
                    <m:ctrlPr>
                      <w:rPr>
                        <w:rFonts w:ascii="Cambria Math" w:hAnsi="Cambria Math"/>
                      </w:rPr>
                    </m:ctrlPr>
                  </m:limLowPr>
                  <m:e>
                    <m:r>
                      <m:rPr>
                        <m:sty m:val="p"/>
                      </m:rPr>
                      <w:rPr>
                        <w:rFonts w:ascii="Cambria Math" w:hAnsi="Cambria Math"/>
                      </w:rPr>
                      <m:t>max</m:t>
                    </m:r>
                  </m:e>
                  <m:lim>
                    <m:r>
                      <w:rPr>
                        <w:rFonts w:ascii="Cambria Math" w:hAnsi="Cambria Math"/>
                      </w:rPr>
                      <m:t>t</m:t>
                    </m:r>
                  </m:lim>
                </m:limLow>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ECR</m:t>
                        </m:r>
                      </m:e>
                      <m:sub>
                        <m:r>
                          <m:rPr>
                            <m:sty m:val="p"/>
                          </m:rPr>
                          <w:rPr>
                            <w:rFonts w:ascii="Cambria Math" w:hAnsi="Cambria Math"/>
                          </w:rPr>
                          <m:t>hot,%</m:t>
                        </m:r>
                      </m:sub>
                    </m:sSub>
                    <m:d>
                      <m:dPr>
                        <m:ctrlPr>
                          <w:rPr>
                            <w:rFonts w:ascii="Cambria Math" w:hAnsi="Cambria Math"/>
                          </w:rPr>
                        </m:ctrlPr>
                      </m:dPr>
                      <m:e>
                        <m:r>
                          <w:rPr>
                            <w:rFonts w:ascii="Cambria Math" w:hAnsi="Cambria Math"/>
                          </w:rPr>
                          <m:t>t</m:t>
                        </m:r>
                      </m:e>
                    </m:d>
                  </m:e>
                </m:d>
              </m:oMath>
            </m:oMathPara>
          </w:p>
        </w:tc>
        <w:tc>
          <w:tcPr>
            <w:tcW w:w="1300" w:type="dxa"/>
            <w:tcBorders>
              <w:bottom w:val="nil"/>
            </w:tcBorders>
            <w:vAlign w:val="center"/>
          </w:tcPr>
          <w:p w14:paraId="26645A84" w14:textId="77777777" w:rsidR="001F0D14" w:rsidRDefault="001F0D14" w:rsidP="00104431">
            <w:pPr>
              <w:spacing w:after="0"/>
              <w:jc w:val="right"/>
            </w:pPr>
            <w:r>
              <w:rPr>
                <w:rFonts w:ascii="Times New Roman" w:hAnsi="Times New Roman"/>
                <w:sz w:val="22"/>
              </w:rPr>
              <w:t>(4.7-27)</w:t>
            </w:r>
          </w:p>
        </w:tc>
      </w:tr>
    </w:tbl>
    <w:p w14:paraId="2DFA9200" w14:textId="77777777" w:rsidR="001F0D14" w:rsidRDefault="001F0D14" w:rsidP="001F0D14">
      <w:pPr>
        <w:pStyle w:val="FirstParagraph"/>
      </w:pPr>
      <w:r>
        <w:t>while the core-wide oxidation and hydrogen-generation metric is based on the population-integrated zirconium reaction. A convenient expression for the fraction of total cladding inventory reacted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2D3E7894"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00BFC7D2"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den>
                </m:f>
              </m:oMath>
            </m:oMathPara>
          </w:p>
        </w:tc>
        <w:tc>
          <w:tcPr>
            <w:tcW w:w="1300" w:type="dxa"/>
            <w:tcBorders>
              <w:bottom w:val="nil"/>
            </w:tcBorders>
            <w:vAlign w:val="center"/>
          </w:tcPr>
          <w:p w14:paraId="58617125" w14:textId="77777777" w:rsidR="001F0D14" w:rsidRDefault="001F0D14" w:rsidP="00104431">
            <w:pPr>
              <w:spacing w:after="0"/>
              <w:jc w:val="right"/>
            </w:pPr>
            <w:r>
              <w:rPr>
                <w:rFonts w:ascii="Times New Roman" w:hAnsi="Times New Roman"/>
                <w:sz w:val="22"/>
              </w:rPr>
              <w:t>(4.7-28)</w:t>
            </w:r>
          </w:p>
        </w:tc>
      </w:tr>
    </w:tbl>
    <w:p w14:paraId="50A4866E" w14:textId="77777777" w:rsidR="001F0D14" w:rsidRDefault="001F0D14" w:rsidP="001F0D14">
      <w:pPr>
        <w:pStyle w:val="FirstParagraph"/>
      </w:pPr>
      <w:r>
        <w:t>where</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02AD2D8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52C5FA6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Zr,rxn</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f>
                  <m:fPr>
                    <m:ctrlPr>
                      <w:rPr>
                        <w:rFonts w:ascii="Cambria Math" w:hAnsi="Cambria Math"/>
                      </w:rPr>
                    </m:ctrlPr>
                  </m:fPr>
                  <m:num>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en>
                </m:f>
              </m:oMath>
            </m:oMathPara>
          </w:p>
        </w:tc>
        <w:tc>
          <w:tcPr>
            <w:tcW w:w="1300" w:type="dxa"/>
            <w:tcBorders>
              <w:bottom w:val="nil"/>
            </w:tcBorders>
            <w:vAlign w:val="center"/>
          </w:tcPr>
          <w:p w14:paraId="10255150" w14:textId="77777777" w:rsidR="001F0D14" w:rsidRDefault="001F0D14" w:rsidP="00104431">
            <w:pPr>
              <w:spacing w:after="0"/>
              <w:jc w:val="right"/>
            </w:pPr>
            <w:r>
              <w:rPr>
                <w:rFonts w:ascii="Times New Roman" w:hAnsi="Times New Roman"/>
                <w:sz w:val="22"/>
              </w:rPr>
              <w:t>(4.7-29)</w:t>
            </w:r>
          </w:p>
        </w:tc>
      </w:tr>
    </w:tbl>
    <w:p w14:paraId="48B74D42" w14:textId="77777777" w:rsidR="001F0D14" w:rsidRDefault="001F0D14" w:rsidP="001F0D14">
      <w:pPr>
        <w:pStyle w:val="FirstParagraph"/>
      </w:pPr>
      <w:r>
        <w:t>and</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64119C41"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3B1BBAF1"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M</m:t>
                    </m:r>
                  </m:e>
                  <m:sub>
                    <m:r>
                      <m:rPr>
                        <m:sty m:val="p"/>
                      </m:rPr>
                      <w:rPr>
                        <w:rFonts w:ascii="Cambria Math" w:hAnsi="Cambria Math"/>
                      </w:rPr>
                      <m:t>Zr,total</m:t>
                    </m:r>
                  </m:sub>
                </m:sSub>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oMath>
            </m:oMathPara>
          </w:p>
        </w:tc>
        <w:tc>
          <w:tcPr>
            <w:tcW w:w="1300" w:type="dxa"/>
            <w:tcBorders>
              <w:bottom w:val="nil"/>
            </w:tcBorders>
            <w:vAlign w:val="center"/>
          </w:tcPr>
          <w:p w14:paraId="31DF717D" w14:textId="77777777" w:rsidR="001F0D14" w:rsidRDefault="001F0D14" w:rsidP="00104431">
            <w:pPr>
              <w:spacing w:after="0"/>
              <w:jc w:val="right"/>
            </w:pPr>
            <w:r>
              <w:rPr>
                <w:rFonts w:ascii="Times New Roman" w:hAnsi="Times New Roman"/>
                <w:sz w:val="22"/>
              </w:rPr>
              <w:t>(4.7-30)</w:t>
            </w:r>
          </w:p>
        </w:tc>
      </w:tr>
    </w:tbl>
    <w:p w14:paraId="12A44D45" w14:textId="77777777" w:rsidR="001F0D14" w:rsidRDefault="001F0D14" w:rsidP="001F0D14">
      <w:pPr>
        <w:pStyle w:val="FirstParagraph"/>
      </w:pPr>
      <w:r>
        <w:t>for a thin-wall cladding approximation. Thus,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40BE376E"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43519DF"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f</m:t>
                    </m:r>
                  </m:e>
                  <m:sub>
                    <m:r>
                      <m:rPr>
                        <m:sty m:val="p"/>
                      </m:rPr>
                      <w:rPr>
                        <w:rFonts w:ascii="Cambria Math" w:hAnsi="Cambria Math"/>
                      </w:rPr>
                      <m:t>CWO</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r>
                          <w:rPr>
                            <w:rFonts w:ascii="Cambria Math" w:hAnsi="Cambria Math"/>
                          </w:rPr>
                          <m:t>t</m:t>
                        </m:r>
                      </m:e>
                    </m:d>
                    <m:sSub>
                      <m:sSubPr>
                        <m:ctrlPr>
                          <w:rPr>
                            <w:rFonts w:ascii="Cambria Math" w:hAnsi="Cambria Math"/>
                          </w:rPr>
                        </m:ctrlPr>
                      </m:sSubPr>
                      <m:e>
                        <m:r>
                          <w:rPr>
                            <w:rFonts w:ascii="Cambria Math" w:hAnsi="Cambria Math"/>
                          </w:rPr>
                          <m:t>M</m:t>
                        </m:r>
                      </m:e>
                      <m:sub>
                        <m:r>
                          <m:rPr>
                            <m:sty m:val="p"/>
                          </m:rPr>
                          <w:rPr>
                            <w:rFonts w:ascii="Cambria Math" w:hAnsi="Cambria Math"/>
                          </w:rPr>
                          <m:t>Zr</m:t>
                        </m:r>
                      </m:sub>
                    </m:sSub>
                  </m:num>
                  <m:den>
                    <m:r>
                      <w:rPr>
                        <w:rFonts w:ascii="Cambria Math" w:hAnsi="Cambria Math"/>
                      </w:rPr>
                      <m:t>2</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sSub>
                      <m:sSubPr>
                        <m:ctrlPr>
                          <w:rPr>
                            <w:rFonts w:ascii="Cambria Math" w:hAnsi="Cambria Math"/>
                          </w:rPr>
                        </m:ctrlPr>
                      </m:sSubPr>
                      <m:e>
                        <m:r>
                          <w:rPr>
                            <w:rFonts w:ascii="Cambria Math" w:hAnsi="Cambria Math"/>
                          </w:rPr>
                          <m:t>N</m:t>
                        </m:r>
                      </m:e>
                      <m:sub>
                        <m:r>
                          <m:rPr>
                            <m:sty m:val="p"/>
                          </m:rPr>
                          <w:rPr>
                            <w:rFonts w:ascii="Cambria Math" w:hAnsi="Cambria Math"/>
                          </w:rPr>
                          <m:t>rod</m:t>
                        </m:r>
                      </m:sub>
                    </m:sSub>
                    <m:sSub>
                      <m:sSubPr>
                        <m:ctrlPr>
                          <w:rPr>
                            <w:rFonts w:ascii="Cambria Math" w:hAnsi="Cambria Math"/>
                          </w:rPr>
                        </m:ctrlPr>
                      </m:sSubPr>
                      <m:e>
                        <m:r>
                          <w:rPr>
                            <w:rFonts w:ascii="Cambria Math" w:hAnsi="Cambria Math"/>
                          </w:rPr>
                          <m:t>ρ</m:t>
                        </m:r>
                      </m:e>
                      <m:sub>
                        <m:r>
                          <m:rPr>
                            <m:sty m:val="p"/>
                          </m:rPr>
                          <w:rPr>
                            <w:rFonts w:ascii="Cambria Math" w:hAnsi="Cambria Math"/>
                          </w:rPr>
                          <m:t>Zr</m:t>
                        </m:r>
                      </m:sub>
                    </m:sSub>
                    <m:r>
                      <w:rPr>
                        <w:rFonts w:ascii="Cambria Math" w:hAnsi="Cambria Math"/>
                      </w:rPr>
                      <m:t>π</m:t>
                    </m:r>
                    <m:sSub>
                      <m:sSubPr>
                        <m:ctrlPr>
                          <w:rPr>
                            <w:rFonts w:ascii="Cambria Math" w:hAnsi="Cambria Math"/>
                          </w:rPr>
                        </m:ctrlPr>
                      </m:sSubPr>
                      <m:e>
                        <m:r>
                          <w:rPr>
                            <w:rFonts w:ascii="Cambria Math" w:hAnsi="Cambria Math"/>
                          </w:rPr>
                          <m:t>d</m:t>
                        </m:r>
                      </m:e>
                      <m:sub>
                        <m:r>
                          <m:rPr>
                            <m:sty m:val="p"/>
                          </m:rPr>
                          <w:rPr>
                            <w:rFonts w:ascii="Cambria Math" w:hAnsi="Cambria Math"/>
                          </w:rPr>
                          <m:t>pin</m:t>
                        </m:r>
                      </m:sub>
                    </m:sSub>
                    <m:sSub>
                      <m:sSubPr>
                        <m:ctrlPr>
                          <w:rPr>
                            <w:rFonts w:ascii="Cambria Math" w:hAnsi="Cambria Math"/>
                          </w:rPr>
                        </m:ctrlPr>
                      </m:sSubPr>
                      <m:e>
                        <m:r>
                          <w:rPr>
                            <w:rFonts w:ascii="Cambria Math" w:hAnsi="Cambria Math"/>
                          </w:rPr>
                          <m:t>δ</m:t>
                        </m:r>
                      </m:e>
                      <m:sub>
                        <m:r>
                          <m:rPr>
                            <m:sty m:val="p"/>
                          </m:rPr>
                          <w:rPr>
                            <w:rFonts w:ascii="Cambria Math" w:hAnsi="Cambria Math"/>
                          </w:rPr>
                          <m:t>clad</m:t>
                        </m:r>
                      </m:sub>
                    </m:sSub>
                    <m:sSub>
                      <m:sSubPr>
                        <m:ctrlPr>
                          <w:rPr>
                            <w:rFonts w:ascii="Cambria Math" w:hAnsi="Cambria Math"/>
                          </w:rPr>
                        </m:ctrlPr>
                      </m:sSubPr>
                      <m:e>
                        <m:r>
                          <w:rPr>
                            <w:rFonts w:ascii="Cambria Math" w:hAnsi="Cambria Math"/>
                          </w:rPr>
                          <m:t>L</m:t>
                        </m:r>
                      </m:e>
                      <m:sub>
                        <m:r>
                          <m:rPr>
                            <m:sty m:val="p"/>
                          </m:rPr>
                          <w:rPr>
                            <w:rFonts w:ascii="Cambria Math" w:hAnsi="Cambria Math"/>
                          </w:rPr>
                          <m:t>heated</m:t>
                        </m:r>
                      </m:sub>
                    </m:sSub>
                  </m:den>
                </m:f>
              </m:oMath>
            </m:oMathPara>
          </w:p>
        </w:tc>
        <w:tc>
          <w:tcPr>
            <w:tcW w:w="1300" w:type="dxa"/>
            <w:tcBorders>
              <w:bottom w:val="nil"/>
            </w:tcBorders>
            <w:vAlign w:val="center"/>
          </w:tcPr>
          <w:p w14:paraId="442E56A1" w14:textId="77777777" w:rsidR="001F0D14" w:rsidRDefault="001F0D14" w:rsidP="00104431">
            <w:pPr>
              <w:spacing w:after="0"/>
              <w:jc w:val="right"/>
            </w:pPr>
            <w:r>
              <w:rPr>
                <w:rFonts w:ascii="Times New Roman" w:hAnsi="Times New Roman"/>
                <w:sz w:val="22"/>
              </w:rPr>
              <w:t>(4.7-31)</w:t>
            </w:r>
          </w:p>
        </w:tc>
      </w:tr>
    </w:tbl>
    <w:p w14:paraId="5C6141BD" w14:textId="77777777" w:rsidR="001F0D14" w:rsidRDefault="001F0D14" w:rsidP="001F0D14">
      <w:pPr>
        <w:pStyle w:val="FirstParagraph"/>
      </w:pPr>
      <w:r>
        <w:t>This core-wide oxidation estimate is diagnostic and is primarily used to compare the integrated hydrogen generation against the regulatory intent of limiting the total zirconium-water reaction. Because FLARE is a lumped-parameter screening code, the value should be interpreted as a reduced-order consistency metric rather than a replacement for detailed licensing-basis fuel-rod oxidation analysis.</w:t>
      </w:r>
    </w:p>
    <w:p w14:paraId="1A23D424" w14:textId="77777777" w:rsidR="001F0D14" w:rsidRDefault="001F0D14" w:rsidP="001F0D14">
      <w:pPr>
        <w:pStyle w:val="Heading2"/>
      </w:pPr>
      <w:bookmarkStart w:id="47" w:name="_Toc231232892"/>
      <w:r>
        <w:t>4.7.9 Coupling to Source Term and Containment Hydrogen</w:t>
      </w:r>
      <w:bookmarkEnd w:id="47"/>
    </w:p>
    <w:p w14:paraId="6B8E32CE" w14:textId="77777777" w:rsidR="001F0D14" w:rsidRDefault="001F0D14" w:rsidP="001F0D14">
      <w:pPr>
        <w:pStyle w:val="FirstParagraph"/>
      </w:pPr>
      <w:r>
        <w:t xml:space="preserve">The oxidation model couples to two downstream FLARE calculations. First, the maximum mean oxidizing rod ECR provides the severity parameter used in the beyond-design-basis source-term escalation model. If </w:t>
      </w:r>
      <m:oMath>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oMath>
      <w:r>
        <w:t xml:space="preserve"> is the base release fraction for radionuclide group </w:t>
      </w:r>
      <m:oMath>
        <m:r>
          <w:rPr>
            <w:rFonts w:ascii="Cambria Math" w:hAnsi="Cambria Math"/>
          </w:rPr>
          <m:t>g</m:t>
        </m:r>
      </m:oMath>
      <w:r>
        <w:t xml:space="preserve"> and </w:t>
      </w:r>
      <m:oMath>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oMath>
      <w:r>
        <w:t xml:space="preserve"> is the corresponding severe-event target release fraction, then</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7AD8A676"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93FFED9"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r>
                      <w:rPr>
                        <w:rFonts w:ascii="Cambria Math" w:hAnsi="Cambria Math"/>
                      </w:rPr>
                      <m:t>R</m:t>
                    </m:r>
                  </m:e>
                  <m:sub>
                    <m:r>
                      <m:rPr>
                        <m:sty m:val="p"/>
                      </m:rPr>
                      <w:rPr>
                        <w:rFonts w:ascii="Cambria Math" w:hAnsi="Cambria Math"/>
                      </w:rPr>
                      <m:t>severe,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m:rPr>
                            <m:sty m:val="p"/>
                          </m:rPr>
                          <w:rPr>
                            <w:rFonts w:ascii="Cambria Math" w:hAnsi="Cambria Math"/>
                          </w:rPr>
                          <m:t>BDBE,</m:t>
                        </m:r>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base,</m:t>
                        </m:r>
                        <m:r>
                          <w:rPr>
                            <w:rFonts w:ascii="Cambria Math" w:hAnsi="Cambria Math"/>
                          </w:rPr>
                          <m:t>g</m:t>
                        </m:r>
                      </m:sub>
                    </m:sSub>
                  </m:e>
                </m:d>
              </m:oMath>
            </m:oMathPara>
          </w:p>
        </w:tc>
        <w:tc>
          <w:tcPr>
            <w:tcW w:w="1300" w:type="dxa"/>
            <w:tcBorders>
              <w:bottom w:val="nil"/>
            </w:tcBorders>
            <w:vAlign w:val="center"/>
          </w:tcPr>
          <w:p w14:paraId="3720A7F8" w14:textId="77777777" w:rsidR="001F0D14" w:rsidRDefault="001F0D14" w:rsidP="00104431">
            <w:pPr>
              <w:spacing w:after="0"/>
              <w:jc w:val="right"/>
            </w:pPr>
            <w:r>
              <w:rPr>
                <w:rFonts w:ascii="Times New Roman" w:hAnsi="Times New Roman"/>
                <w:sz w:val="22"/>
              </w:rPr>
              <w:t>(4.7-32)</w:t>
            </w:r>
          </w:p>
        </w:tc>
      </w:tr>
    </w:tbl>
    <w:p w14:paraId="6477071C" w14:textId="77777777" w:rsidR="001F0D14" w:rsidRDefault="001F0D14" w:rsidP="001F0D14">
      <w:pPr>
        <w:pStyle w:val="FirstParagraph"/>
      </w:pPr>
      <w:r>
        <w:t xml:space="preserve">subject to any threshold or limiting logic applied in the source-term module. Second, the time-dependent hydrogen generation is supplied to FLARECON as a containment gas source. If the FLARE output interval is </w:t>
      </w:r>
      <m:oMath>
        <m: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out</m:t>
            </m:r>
          </m:sub>
        </m:sSub>
      </m:oMath>
      <w:r>
        <w:t>, the average hydrogen source rate over an output interval is</w:t>
      </w:r>
    </w:p>
    <w:tbl>
      <w:tblPr>
        <w:tblStyle w:val="Table"/>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900"/>
        <w:gridCol w:w="1300"/>
      </w:tblGrid>
      <w:tr w:rsidR="001F0D14" w14:paraId="5844A203" w14:textId="77777777" w:rsidTr="00104431">
        <w:trPr>
          <w:cnfStyle w:val="100000000000" w:firstRow="1" w:lastRow="0" w:firstColumn="0" w:lastColumn="0" w:oddVBand="0" w:evenVBand="0" w:oddHBand="0" w:evenHBand="0" w:firstRowFirstColumn="0" w:firstRowLastColumn="0" w:lastRowFirstColumn="0" w:lastRowLastColumn="0"/>
          <w:jc w:val="center"/>
        </w:trPr>
        <w:tc>
          <w:tcPr>
            <w:tcW w:w="7900" w:type="dxa"/>
            <w:tcBorders>
              <w:bottom w:val="nil"/>
            </w:tcBorders>
            <w:vAlign w:val="center"/>
          </w:tcPr>
          <w:p w14:paraId="45589BF5" w14:textId="77777777" w:rsidR="001F0D14" w:rsidRDefault="00000000" w:rsidP="00104431">
            <w:pPr>
              <w:pStyle w:val="BodyText"/>
              <w:spacing w:before="0" w:after="0"/>
              <w:jc w:val="center"/>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r>
                      <m:rPr>
                        <m:sty m:val="p"/>
                      </m:rPr>
                      <w:rPr>
                        <w:rFonts w:ascii="Cambria Math" w:hAnsi="Cambria Math"/>
                      </w:rPr>
                      <m:t>,CON</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m:rPr>
                                <m:sty m:val="p"/>
                              </m:rPr>
                              <w:rPr>
                                <w:rFonts w:ascii="Cambria Math" w:hAnsi="Cambria Math"/>
                              </w:rPr>
                              <m:t>H</m:t>
                            </m:r>
                          </m:e>
                          <m:sub>
                            <m:r>
                              <m:rPr>
                                <m:sty m:val="p"/>
                              </m:rPr>
                              <w:rPr>
                                <w:rFonts w:ascii="Cambria Math" w:hAnsi="Cambria Math"/>
                              </w:rPr>
                              <m:t>2</m:t>
                            </m:r>
                          </m:sub>
                        </m:sSub>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j</m:t>
                            </m:r>
                          </m:sub>
                        </m:sSub>
                      </m:e>
                    </m:d>
                  </m:num>
                  <m:den>
                    <m:sSub>
                      <m:sSubPr>
                        <m:ctrlPr>
                          <w:rPr>
                            <w:rFonts w:ascii="Cambria Math" w:hAnsi="Cambria Math"/>
                          </w:rPr>
                        </m:ctrlPr>
                      </m:sSubPr>
                      <m:e>
                        <m:r>
                          <w:rPr>
                            <w:rFonts w:ascii="Cambria Math" w:hAnsi="Cambria Math"/>
                          </w:rPr>
                          <m:t>t</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j</m:t>
                        </m:r>
                      </m:sub>
                    </m:sSub>
                  </m:den>
                </m:f>
              </m:oMath>
            </m:oMathPara>
          </w:p>
        </w:tc>
        <w:tc>
          <w:tcPr>
            <w:tcW w:w="1300" w:type="dxa"/>
            <w:tcBorders>
              <w:bottom w:val="nil"/>
            </w:tcBorders>
            <w:vAlign w:val="center"/>
          </w:tcPr>
          <w:p w14:paraId="7363D739" w14:textId="77777777" w:rsidR="001F0D14" w:rsidRDefault="001F0D14" w:rsidP="00104431">
            <w:pPr>
              <w:spacing w:after="0"/>
              <w:jc w:val="right"/>
            </w:pPr>
            <w:r>
              <w:rPr>
                <w:rFonts w:ascii="Times New Roman" w:hAnsi="Times New Roman"/>
                <w:sz w:val="22"/>
              </w:rPr>
              <w:t>(4.7-33)</w:t>
            </w:r>
          </w:p>
        </w:tc>
      </w:tr>
    </w:tbl>
    <w:p w14:paraId="5C08341D" w14:textId="77777777" w:rsidR="001F0D14" w:rsidRDefault="001F0D14" w:rsidP="001F0D14">
      <w:pPr>
        <w:pStyle w:val="FirstParagraph"/>
      </w:pPr>
      <w:r>
        <w:t>This value is interpreted by FLARECON as a mass source of hydrogen to the dry containment gas volume. The resulting hydrogen concentration is then evaluated against the containment flammability assessment described in the FLARECON chapter.</w:t>
      </w:r>
    </w:p>
    <w:p w14:paraId="41C4335F" w14:textId="77777777" w:rsidR="001F0D14" w:rsidRDefault="001F0D14" w:rsidP="001F0D14">
      <w:pPr>
        <w:pStyle w:val="Heading2"/>
      </w:pPr>
      <w:bookmarkStart w:id="48" w:name="_Toc231232893"/>
      <w:r>
        <w:t>4.7.10 Assumptions and Limitations</w:t>
      </w:r>
      <w:bookmarkEnd w:id="48"/>
    </w:p>
    <w:p w14:paraId="1EF3A080" w14:textId="77777777" w:rsidR="001F0D14" w:rsidRDefault="001F0D14" w:rsidP="001F0D14">
      <w:pPr>
        <w:pStyle w:val="FirstParagraph"/>
      </w:pPr>
      <w:r>
        <w:t>The zirconium oxidation and hydrogen-generation model relies on several simplifying assumptions. The Baker-Just correlation is used as a conservative high-temperature oxidation correlation and is not intended to represent the full range of modern cladding oxidation behavior under all steam-starved, air-ingress, or reflood conditions. The model assumes sufficient steam availability for the calculated oxidation unless separate logic limits the reaction. It does not model oxide spalling, breakaway oxidation, nitriding, or oxygen diffusion in detail.</w:t>
      </w:r>
    </w:p>
    <w:p w14:paraId="036111F1" w14:textId="77777777" w:rsidR="001F0D14" w:rsidRDefault="001F0D14" w:rsidP="001F0D14">
      <w:pPr>
        <w:pStyle w:val="BodyText"/>
      </w:pPr>
      <w:r>
        <w:t>The cladding surface area is represented by the reduced-order rod geometry. Axial variation is collapsed into the heated length, and azimuthal variation is not represented. The oxidizing population is inferred statistically from the rod-state distribution in Section 4.6 rather than calculated from a rod-by-rod thermal solution. The mean oxidizing rod is therefore a conditional statistical construct, not a physical rod.</w:t>
      </w:r>
    </w:p>
    <w:p w14:paraId="62A29C3D" w14:textId="4AF11939" w:rsidR="001F0D14" w:rsidRDefault="001F0D14" w:rsidP="00C17023">
      <w:pPr>
        <w:pStyle w:val="BodyText"/>
      </w:pPr>
      <w:r>
        <w:t>The hot-pin ECR, mean oxidizing rod ECR, and core-wide hydrogen generation should be interpreted as distinct quantities. The hot-pin ECR is the local limiting oxidation metric. The mean oxidizing rod ECR is a representative severity metric for the subset of rods participating in oxidation. The cumulative hydrogen generation is a population-integrated metric based on both oxidation severity and oxidizing fraction. Maintaining this distinction is essential for avoiding both underprediction of local damage and overprediction of whole-core oxidation.</w:t>
      </w:r>
    </w:p>
    <w:p w14:paraId="5D436B94" w14:textId="77777777" w:rsidR="000F504F" w:rsidRDefault="00000000">
      <w:pPr>
        <w:pStyle w:val="Heading1"/>
      </w:pPr>
      <w:bookmarkStart w:id="49" w:name="_Toc231232894"/>
      <w:r>
        <w:t>Chapter 5 — Point Kinetics and Reactivity Models</w:t>
      </w:r>
      <w:bookmarkEnd w:id="49"/>
    </w:p>
    <w:p w14:paraId="7E82E614" w14:textId="77777777" w:rsidR="000F504F" w:rsidRDefault="00000000">
      <w:pPr>
        <w:pStyle w:val="Heading2"/>
      </w:pPr>
      <w:bookmarkStart w:id="50" w:name="_Toc231232895"/>
      <w:r>
        <w:t>5.1 Point-Kinetics Equations</w:t>
      </w:r>
      <w:bookmarkEnd w:id="50"/>
    </w:p>
    <w:p w14:paraId="7EC17AE2" w14:textId="77777777" w:rsidR="000F504F" w:rsidRDefault="00000000">
      <w:pPr>
        <w:pStyle w:val="FirstParagraph"/>
      </w:pPr>
      <w:r>
        <w:t xml:space="preserve">The reactor power calculation uses point kinetics. The neutron population amplitude, expressed through relative power </w:t>
      </w:r>
      <m:oMath>
        <m:sSub>
          <m:sSubPr>
            <m:ctrlPr>
              <w:rPr>
                <w:rFonts w:ascii="Cambria Math" w:hAnsi="Cambria Math"/>
              </w:rPr>
            </m:ctrlPr>
          </m:sSubPr>
          <m:e>
            <m:r>
              <w:rPr>
                <w:rFonts w:ascii="Cambria Math" w:hAnsi="Cambria Math"/>
              </w:rPr>
              <m:t>P</m:t>
            </m:r>
          </m:e>
          <m:sub>
            <m:r>
              <w:rPr>
                <w:rFonts w:ascii="Cambria Math" w:hAnsi="Cambria Math"/>
              </w:rPr>
              <m:t>n</m:t>
            </m:r>
          </m:sub>
        </m:sSub>
      </m:oMath>
      <w:r>
        <w:t>, satisfies</w:t>
      </w:r>
    </w:p>
    <w:p w14:paraId="5F942669"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P</m:t>
                  </m:r>
                </m:e>
                <m:sub>
                  <m:r>
                    <w:rPr>
                      <w:rFonts w:ascii="Cambria Math" w:hAnsi="Cambria Math"/>
                    </w:rPr>
                    <m:t>n</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β</m:t>
              </m:r>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G</m:t>
              </m:r>
            </m:sup>
            <m:e>
              <m:sSub>
                <m:sSubPr>
                  <m:ctrlPr>
                    <w:rPr>
                      <w:rFonts w:ascii="Cambria Math" w:hAnsi="Cambria Math"/>
                    </w:rPr>
                  </m:ctrlPr>
                </m:sSubPr>
                <m:e>
                  <m:r>
                    <w:rPr>
                      <w:rFonts w:ascii="Cambria Math" w:hAnsi="Cambria Math"/>
                    </w:rPr>
                    <m:t>λ</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m:t>
              </m:r>
            </m:e>
          </m:d>
        </m:oMath>
      </m:oMathPara>
    </w:p>
    <w:p w14:paraId="51928327" w14:textId="77777777" w:rsidR="000F504F" w:rsidRDefault="00000000">
      <w:pPr>
        <w:pStyle w:val="FirstParagraph"/>
      </w:pPr>
      <w:r>
        <w:t>The delayed-neutron precursor groups satisfy</w:t>
      </w:r>
    </w:p>
    <w:p w14:paraId="7CBE566A"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i</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β</m:t>
                  </m:r>
                </m:e>
                <m:sub>
                  <m:r>
                    <w:rPr>
                      <w:rFonts w:ascii="Cambria Math" w:hAnsi="Cambria Math"/>
                    </w:rPr>
                    <m:t>i</m:t>
                  </m:r>
                </m:sub>
              </m:sSub>
            </m:num>
            <m:den>
              <m:r>
                <w:rPr>
                  <w:rFonts w:ascii="Cambria Math" w:hAnsi="Cambria Math"/>
                </w:rPr>
                <m:t>Λ</m:t>
              </m:r>
            </m:den>
          </m:f>
          <m:sSub>
            <m:sSubPr>
              <m:ctrlPr>
                <w:rPr>
                  <w:rFonts w:ascii="Cambria Math" w:hAnsi="Cambria Math"/>
                </w:rPr>
              </m:ctrlPr>
            </m:sSubPr>
            <m:e>
              <m:r>
                <w:rPr>
                  <w:rFonts w:ascii="Cambria Math" w:hAnsi="Cambria Math"/>
                </w:rPr>
                <m:t>P</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5.2</m:t>
              </m:r>
            </m:e>
          </m:d>
        </m:oMath>
      </m:oMathPara>
    </w:p>
    <w:p w14:paraId="2D062C40" w14:textId="77777777" w:rsidR="000F504F" w:rsidRDefault="00000000">
      <w:pPr>
        <w:pStyle w:val="FirstParagraph"/>
      </w:pPr>
      <w:r>
        <w:t xml:space="preserve">Here </w:t>
      </w:r>
      <m:oMath>
        <m:r>
          <w:rPr>
            <w:rFonts w:ascii="Cambria Math" w:hAnsi="Cambria Math"/>
          </w:rPr>
          <m:t>ρ</m:t>
        </m:r>
      </m:oMath>
      <w:r>
        <w:t xml:space="preserve"> is reactivity, </w:t>
      </w:r>
      <m:oMath>
        <m:r>
          <w:rPr>
            <w:rFonts w:ascii="Cambria Math" w:hAnsi="Cambria Math"/>
          </w:rPr>
          <m:t>β</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β</m:t>
                </m:r>
              </m:e>
              <m:sub>
                <m:r>
                  <w:rPr>
                    <w:rFonts w:ascii="Cambria Math" w:hAnsi="Cambria Math"/>
                  </w:rPr>
                  <m:t>i</m:t>
                </m:r>
              </m:sub>
            </m:sSub>
          </m:e>
        </m:nary>
      </m:oMath>
      <w:r>
        <w:t xml:space="preserve"> is the effective delayed-neutron fraction, </w:t>
      </w:r>
      <m:oMath>
        <m:r>
          <w:rPr>
            <w:rFonts w:ascii="Cambria Math" w:hAnsi="Cambria Math"/>
          </w:rPr>
          <m:t>Λ</m:t>
        </m:r>
      </m:oMath>
      <w:r>
        <w:t xml:space="preserve"> is prompt neutron generation time, </w:t>
      </w:r>
      <m:oMath>
        <m:sSub>
          <m:sSubPr>
            <m:ctrlPr>
              <w:rPr>
                <w:rFonts w:ascii="Cambria Math" w:hAnsi="Cambria Math"/>
              </w:rPr>
            </m:ctrlPr>
          </m:sSubPr>
          <m:e>
            <m:r>
              <w:rPr>
                <w:rFonts w:ascii="Cambria Math" w:hAnsi="Cambria Math"/>
              </w:rPr>
              <m:t>λ</m:t>
            </m:r>
          </m:e>
          <m:sub>
            <m:r>
              <w:rPr>
                <w:rFonts w:ascii="Cambria Math" w:hAnsi="Cambria Math"/>
              </w:rPr>
              <m:t>i</m:t>
            </m:r>
          </m:sub>
        </m:sSub>
      </m:oMath>
      <w:r>
        <w:t xml:space="preserve"> are precursor decay constants,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are normalized precursor concentrations. The thermal power is</w:t>
      </w:r>
    </w:p>
    <w:p w14:paraId="60DC63F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n</m:t>
              </m:r>
            </m:sub>
          </m:sSub>
          <m:sSub>
            <m:sSubPr>
              <m:ctrlPr>
                <w:rPr>
                  <w:rFonts w:ascii="Cambria Math" w:hAnsi="Cambria Math"/>
                </w:rPr>
              </m:ctrlPr>
            </m:sSubPr>
            <m:e>
              <m:r>
                <w:rPr>
                  <w:rFonts w:ascii="Cambria Math" w:hAnsi="Cambria Math"/>
                </w:rPr>
                <m:t>Q</m:t>
              </m:r>
            </m:e>
            <m:sub>
              <m:r>
                <w:rPr>
                  <w:rFonts w:ascii="Cambria Math" w:hAnsi="Cambria Math"/>
                </w:rPr>
                <m:t>rated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5.3</m:t>
              </m:r>
            </m:e>
          </m:d>
        </m:oMath>
      </m:oMathPara>
    </w:p>
    <w:p w14:paraId="01F32CCF" w14:textId="77777777" w:rsidR="000F504F" w:rsidRDefault="00000000">
      <w:pPr>
        <w:pStyle w:val="Heading2"/>
      </w:pPr>
      <w:bookmarkStart w:id="51" w:name="_Toc231232896"/>
      <w:r>
        <w:t>5.2 Reactivity Feedback</w:t>
      </w:r>
      <w:bookmarkEnd w:id="51"/>
    </w:p>
    <w:p w14:paraId="690AB845" w14:textId="77777777" w:rsidR="000F504F" w:rsidRDefault="00000000">
      <w:pPr>
        <w:pStyle w:val="FirstParagraph"/>
      </w:pPr>
      <w:r>
        <w:t>The total reactivity is the sum of externally specified reactivity, Doppler feedback, moderator temperature feedback, void feedback, and scram worth:</w:t>
      </w:r>
    </w:p>
    <w:p w14:paraId="5B4C1C50" w14:textId="77777777" w:rsidR="000F504F" w:rsidRDefault="00000000">
      <w:pPr>
        <w:pStyle w:val="BodyText"/>
      </w:pPr>
      <m:oMathPara>
        <m:oMathParaPr>
          <m:jc m:val="center"/>
        </m:oMathParaPr>
        <m:oMath>
          <m:r>
            <w:rPr>
              <w:rFonts w:ascii="Cambria Math" w:hAnsi="Cambria Math"/>
            </w:rPr>
            <m:t>ρ</m:t>
          </m:r>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ext</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D</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v</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5.4</m:t>
              </m:r>
            </m:e>
          </m:d>
        </m:oMath>
      </m:oMathPara>
    </w:p>
    <w:p w14:paraId="11E71377" w14:textId="77777777" w:rsidR="000F504F" w:rsidRDefault="00000000">
      <w:pPr>
        <w:pStyle w:val="FirstParagraph"/>
      </w:pPr>
      <w:r>
        <w:t>The Doppler term is</w:t>
      </w:r>
    </w:p>
    <w:p w14:paraId="68E26D02"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f</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5.5</m:t>
              </m:r>
            </m:e>
          </m:d>
        </m:oMath>
      </m:oMathPara>
    </w:p>
    <w:p w14:paraId="517CC915" w14:textId="77777777" w:rsidR="000F504F" w:rsidRDefault="00000000">
      <w:pPr>
        <w:pStyle w:val="FirstParagraph"/>
      </w:pPr>
      <w:r>
        <w:t>The moderator temperature and void terms are</w:t>
      </w:r>
    </w:p>
    <w:p w14:paraId="3B3AFEE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v</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sub>
          </m:sSub>
          <m:sSub>
            <m:sSubPr>
              <m:ctrlPr>
                <w:rPr>
                  <w:rFonts w:ascii="Cambria Math" w:hAnsi="Cambria Math"/>
                </w:rPr>
              </m:ctrlPr>
            </m:sSubPr>
            <m:e>
              <m:r>
                <w:rPr>
                  <w:rFonts w:ascii="Cambria Math" w:hAnsi="Cambria Math"/>
                </w:rPr>
                <m:t>x</m:t>
              </m:r>
            </m:e>
            <m:sub>
              <m:r>
                <w:rPr>
                  <w:rFonts w:ascii="Cambria Math" w:hAnsi="Cambria Math"/>
                </w:rPr>
                <m:t>eq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5.6</m:t>
              </m:r>
            </m:e>
          </m:d>
        </m:oMath>
      </m:oMathPara>
    </w:p>
    <w:p w14:paraId="61528AD6" w14:textId="77777777" w:rsidR="000F504F" w:rsidRDefault="00000000">
      <w:pPr>
        <w:pStyle w:val="FirstParagraph"/>
      </w:pPr>
      <w:r>
        <w:t xml:space="preserve">When coefficients are entered in pcm, the conversion is </w:t>
      </w:r>
      <m:oMath>
        <m:r>
          <w:rPr>
            <w:rFonts w:ascii="Cambria Math" w:hAnsi="Cambria Math"/>
          </w:rPr>
          <m:t>ρ</m:t>
        </m:r>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pcm</m:t>
            </m:r>
          </m:sub>
        </m:sSub>
        <m:r>
          <m:rPr>
            <m:sty m:val="p"/>
          </m:rP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Scram insertion is modeled as a ramp:</w:t>
      </w:r>
    </w:p>
    <w:p w14:paraId="36A50B2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ρ</m:t>
              </m:r>
            </m:e>
            <m:sub>
              <m:r>
                <w:rPr>
                  <w:rFonts w:ascii="Cambria Math" w:hAnsi="Cambria Math"/>
                </w:rPr>
                <m:t>scram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r>
                      <m:rPr>
                        <m:sty m:val="p"/>
                      </m:rPr>
                      <w:rPr>
                        <w:rFonts w:ascii="Cambria Math" w:hAnsi="Cambria Math"/>
                      </w:rPr>
                      <m:t>,</m:t>
                    </m:r>
                  </m:e>
                  <m:e>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f>
                      <m:fPr>
                        <m:ctrlPr>
                          <w:rPr>
                            <w:rFonts w:ascii="Cambria Math" w:hAnsi="Cambria Math"/>
                          </w:rPr>
                        </m:ctrlPr>
                      </m:fPr>
                      <m:nu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num>
                      <m:den>
                        <m:sSub>
                          <m:sSubPr>
                            <m:ctrlPr>
                              <w:rPr>
                                <w:rFonts w:ascii="Cambria Math" w:hAnsi="Cambria Math"/>
                              </w:rPr>
                            </m:ctrlPr>
                          </m:sSubPr>
                          <m:e>
                            <m:r>
                              <w:rPr>
                                <w:rFonts w:ascii="Cambria Math" w:hAnsi="Cambria Math"/>
                              </w:rPr>
                              <m:t>τ</m:t>
                            </m:r>
                          </m:e>
                          <m:sub>
                            <m:r>
                              <w:rPr>
                                <w:rFonts w:ascii="Cambria Math" w:hAnsi="Cambria Math"/>
                              </w:rPr>
                              <m:t>rod</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r>
                      <w:rPr>
                        <w:rFonts w:ascii="Cambria Math" w:hAnsi="Cambria Math"/>
                      </w:rPr>
                      <m:t>t</m:t>
                    </m:r>
                    <m:r>
                      <m:rPr>
                        <m:sty m:val="p"/>
                      </m:rPr>
                      <w:rPr>
                        <w:rFonts w:ascii="Cambria Math" w:hAnsi="Cambria Math"/>
                      </w:rPr>
                      <m:t>&lt;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r>
                  <m:e>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rod</m:t>
                        </m:r>
                      </m:sub>
                    </m:sSub>
                    <m:r>
                      <m:rPr>
                        <m:sty m:val="p"/>
                      </m:rPr>
                      <w:rPr>
                        <w:rFonts w:ascii="Cambria Math" w:hAnsi="Cambria Math"/>
                      </w:rPr>
                      <m:t>,</m:t>
                    </m:r>
                  </m:e>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rod</m:t>
                        </m:r>
                      </m:sub>
                    </m:sSub>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5.7</m:t>
              </m:r>
            </m:e>
          </m:d>
        </m:oMath>
      </m:oMathPara>
    </w:p>
    <w:p w14:paraId="74AAE2F0" w14:textId="77777777" w:rsidR="000F504F" w:rsidRDefault="00000000">
      <w:pPr>
        <w:pStyle w:val="Heading2"/>
      </w:pPr>
      <w:bookmarkStart w:id="52" w:name="_Toc231232897"/>
      <w:r>
        <w:t>5.3 Prompt Jump, Prompt Criticality, and Decay Heat</w:t>
      </w:r>
      <w:bookmarkEnd w:id="52"/>
    </w:p>
    <w:p w14:paraId="5AD0FB5C" w14:textId="77777777" w:rsidR="000F504F" w:rsidRDefault="00000000">
      <w:pPr>
        <w:pStyle w:val="FirstParagraph"/>
      </w:pPr>
      <w:r>
        <w:t>For rapid reactivity insertions below prompt critical, the prompt neutron population adjusts on a time scale much shorter than the thermal-hydraulic response. The prompt jump approximation relates the post-jump and pre-jump powers by</w:t>
      </w:r>
    </w:p>
    <w:p w14:paraId="1E47E119" w14:textId="77777777" w:rsidR="000F504F" w:rsidRDefault="00000000">
      <w:pPr>
        <w:pStyle w:val="BodyText"/>
      </w:pPr>
      <m:oMathPara>
        <m:oMathParaPr>
          <m:jc m:val="center"/>
        </m:oMathParaPr>
        <m:oMath>
          <m:f>
            <m:fPr>
              <m:ctrlPr>
                <w:rPr>
                  <w:rFonts w:ascii="Cambria Math" w:hAnsi="Cambria Math"/>
                </w:rPr>
              </m:ctrlPr>
            </m:fPr>
            <m:num>
              <m:sSup>
                <m:sSupPr>
                  <m:ctrlPr>
                    <w:rPr>
                      <w:rFonts w:ascii="Cambria Math" w:hAnsi="Cambria Math"/>
                    </w:rPr>
                  </m:ctrlPr>
                </m:sSupPr>
                <m:e>
                  <m:r>
                    <w:rPr>
                      <w:rFonts w:ascii="Cambria Math" w:hAnsi="Cambria Math"/>
                    </w:rPr>
                    <m:t>P</m:t>
                  </m:r>
                </m:e>
                <m:sup>
                  <m:r>
                    <m:rPr>
                      <m:sty m:val="p"/>
                    </m:rPr>
                    <w:rPr>
                      <w:rFonts w:ascii="Cambria Math" w:hAnsi="Cambria Math"/>
                    </w:rPr>
                    <m:t>+</m:t>
                  </m:r>
                </m:sup>
              </m:sSup>
            </m:num>
            <m:den>
              <m:sSup>
                <m:sSupPr>
                  <m:ctrlPr>
                    <w:rPr>
                      <w:rFonts w:ascii="Cambria Math" w:hAnsi="Cambria Math"/>
                    </w:rPr>
                  </m:ctrlPr>
                </m:sSupPr>
                <m:e>
                  <m:r>
                    <w:rPr>
                      <w:rFonts w:ascii="Cambria Math" w:hAnsi="Cambria Math"/>
                    </w:rPr>
                    <m:t>P</m:t>
                  </m:r>
                </m:e>
                <m:sup>
                  <m:r>
                    <m:rPr>
                      <m:sty m:val="p"/>
                    </m:rPr>
                    <w:rPr>
                      <w:rFonts w:ascii="Cambria Math" w:hAnsi="Cambria Math"/>
                    </w:rPr>
                    <m:t>-</m:t>
                  </m:r>
                </m:sup>
              </m:sSup>
            </m:den>
          </m:f>
          <m:r>
            <m:rPr>
              <m:sty m:val="p"/>
            </m:rPr>
            <w:rPr>
              <w:rFonts w:ascii="Cambria Math" w:hAnsi="Cambria Math"/>
            </w:rPr>
            <m:t>=</m:t>
          </m:r>
          <m:f>
            <m:fPr>
              <m:ctrlPr>
                <w:rPr>
                  <w:rFonts w:ascii="Cambria Math" w:hAnsi="Cambria Math"/>
                </w:rPr>
              </m:ctrlPr>
            </m:fPr>
            <m:num>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num>
            <m:den>
              <m:r>
                <w:rPr>
                  <w:rFonts w:ascii="Cambria Math" w:hAnsi="Cambria Math"/>
                </w:rPr>
                <m:t>β</m:t>
              </m:r>
              <m:r>
                <m:rPr>
                  <m:sty m:val="p"/>
                </m:rPr>
                <w:rPr>
                  <w:rFonts w:ascii="Cambria Math" w:hAnsi="Cambria Math"/>
                </w:rPr>
                <m:t>-</m:t>
              </m:r>
              <m:sSup>
                <m:sSupPr>
                  <m:ctrlPr>
                    <w:rPr>
                      <w:rFonts w:ascii="Cambria Math" w:hAnsi="Cambria Math"/>
                    </w:rPr>
                  </m:ctrlPr>
                </m:sSupPr>
                <m:e>
                  <m:r>
                    <w:rPr>
                      <w:rFonts w:ascii="Cambria Math" w:hAnsi="Cambria Math"/>
                    </w:rPr>
                    <m:t>ρ</m:t>
                  </m:r>
                </m:e>
                <m:sup>
                  <m:r>
                    <m:rPr>
                      <m:sty m:val="p"/>
                    </m:rPr>
                    <w:rPr>
                      <w:rFonts w:ascii="Cambria Math" w:hAnsi="Cambria Math"/>
                    </w:rPr>
                    <m:t>+</m:t>
                  </m:r>
                </m:sup>
              </m:sSup>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5.8</m:t>
              </m:r>
            </m:e>
          </m:d>
        </m:oMath>
      </m:oMathPara>
    </w:p>
    <w:p w14:paraId="46934C68" w14:textId="77777777" w:rsidR="000F504F" w:rsidRDefault="00000000">
      <w:pPr>
        <w:pStyle w:val="FirstParagraph"/>
      </w:pPr>
      <w:r>
        <w:t xml:space="preserve">For prompt-critical excursions, FLARE can apply a Nordheim-Fuchs screening estimate. If the reactivity insertion is </w:t>
      </w:r>
      <m:oMath>
        <m:sSub>
          <m:sSubPr>
            <m:ctrlPr>
              <w:rPr>
                <w:rFonts w:ascii="Cambria Math" w:hAnsi="Cambria Math"/>
              </w:rPr>
            </m:ctrlPr>
          </m:sSubPr>
          <m:e>
            <m:r>
              <w:rPr>
                <w:rFonts w:ascii="Cambria Math" w:hAnsi="Cambria Math"/>
              </w:rPr>
              <m:t>ρ</m:t>
            </m:r>
          </m:e>
          <m:sub>
            <m:r>
              <w:rPr>
                <w:rFonts w:ascii="Cambria Math" w:hAnsi="Cambria Math"/>
              </w:rPr>
              <m:t>0</m:t>
            </m:r>
          </m:sub>
        </m:sSub>
      </m:oMath>
      <w:r>
        <w:t xml:space="preserve"> and the effective feedback coefficient is </w:t>
      </w:r>
      <m:oMath>
        <m:sSub>
          <m:sSubPr>
            <m:ctrlPr>
              <w:rPr>
                <w:rFonts w:ascii="Cambria Math" w:hAnsi="Cambria Math"/>
              </w:rPr>
            </m:ctrlPr>
          </m:sSubPr>
          <m:e>
            <m:r>
              <w:rPr>
                <w:rFonts w:ascii="Cambria Math" w:hAnsi="Cambria Math"/>
              </w:rPr>
              <m:t>α</m:t>
            </m:r>
          </m:e>
          <m:sub>
            <m:r>
              <w:rPr>
                <w:rFonts w:ascii="Cambria Math" w:hAnsi="Cambria Math"/>
              </w:rPr>
              <m:t>T</m:t>
            </m:r>
          </m:sub>
        </m:sSub>
      </m:oMath>
      <w:r>
        <w:t>, the approximate energy deposition required to return to prompt critical is</w:t>
      </w:r>
    </w:p>
    <w:p w14:paraId="1BE700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E</m:t>
              </m:r>
            </m:e>
            <m:sub>
              <m:r>
                <w:rPr>
                  <w:rFonts w:ascii="Cambria Math" w:hAnsi="Cambria Math"/>
                </w:rPr>
                <m:t>burst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ρ</m:t>
                  </m:r>
                </m:e>
                <m:sub>
                  <m:r>
                    <w:rPr>
                      <w:rFonts w:ascii="Cambria Math" w:hAnsi="Cambria Math"/>
                    </w:rPr>
                    <m:t>0</m:t>
                  </m:r>
                </m:sub>
              </m:sSub>
              <m:r>
                <m:rPr>
                  <m:sty m:val="p"/>
                </m:rPr>
                <w:rPr>
                  <w:rFonts w:ascii="Cambria Math" w:hAnsi="Cambria Math"/>
                </w:rPr>
                <m:t>-</m:t>
              </m:r>
              <m:r>
                <w:rPr>
                  <w:rFonts w:ascii="Cambria Math" w:hAnsi="Cambria Math"/>
                </w:rPr>
                <m:t>β</m:t>
              </m:r>
            </m:num>
            <m:den>
              <m:d>
                <m:dPr>
                  <m:begChr m:val="|"/>
                  <m:endChr m:val="|"/>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T</m:t>
                      </m:r>
                    </m:sub>
                  </m:sSub>
                </m:e>
              </m:d>
            </m:den>
          </m:f>
          <m:r>
            <w:rPr>
              <w:rFonts w:ascii="Cambria Math" w:hAnsi="Cambria Math"/>
            </w:rPr>
            <m:t> </m:t>
          </m:r>
          <m:sSub>
            <m:sSubPr>
              <m:ctrlPr>
                <w:rPr>
                  <w:rFonts w:ascii="Cambria Math" w:hAnsi="Cambria Math"/>
                </w:rPr>
              </m:ctrlPr>
            </m:sSubPr>
            <m:e>
              <m:r>
                <w:rPr>
                  <w:rFonts w:ascii="Cambria Math" w:hAnsi="Cambria Math"/>
                </w:rPr>
                <m:t>C</m:t>
              </m:r>
            </m:e>
            <m:sub>
              <m:r>
                <w:rPr>
                  <w:rFonts w:ascii="Cambria Math" w:hAnsi="Cambria Math"/>
                </w:rPr>
                <m:t>eff</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5.9</m:t>
              </m:r>
            </m:e>
          </m:d>
        </m:oMath>
      </m:oMathPara>
    </w:p>
    <w:p w14:paraId="0817B70F" w14:textId="77777777" w:rsidR="000F504F" w:rsidRDefault="00000000">
      <w:pPr>
        <w:pStyle w:val="FirstParagraph"/>
      </w:pPr>
      <w:r>
        <w:t>After shutdown, the total core heat is the sum of fission power and decay heat:</w:t>
      </w:r>
    </w:p>
    <w:p w14:paraId="10D67F7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core</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fission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decay</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5.10</m:t>
              </m:r>
            </m:e>
          </m:d>
        </m:oMath>
      </m:oMathPara>
    </w:p>
    <w:p w14:paraId="0FE49083" w14:textId="77777777" w:rsidR="000F504F" w:rsidRDefault="00000000">
      <w:pPr>
        <w:pStyle w:val="FirstParagraph"/>
      </w:pPr>
      <w:r>
        <w:t>The ANS-5.1-1979 decay-heat model can be represented as a summation of exponentials:</w:t>
      </w:r>
    </w:p>
    <w:p w14:paraId="4E889F5F"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5.11</m:t>
              </m:r>
            </m:e>
          </m:d>
        </m:oMath>
      </m:oMathPara>
    </w:p>
    <w:p w14:paraId="6A56D8AD" w14:textId="77777777" w:rsidR="000F504F" w:rsidRDefault="00000000">
      <w:pPr>
        <w:pStyle w:val="FirstParagraph"/>
      </w:pPr>
      <w:r>
        <w:t xml:space="preserve">For finite prior irradiation time </w:t>
      </w:r>
      <m:oMath>
        <m:sSub>
          <m:sSubPr>
            <m:ctrlPr>
              <w:rPr>
                <w:rFonts w:ascii="Cambria Math" w:hAnsi="Cambria Math"/>
              </w:rPr>
            </m:ctrlPr>
          </m:sSubPr>
          <m:e>
            <m:r>
              <w:rPr>
                <w:rFonts w:ascii="Cambria Math" w:hAnsi="Cambria Math"/>
              </w:rPr>
              <m:t>T</m:t>
            </m:r>
          </m:e>
          <m:sub>
            <m:r>
              <w:rPr>
                <w:rFonts w:ascii="Cambria Math" w:hAnsi="Cambria Math"/>
              </w:rPr>
              <m:t>irr</m:t>
            </m:r>
          </m:sub>
        </m:sSub>
      </m:oMath>
      <w:r>
        <w:t>, the buildup correction is</w:t>
      </w:r>
    </w:p>
    <w:p w14:paraId="20C34489" w14:textId="77777777" w:rsidR="000F504F" w:rsidRDefault="00000000">
      <w:pPr>
        <w:pStyle w:val="BodyText"/>
      </w:pPr>
      <m:oMathPara>
        <m:oMathParaPr>
          <m:jc m:val="center"/>
        </m:oMathParaPr>
        <m:oMath>
          <m:f>
            <m:fPr>
              <m:ctrlPr>
                <w:rPr>
                  <w:rFonts w:ascii="Cambria Math" w:hAnsi="Cambria Math"/>
                </w:rPr>
              </m:ctrlPr>
            </m:fPr>
            <m:num>
              <m:sSub>
                <m:sSubPr>
                  <m:ctrlPr>
                    <w:rPr>
                      <w:rFonts w:ascii="Cambria Math" w:hAnsi="Cambria Math"/>
                    </w:rPr>
                  </m:ctrlPr>
                </m:sSubPr>
                <m:e>
                  <m:r>
                    <w:rPr>
                      <w:rFonts w:ascii="Cambria Math" w:hAnsi="Cambria Math"/>
                    </w:rPr>
                    <m:t>Q</m:t>
                  </m:r>
                </m:e>
                <m:sub>
                  <m:r>
                    <w:rPr>
                      <w:rFonts w:ascii="Cambria Math" w:hAnsi="Cambria Math"/>
                    </w:rPr>
                    <m:t>decay</m:t>
                  </m:r>
                </m:sub>
              </m:sSub>
              <m:d>
                <m:dPr>
                  <m:ctrlPr>
                    <w:rPr>
                      <w:rFonts w:ascii="Cambria Math" w:hAnsi="Cambria Math"/>
                    </w:rPr>
                  </m:ctrlPr>
                </m:dPr>
                <m:e>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irr</m:t>
                      </m:r>
                    </m:sub>
                  </m:sSub>
                </m:e>
              </m:d>
            </m:num>
            <m:den>
              <m:sSub>
                <m:sSubPr>
                  <m:ctrlPr>
                    <w:rPr>
                      <w:rFonts w:ascii="Cambria Math" w:hAnsi="Cambria Math"/>
                    </w:rPr>
                  </m:ctrlPr>
                </m:sSubPr>
                <m:e>
                  <m:r>
                    <w:rPr>
                      <w:rFonts w:ascii="Cambria Math" w:hAnsi="Cambria Math"/>
                    </w:rPr>
                    <m:t>Q</m:t>
                  </m:r>
                </m:e>
                <m:sub>
                  <m:r>
                    <w:rPr>
                      <w:rFonts w:ascii="Cambria Math" w:hAnsi="Cambria Math"/>
                    </w:rPr>
                    <m:t>0</m:t>
                  </m:r>
                </m:sub>
              </m:sSub>
            </m:den>
          </m:f>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e>
          </m:nary>
          <m:d>
            <m:dPr>
              <m:begChr m:val="["/>
              <m:endChr m:val="]"/>
              <m:ctrlPr>
                <w:rPr>
                  <w:rFonts w:ascii="Cambria Math" w:hAnsi="Cambria Math"/>
                </w:rPr>
              </m:ctrlPr>
            </m:dPr>
            <m:e>
              <m:r>
                <w:rPr>
                  <w:rFonts w:ascii="Cambria Math" w:hAnsi="Cambria Math"/>
                </w:rPr>
                <m:t>1</m:t>
              </m:r>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irr</m:t>
                      </m:r>
                    </m:sub>
                  </m:sSub>
                </m:e>
              </m:d>
            </m:e>
          </m:d>
          <m:r>
            <m:rPr>
              <m:sty m:val="p"/>
            </m:rPr>
            <w:rPr>
              <w:rFonts w:ascii="Cambria Math" w:hAnsi="Cambria Math"/>
            </w:rPr>
            <m:t>exp</m:t>
          </m:r>
          <m:d>
            <m:dPr>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i</m:t>
                  </m:r>
                </m:sub>
              </m:sSub>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5.12</m:t>
              </m:r>
            </m:e>
          </m:d>
        </m:oMath>
      </m:oMathPara>
    </w:p>
    <w:p w14:paraId="7E28ED85" w14:textId="77777777" w:rsidR="000F504F" w:rsidRDefault="00000000">
      <w:pPr>
        <w:pStyle w:val="Heading1"/>
      </w:pPr>
      <w:bookmarkStart w:id="53" w:name="_Toc231232898"/>
      <w:r>
        <w:t>Chapter 6 — Trip and Protection System Models</w:t>
      </w:r>
      <w:bookmarkEnd w:id="53"/>
    </w:p>
    <w:p w14:paraId="032CF889" w14:textId="77777777" w:rsidR="000F504F" w:rsidRDefault="00000000">
      <w:pPr>
        <w:pStyle w:val="Heading2"/>
      </w:pPr>
      <w:bookmarkStart w:id="54" w:name="_Toc231232899"/>
      <w:r>
        <w:t>6.1 Trip Logic</w:t>
      </w:r>
      <w:bookmarkEnd w:id="54"/>
    </w:p>
    <w:p w14:paraId="6F4764ED" w14:textId="77777777" w:rsidR="000F504F" w:rsidRDefault="00000000">
      <w:pPr>
        <w:pStyle w:val="FirstParagraph"/>
      </w:pPr>
      <w:r>
        <w:t>A reactor trip is initiated when any enabled trip condition becomes true. The trip state is latched:</w:t>
      </w:r>
    </w:p>
    <w:p w14:paraId="20F7CB0B"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I</m:t>
              </m:r>
            </m:e>
            <m:sub>
              <m:r>
                <w:rPr>
                  <w:rFonts w:ascii="Cambria Math" w:hAnsi="Cambria Math"/>
                </w:rPr>
                <m:t>trip</m:t>
              </m:r>
            </m:sub>
            <m:sup>
              <m:r>
                <w:rPr>
                  <w:rFonts w:ascii="Cambria Math" w:hAnsi="Cambria Math"/>
                </w:rPr>
                <m:t>n</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high flux</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low flow</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high Tclad</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6.1</m:t>
              </m:r>
            </m:e>
          </m:d>
        </m:oMath>
      </m:oMathPara>
    </w:p>
    <w:p w14:paraId="5D35219D" w14:textId="77777777" w:rsidR="000F504F" w:rsidRDefault="00000000">
      <w:pPr>
        <w:pStyle w:val="FirstParagraph"/>
      </w:pPr>
      <w:r>
        <w:t>Once latched, the trip state remains active. Scram insertion then follows the rod-worth ramp in Eq. (5.7).</w:t>
      </w:r>
    </w:p>
    <w:p w14:paraId="5A575BDA" w14:textId="77777777" w:rsidR="000F504F" w:rsidRDefault="00000000">
      <w:pPr>
        <w:pStyle w:val="Heading2"/>
      </w:pPr>
      <w:bookmarkStart w:id="55" w:name="_Toc231232900"/>
      <w:r>
        <w:t>6.2 ESFAS Actuation</w:t>
      </w:r>
      <w:bookmarkEnd w:id="55"/>
    </w:p>
    <w:p w14:paraId="646B8F89" w14:textId="77777777" w:rsidR="000F504F" w:rsidRDefault="00000000">
      <w:pPr>
        <w:pStyle w:val="FirstParagraph"/>
      </w:pPr>
      <w:r>
        <w:t>Safety injection is actuated when the engineered safety features actuation signal is generated:</w:t>
      </w:r>
    </w:p>
    <w:p w14:paraId="0D6E76B4"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ESFAS</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low P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high containment P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manual SI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6.2</m:t>
              </m:r>
            </m:e>
          </m:d>
        </m:oMath>
      </m:oMathPara>
    </w:p>
    <w:p w14:paraId="61CC9B80" w14:textId="77777777" w:rsidR="000F504F" w:rsidRDefault="00000000">
      <w:pPr>
        <w:pStyle w:val="FirstParagraph"/>
      </w:pPr>
      <w:r>
        <w:t>The availability of each injection source is calculated from the actuation time plus any specified delay. This allows FLARE to represent simplified diesel-generator sequencing, valve-opening delays, or pump-start delays without detailed electrical-system modeling.</w:t>
      </w:r>
    </w:p>
    <w:p w14:paraId="01765B9D" w14:textId="77777777" w:rsidR="000F504F" w:rsidRDefault="00000000">
      <w:pPr>
        <w:pStyle w:val="Heading2"/>
      </w:pPr>
      <w:bookmarkStart w:id="56" w:name="_Toc231232901"/>
      <w:r>
        <w:t>6.3 Numerical Latching and Event Reporting</w:t>
      </w:r>
      <w:bookmarkEnd w:id="56"/>
    </w:p>
    <w:p w14:paraId="34A54EE8" w14:textId="77777777" w:rsidR="000F504F" w:rsidRDefault="00000000">
      <w:pPr>
        <w:pStyle w:val="FirstParagraph"/>
      </w:pPr>
      <w:r>
        <w:t xml:space="preserve">Trips, SI actuation, PORV opening, accumulator start, and containment spray actuation are recorded as sequence-of-events quantities. A latch variable </w:t>
      </w:r>
      <m:oMath>
        <m:r>
          <w:rPr>
            <w:rFonts w:ascii="Cambria Math" w:hAnsi="Cambria Math"/>
          </w:rPr>
          <m:t>L</m:t>
        </m:r>
      </m:oMath>
      <w:r>
        <w:t xml:space="preserve"> is updated as</w:t>
      </w:r>
    </w:p>
    <w:p w14:paraId="44D0EEF4" w14:textId="77777777" w:rsidR="000F504F" w:rsidRDefault="00000000">
      <w:pPr>
        <w:pStyle w:val="BodyText"/>
      </w:pPr>
      <m:oMathPara>
        <m:oMathParaPr>
          <m:jc m:val="center"/>
        </m:oMathParaPr>
        <m:oMath>
          <m:sSup>
            <m:sSupPr>
              <m:ctrlPr>
                <w:rPr>
                  <w:rFonts w:ascii="Cambria Math" w:hAnsi="Cambria Math"/>
                </w:rPr>
              </m:ctrlPr>
            </m:sSupPr>
            <m:e>
              <m:r>
                <w:rPr>
                  <w:rFonts w:ascii="Cambria Math" w:hAnsi="Cambria Math"/>
                </w:rPr>
                <m:t>L</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=max</m:t>
          </m:r>
          <m:d>
            <m:dPr>
              <m:ctrlPr>
                <w:rPr>
                  <w:rFonts w:ascii="Cambria Math" w:hAnsi="Cambria Math"/>
                </w:rPr>
              </m:ctrlPr>
            </m:dPr>
            <m:e>
              <m:sSup>
                <m:sSupPr>
                  <m:ctrlPr>
                    <w:rPr>
                      <w:rFonts w:ascii="Cambria Math" w:hAnsi="Cambria Math"/>
                    </w:rPr>
                  </m:ctrlPr>
                </m:sSupPr>
                <m:e>
                  <m:r>
                    <w:rPr>
                      <w:rFonts w:ascii="Cambria Math" w:hAnsi="Cambria Math"/>
                    </w:rPr>
                    <m:t>L</m:t>
                  </m:r>
                </m:e>
                <m:sup>
                  <m:r>
                    <w:rPr>
                      <w:rFonts w:ascii="Cambria Math" w:hAnsi="Cambria Math"/>
                    </w:rPr>
                    <m:t>n</m:t>
                  </m:r>
                </m:sup>
              </m:sSup>
              <m:r>
                <m:rPr>
                  <m:sty m:val="p"/>
                </m:rPr>
                <w:rPr>
                  <w:rFonts w:ascii="Cambria Math" w:hAnsi="Cambria Math"/>
                </w:rPr>
                <m:t>,</m:t>
              </m:r>
              <m:sSup>
                <m:sSupPr>
                  <m:ctrlPr>
                    <w:rPr>
                      <w:rFonts w:ascii="Cambria Math" w:hAnsi="Cambria Math"/>
                    </w:rPr>
                  </m:ctrlPr>
                </m:sSupPr>
                <m:e>
                  <m:r>
                    <w:rPr>
                      <w:rFonts w:ascii="Cambria Math" w:hAnsi="Cambria Math"/>
                    </w:rPr>
                    <m:t>I</m:t>
                  </m:r>
                </m:e>
                <m:sup>
                  <m:r>
                    <w:rPr>
                      <w:rFonts w:ascii="Cambria Math" w:hAnsi="Cambria Math"/>
                    </w:rPr>
                    <m:t>n</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6.3</m:t>
              </m:r>
            </m:e>
          </m:d>
        </m:oMath>
      </m:oMathPara>
    </w:p>
    <w:p w14:paraId="1E6BCF5C" w14:textId="77777777" w:rsidR="000F504F" w:rsidRDefault="00000000">
      <w:pPr>
        <w:pStyle w:val="FirstParagraph"/>
      </w:pPr>
      <w:r>
        <w:t xml:space="preserve">The first time at which </w:t>
      </w:r>
      <m:oMath>
        <m:sSup>
          <m:sSupPr>
            <m:ctrlPr>
              <w:rPr>
                <w:rFonts w:ascii="Cambria Math" w:hAnsi="Cambria Math"/>
              </w:rPr>
            </m:ctrlPr>
          </m:sSupPr>
          <m:e>
            <m:r>
              <w:rPr>
                <w:rFonts w:ascii="Cambria Math" w:hAnsi="Cambria Math"/>
              </w:rPr>
              <m:t>I</m:t>
            </m:r>
          </m:e>
          <m:sup>
            <m:r>
              <w:rPr>
                <w:rFonts w:ascii="Cambria Math" w:hAnsi="Cambria Math"/>
              </w:rPr>
              <m:t>n</m:t>
            </m:r>
          </m:sup>
        </m:sSup>
        <m:r>
          <m:rPr>
            <m:sty m:val="p"/>
          </m:rPr>
          <w:rPr>
            <w:rFonts w:ascii="Cambria Math" w:hAnsi="Cambria Math"/>
          </w:rPr>
          <m:t>=</m:t>
        </m:r>
        <m:r>
          <w:rPr>
            <w:rFonts w:ascii="Cambria Math" w:hAnsi="Cambria Math"/>
          </w:rPr>
          <m:t>1</m:t>
        </m:r>
      </m:oMath>
      <w:r>
        <w:t xml:space="preserve"> is stored as the event time. This logic prevents repeated reporting of cycling signals and supports the event narrative and batch-report generation.</w:t>
      </w:r>
    </w:p>
    <w:p w14:paraId="04457876" w14:textId="77777777" w:rsidR="000F504F" w:rsidRDefault="00000000">
      <w:pPr>
        <w:pStyle w:val="Heading1"/>
      </w:pPr>
      <w:bookmarkStart w:id="57" w:name="_Toc231232902"/>
      <w:r>
        <w:t>Chapter 7 — FLARECON Containment Response Model</w:t>
      </w:r>
      <w:bookmarkEnd w:id="57"/>
    </w:p>
    <w:p w14:paraId="782AFF23" w14:textId="77777777" w:rsidR="000F504F" w:rsidRDefault="00000000">
      <w:pPr>
        <w:pStyle w:val="Heading2"/>
      </w:pPr>
      <w:bookmarkStart w:id="58" w:name="_Toc231232903"/>
      <w:r>
        <w:t>7.1 Physical Scope</w:t>
      </w:r>
      <w:bookmarkEnd w:id="58"/>
    </w:p>
    <w:p w14:paraId="248ACB5E" w14:textId="77777777" w:rsidR="000F504F" w:rsidRDefault="00000000">
      <w:pPr>
        <w:pStyle w:val="FirstParagraph"/>
      </w:pPr>
      <w:r>
        <w:t>FLARECON is a single-node dry-containment response model. The containment free volume is assumed to contain a well-mixed gas mixture of dry air, steam, and hydrogen. The model tracks gas pressure, gas temperature, gas composition, wall/liner heat removal, floor/sump behavior, condensation, spray heat removal, optional sump cooling, and hydrogen flammability status.</w:t>
      </w:r>
    </w:p>
    <w:p w14:paraId="7BA88D1E" w14:textId="77777777" w:rsidR="000F504F" w:rsidRDefault="00000000">
      <w:pPr>
        <w:pStyle w:val="BodyText"/>
      </w:pPr>
      <w:r>
        <w:t>The state vector can be written as</w:t>
      </w:r>
    </w:p>
    <w:p w14:paraId="0C3AAC0A"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CON</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m>
                    <m:mPr>
                      <m:plcHide m:val="1"/>
                      <m:mcs>
                        <m:mc>
                          <m:mcPr>
                            <m:count m:val="7"/>
                            <m:mcJc m:val="center"/>
                          </m:mcPr>
                        </m:mc>
                      </m:mcs>
                      <m:ctrlPr>
                        <w:rPr>
                          <w:rFonts w:ascii="Cambria Math" w:hAnsi="Cambria Math"/>
                        </w:rPr>
                      </m:ctrlPr>
                    </m:mPr>
                    <m:mr>
                      <m:e>
                        <m:sSub>
                          <m:sSubPr>
                            <m:ctrlPr>
                              <w:rPr>
                                <w:rFonts w:ascii="Cambria Math" w:hAnsi="Cambria Math"/>
                              </w:rPr>
                            </m:ctrlPr>
                          </m:sSubPr>
                          <m:e>
                            <m:r>
                              <w:rPr>
                                <w:rFonts w:ascii="Cambria Math" w:hAnsi="Cambria Math"/>
                              </w:rPr>
                              <m:t>M</m:t>
                            </m:r>
                          </m:e>
                          <m:sub>
                            <m:r>
                              <w:rPr>
                                <w:rFonts w:ascii="Cambria Math" w:hAnsi="Cambria Math"/>
                              </w:rPr>
                              <m:t>air</m:t>
                            </m:r>
                          </m:sub>
                        </m:sSub>
                      </m:e>
                      <m:e>
                        <m:sSub>
                          <m:sSubPr>
                            <m:ctrlPr>
                              <w:rPr>
                                <w:rFonts w:ascii="Cambria Math" w:hAnsi="Cambria Math"/>
                              </w:rPr>
                            </m:ctrlPr>
                          </m:sSubPr>
                          <m:e>
                            <m:r>
                              <w:rPr>
                                <w:rFonts w:ascii="Cambria Math" w:hAnsi="Cambria Math"/>
                              </w:rPr>
                              <m:t>M</m:t>
                            </m:r>
                          </m:e>
                          <m:sub>
                            <m:r>
                              <w:rPr>
                                <w:rFonts w:ascii="Cambria Math" w:hAnsi="Cambria Math"/>
                              </w:rPr>
                              <m:t>s</m:t>
                            </m:r>
                          </m:sub>
                        </m:sSub>
                      </m:e>
                      <m:e>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e>
                      <m:e>
                        <m:sSub>
                          <m:sSubPr>
                            <m:ctrlPr>
                              <w:rPr>
                                <w:rFonts w:ascii="Cambria Math" w:hAnsi="Cambria Math"/>
                              </w:rPr>
                            </m:ctrlPr>
                          </m:sSubPr>
                          <m:e>
                            <m:r>
                              <w:rPr>
                                <w:rFonts w:ascii="Cambria Math" w:hAnsi="Cambria Math"/>
                              </w:rPr>
                              <m:t>U</m:t>
                            </m:r>
                          </m:e>
                          <m:sub>
                            <m:r>
                              <w:rPr>
                                <w:rFonts w:ascii="Cambria Math" w:hAnsi="Cambria Math"/>
                              </w:rPr>
                              <m:t>g</m:t>
                            </m:r>
                          </m:sub>
                        </m:sSub>
                      </m:e>
                      <m:e>
                        <m:sSub>
                          <m:sSubPr>
                            <m:ctrlPr>
                              <w:rPr>
                                <w:rFonts w:ascii="Cambria Math" w:hAnsi="Cambria Math"/>
                              </w:rPr>
                            </m:ctrlPr>
                          </m:sSubPr>
                          <m:e>
                            <m:r>
                              <w:rPr>
                                <w:rFonts w:ascii="Cambria Math" w:hAnsi="Cambria Math"/>
                              </w:rPr>
                              <m:t>T</m:t>
                            </m:r>
                          </m:e>
                          <m:sub>
                            <m:r>
                              <w:rPr>
                                <w:rFonts w:ascii="Cambria Math" w:hAnsi="Cambria Math"/>
                              </w:rPr>
                              <m:t>wall</m:t>
                            </m:r>
                          </m:sub>
                        </m:sSub>
                      </m:e>
                      <m:e>
                        <m:sSub>
                          <m:sSubPr>
                            <m:ctrlPr>
                              <w:rPr>
                                <w:rFonts w:ascii="Cambria Math" w:hAnsi="Cambria Math"/>
                              </w:rPr>
                            </m:ctrlPr>
                          </m:sSubPr>
                          <m:e>
                            <m:r>
                              <w:rPr>
                                <w:rFonts w:ascii="Cambria Math" w:hAnsi="Cambria Math"/>
                              </w:rPr>
                              <m:t>T</m:t>
                            </m:r>
                          </m:e>
                          <m:sub>
                            <m:r>
                              <w:rPr>
                                <w:rFonts w:ascii="Cambria Math" w:hAnsi="Cambria Math"/>
                              </w:rPr>
                              <m:t>floor</m:t>
                            </m:r>
                          </m:sub>
                        </m:sSub>
                      </m:e>
                      <m:e>
                        <m:sSub>
                          <m:sSubPr>
                            <m:ctrlPr>
                              <w:rPr>
                                <w:rFonts w:ascii="Cambria Math" w:hAnsi="Cambria Math"/>
                              </w:rPr>
                            </m:ctrlPr>
                          </m:sSubPr>
                          <m:e>
                            <m:r>
                              <w:rPr>
                                <w:rFonts w:ascii="Cambria Math" w:hAnsi="Cambria Math"/>
                              </w:rPr>
                              <m:t>M</m:t>
                            </m:r>
                          </m:e>
                          <m:sub>
                            <m:r>
                              <w:rPr>
                                <w:rFonts w:ascii="Cambria Math" w:hAnsi="Cambria Math"/>
                              </w:rPr>
                              <m:t>sump</m:t>
                            </m:r>
                          </m:sub>
                        </m:sSub>
                      </m:e>
                    </m:mr>
                  </m:m>
                </m:e>
              </m:d>
            </m:e>
            <m:sup>
              <m:r>
                <w:rPr>
                  <w:rFonts w:ascii="Cambria Math" w:hAnsi="Cambria Math"/>
                </w:rPr>
                <m:t>T</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m:t>
              </m:r>
            </m:e>
          </m:d>
        </m:oMath>
      </m:oMathPara>
    </w:p>
    <w:p w14:paraId="41E6C417" w14:textId="77777777" w:rsidR="000F504F" w:rsidRDefault="00000000">
      <w:pPr>
        <w:pStyle w:val="FirstParagraph"/>
      </w:pPr>
      <w:r>
        <w:t>The model is driven by source terms derived from the FLARE RCS output: break mass flow, break enthalpy, and hydrogen generation.</w:t>
      </w:r>
    </w:p>
    <w:p w14:paraId="4CFD72A2" w14:textId="77777777" w:rsidR="000F504F" w:rsidRDefault="00000000">
      <w:pPr>
        <w:pStyle w:val="Heading2"/>
      </w:pPr>
      <w:bookmarkStart w:id="59" w:name="_Toc231232904"/>
      <w:r>
        <w:lastRenderedPageBreak/>
        <w:t>7.2 Species Mass Balances</w:t>
      </w:r>
      <w:bookmarkEnd w:id="59"/>
    </w:p>
    <w:p w14:paraId="3223873F" w14:textId="77777777" w:rsidR="000F504F" w:rsidRDefault="00000000">
      <w:pPr>
        <w:pStyle w:val="FirstParagraph"/>
      </w:pPr>
      <w:r>
        <w:t>The dry-air mass is constant unless a user-specified leakage or purge model is activated:</w:t>
      </w:r>
    </w:p>
    <w:p w14:paraId="18083FE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air</m:t>
                  </m:r>
                </m:sub>
              </m:sSub>
            </m:num>
            <m:den>
              <m:r>
                <w:rPr>
                  <w:rFonts w:ascii="Cambria Math" w:hAnsi="Cambria Math"/>
                </w:rPr>
                <m:t>dt</m:t>
              </m:r>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m:t>
              </m:r>
            </m:e>
          </m:d>
        </m:oMath>
      </m:oMathPara>
    </w:p>
    <w:p w14:paraId="0F8917E1" w14:textId="77777777" w:rsidR="000F504F" w:rsidRDefault="00000000">
      <w:pPr>
        <w:pStyle w:val="FirstParagraph"/>
      </w:pPr>
      <w:r>
        <w:t>The steam mass balance is</w:t>
      </w:r>
    </w:p>
    <w:p w14:paraId="1965CFBC"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r>
                <w:rPr>
                  <w:rFonts w:ascii="Cambria Math" w:hAnsi="Cambria Math"/>
                </w:rPr>
                <m:t>s</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13.3</m:t>
              </m:r>
            </m:e>
          </m:d>
        </m:oMath>
      </m:oMathPara>
    </w:p>
    <w:p w14:paraId="71DF0D3A" w14:textId="77777777" w:rsidR="000F504F" w:rsidRDefault="00000000">
      <w:pPr>
        <w:pStyle w:val="FirstParagraph"/>
      </w:pPr>
      <w:r>
        <w:t>The hydrogen mass balance is</w:t>
      </w:r>
    </w:p>
    <w:p w14:paraId="150B512D"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leak</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13.4</m:t>
              </m:r>
            </m:e>
          </m:d>
        </m:oMath>
      </m:oMathPara>
    </w:p>
    <w:p w14:paraId="6E35DC6C" w14:textId="77777777" w:rsidR="000F504F" w:rsidRDefault="00000000">
      <w:pPr>
        <w:pStyle w:val="FirstParagraph"/>
      </w:pPr>
      <w:r>
        <w:t>The sump liquid mass balance is</w:t>
      </w:r>
    </w:p>
    <w:p w14:paraId="23561A77"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r>
                    <w:rPr>
                      <w:rFonts w:ascii="Cambria Math" w:hAnsi="Cambria Math"/>
                    </w:rPr>
                    <m:t>sump</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l</m:t>
              </m:r>
              <m:r>
                <m:rPr>
                  <m:sty m:val="p"/>
                </m:rPr>
                <w:rPr>
                  <w:rFonts w:ascii="Cambria Math" w:hAnsi="Cambria Math"/>
                </w:rPr>
                <m:t>,</m:t>
              </m:r>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r>
                <m:rPr>
                  <m:sty m:val="p"/>
                </m:rPr>
                <w:rPr>
                  <w:rFonts w:ascii="Cambria Math" w:hAnsi="Cambria Math"/>
                </w:rPr>
                <m:t>,</m:t>
              </m:r>
              <m:r>
                <w:rPr>
                  <w:rFonts w:ascii="Cambria Math" w:hAnsi="Cambria Math"/>
                </w:rPr>
                <m:t>evap</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drain</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13.5</m:t>
              </m:r>
            </m:e>
          </m:d>
        </m:oMath>
      </m:oMathPara>
    </w:p>
    <w:p w14:paraId="39420B31" w14:textId="77777777" w:rsidR="000F504F" w:rsidRDefault="00000000">
      <w:pPr>
        <w:pStyle w:val="FirstParagraph"/>
      </w:pPr>
      <w:r>
        <w:t>The sump level is</w:t>
      </w:r>
    </w:p>
    <w:p w14:paraId="35B426F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L</m:t>
              </m:r>
            </m:e>
            <m:sub>
              <m:r>
                <w:rPr>
                  <w:rFonts w:ascii="Cambria Math" w:hAnsi="Cambria Math"/>
                </w:rPr>
                <m:t>sump</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sump</m:t>
                  </m:r>
                </m:sub>
              </m:sSub>
            </m:num>
            <m:den>
              <m:sSub>
                <m:sSubPr>
                  <m:ctrlPr>
                    <w:rPr>
                      <w:rFonts w:ascii="Cambria Math" w:hAnsi="Cambria Math"/>
                    </w:rPr>
                  </m:ctrlPr>
                </m:sSubPr>
                <m:e>
                  <m:r>
                    <w:rPr>
                      <w:rFonts w:ascii="Cambria Math" w:hAnsi="Cambria Math"/>
                    </w:rPr>
                    <m:t>ρ</m:t>
                  </m:r>
                </m:e>
                <m:sub>
                  <m:r>
                    <w:rPr>
                      <w:rFonts w:ascii="Cambria Math" w:hAnsi="Cambria Math"/>
                    </w:rPr>
                    <m:t>l</m:t>
                  </m:r>
                </m:sub>
              </m:sSub>
              <m:sSub>
                <m:sSubPr>
                  <m:ctrlPr>
                    <w:rPr>
                      <w:rFonts w:ascii="Cambria Math" w:hAnsi="Cambria Math"/>
                    </w:rPr>
                  </m:ctrlPr>
                </m:sSubPr>
                <m:e>
                  <m:r>
                    <w:rPr>
                      <w:rFonts w:ascii="Cambria Math" w:hAnsi="Cambria Math"/>
                    </w:rPr>
                    <m:t>A</m:t>
                  </m:r>
                </m:e>
                <m:sub>
                  <m:r>
                    <w:rPr>
                      <w:rFonts w:ascii="Cambria Math" w:hAnsi="Cambria Math"/>
                    </w:rPr>
                    <m:t>floor</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13.6</m:t>
              </m:r>
            </m:e>
          </m:d>
        </m:oMath>
      </m:oMathPara>
    </w:p>
    <w:p w14:paraId="5B4805EF" w14:textId="77777777" w:rsidR="000F504F" w:rsidRDefault="00000000">
      <w:pPr>
        <w:pStyle w:val="Heading2"/>
      </w:pPr>
      <w:bookmarkStart w:id="60" w:name="_Toc231232905"/>
      <w:r>
        <w:t>7.3 Gas Equation of State</w:t>
      </w:r>
      <w:bookmarkEnd w:id="60"/>
    </w:p>
    <w:p w14:paraId="751875BE" w14:textId="77777777" w:rsidR="000F504F" w:rsidRDefault="00000000">
      <w:pPr>
        <w:pStyle w:val="FirstParagraph"/>
      </w:pPr>
      <w:r>
        <w:t>Air and hydrogen are treated as ideal gases:</w:t>
      </w:r>
    </w:p>
    <w:p w14:paraId="4669E4A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R</m:t>
                  </m:r>
                </m:e>
                <m:sub>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R</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num>
            <m:den>
              <m:sSub>
                <m:sSubPr>
                  <m:ctrlPr>
                    <w:rPr>
                      <w:rFonts w:ascii="Cambria Math" w:hAnsi="Cambria Math"/>
                    </w:rPr>
                  </m:ctrlPr>
                </m:sSubPr>
                <m:e>
                  <m:r>
                    <w:rPr>
                      <w:rFonts w:ascii="Cambria Math" w:hAnsi="Cambria Math"/>
                    </w:rPr>
                    <m:t>V</m:t>
                  </m:r>
                </m:e>
                <m:sub>
                  <m:r>
                    <w:rPr>
                      <w:rFonts w:ascii="Cambria Math" w:hAnsi="Cambria Math"/>
                    </w:rPr>
                    <m:t>g</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13.7</m:t>
              </m:r>
            </m:e>
          </m:d>
        </m:oMath>
      </m:oMathPara>
    </w:p>
    <w:p w14:paraId="67757A10" w14:textId="77777777" w:rsidR="000F504F" w:rsidRDefault="00000000">
      <w:pPr>
        <w:pStyle w:val="FirstParagraph"/>
      </w:pPr>
      <w:r>
        <w:t>The steam partial pressure is limited by saturation at the gas temperature:</w:t>
      </w:r>
    </w:p>
    <w:p w14:paraId="20D895C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13.8</m:t>
              </m:r>
            </m:e>
          </m:d>
        </m:oMath>
      </m:oMathPara>
    </w:p>
    <w:p w14:paraId="2FF69E3A" w14:textId="77777777" w:rsidR="000F504F" w:rsidRDefault="00000000">
      <w:pPr>
        <w:pStyle w:val="FirstParagraph"/>
      </w:pPr>
      <w:r>
        <w:t>If the steam mass would imply a partial pressure above saturation, the excess steam condenses:</w:t>
      </w:r>
    </w:p>
    <w:p w14:paraId="2320F3F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sSub>
                <m:sSubPr>
                  <m:ctrlPr>
                    <w:rPr>
                      <w:rFonts w:ascii="Cambria Math" w:hAnsi="Cambria Math"/>
                    </w:rPr>
                  </m:ctrlPr>
                </m:sSubPr>
                <m:e>
                  <m:r>
                    <w:rPr>
                      <w:rFonts w:ascii="Cambria Math" w:hAnsi="Cambria Math"/>
                    </w:rPr>
                    <m:t>V</m:t>
                  </m:r>
                </m:e>
                <m:sub>
                  <m:r>
                    <w:rPr>
                      <w:rFonts w:ascii="Cambria Math" w:hAnsi="Cambria Math"/>
                    </w:rPr>
                    <m:t>g</m:t>
                  </m:r>
                </m:sub>
              </m:sSub>
            </m:num>
            <m:den>
              <m:sSub>
                <m:sSubPr>
                  <m:ctrlPr>
                    <w:rPr>
                      <w:rFonts w:ascii="Cambria Math" w:hAnsi="Cambria Math"/>
                    </w:rPr>
                  </m:ctrlPr>
                </m:sSubPr>
                <m:e>
                  <m:r>
                    <w:rPr>
                      <w:rFonts w:ascii="Cambria Math" w:hAnsi="Cambria Math"/>
                    </w:rPr>
                    <m:t>R</m:t>
                  </m:r>
                </m:e>
                <m:sub>
                  <m:r>
                    <w:rPr>
                      <w:rFonts w:ascii="Cambria Math" w:hAnsi="Cambria Math"/>
                    </w:rPr>
                    <m:t>s</m:t>
                  </m:r>
                </m:sub>
              </m:sSub>
              <m:sSub>
                <m:sSubPr>
                  <m:ctrlPr>
                    <w:rPr>
                      <w:rFonts w:ascii="Cambria Math" w:hAnsi="Cambria Math"/>
                    </w:rPr>
                  </m:ctrlPr>
                </m:sSubPr>
                <m:e>
                  <m:r>
                    <w:rPr>
                      <w:rFonts w:ascii="Cambria Math" w:hAnsi="Cambria Math"/>
                    </w:rPr>
                    <m:t>T</m:t>
                  </m:r>
                </m:e>
                <m:sub>
                  <m:r>
                    <w:rPr>
                      <w:rFonts w:ascii="Cambria Math" w:hAnsi="Cambria Math"/>
                    </w:rPr>
                    <m:t>g</m:t>
                  </m:r>
                </m:sub>
              </m:sSub>
            </m:den>
          </m:f>
          <m:r>
            <m:rPr>
              <m:sty m:val="p"/>
            </m:rPr>
            <w:rPr>
              <w:rFonts w:ascii="Cambria Math" w:hAnsi="Cambria Math"/>
            </w:rPr>
            <m:t>,</m:t>
          </m:r>
          <m:r>
            <w:rPr>
              <w:rFonts w:ascii="Cambria Math" w:hAnsi="Cambria Math"/>
            </w:rPr>
            <m:t>  Δ</m:t>
          </m:r>
          <m:sSub>
            <m:sSubPr>
              <m:ctrlPr>
                <w:rPr>
                  <w:rFonts w:ascii="Cambria Math" w:hAnsi="Cambria Math"/>
                </w:rPr>
              </m:ctrlPr>
            </m:sSubPr>
            <m:e>
              <m:r>
                <w:rPr>
                  <w:rFonts w:ascii="Cambria Math" w:hAnsi="Cambria Math"/>
                </w:rPr>
                <m:t>M</m:t>
              </m:r>
            </m:e>
            <m:sub>
              <m:r>
                <w:rPr>
                  <w:rFonts w:ascii="Cambria Math" w:hAnsi="Cambria Math"/>
                </w:rPr>
                <m:t>cond</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r>
                    <m:rPr>
                      <m:sty m:val="p"/>
                    </m:rPr>
                    <w:rPr>
                      <w:rFonts w:ascii="Cambria Math" w:hAnsi="Cambria Math"/>
                    </w:rPr>
                    <m:t>,</m:t>
                  </m:r>
                  <m:r>
                    <w:rPr>
                      <w:rFonts w:ascii="Cambria Math" w:hAnsi="Cambria Math"/>
                    </w:rPr>
                    <m:t>eq</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13.9</m:t>
              </m:r>
            </m:e>
          </m:d>
        </m:oMath>
      </m:oMathPara>
    </w:p>
    <w:p w14:paraId="423CC704" w14:textId="77777777" w:rsidR="000F504F" w:rsidRDefault="00000000">
      <w:pPr>
        <w:pStyle w:val="FirstParagraph"/>
      </w:pPr>
      <w:r>
        <w:t>Total pressure is the sum of partial pressures:</w:t>
      </w:r>
    </w:p>
    <w:p w14:paraId="30ABAE5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tot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air</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13.10</m:t>
              </m:r>
            </m:e>
          </m:d>
        </m:oMath>
      </m:oMathPara>
    </w:p>
    <w:p w14:paraId="454BD077" w14:textId="77777777" w:rsidR="000F504F" w:rsidRDefault="00000000">
      <w:pPr>
        <w:pStyle w:val="FirstParagraph"/>
      </w:pPr>
      <w:r>
        <w:t>The hydrogen and steam volume fractions are</w:t>
      </w:r>
    </w:p>
    <w:p w14:paraId="08893A0E"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H</m:t>
                      </m:r>
                    </m:e>
                    <m:sub>
                      <m:r>
                        <w:rPr>
                          <w:rFonts w:ascii="Cambria Math" w:hAnsi="Cambria Math"/>
                        </w:rPr>
                        <m:t>2</m:t>
                      </m:r>
                    </m:sub>
                  </m:sSub>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sub>
              </m:sSub>
            </m:num>
            <m:den>
              <m:sSub>
                <m:sSubPr>
                  <m:ctrlPr>
                    <w:rPr>
                      <w:rFonts w:ascii="Cambria Math" w:hAnsi="Cambria Math"/>
                    </w:rPr>
                  </m:ctrlPr>
                </m:sSubPr>
                <m:e>
                  <m:r>
                    <w:rPr>
                      <w:rFonts w:ascii="Cambria Math" w:hAnsi="Cambria Math"/>
                    </w:rPr>
                    <m:t>P</m:t>
                  </m:r>
                </m:e>
                <m:sub>
                  <m:r>
                    <w:rPr>
                      <w:rFonts w:ascii="Cambria Math" w:hAnsi="Cambria Math"/>
                    </w:rPr>
                    <m:t>tot</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13.11</m:t>
              </m:r>
            </m:e>
          </m:d>
        </m:oMath>
      </m:oMathPara>
    </w:p>
    <w:p w14:paraId="1384CFE1" w14:textId="77777777" w:rsidR="000F504F" w:rsidRDefault="00000000">
      <w:pPr>
        <w:pStyle w:val="Heading2"/>
      </w:pPr>
      <w:bookmarkStart w:id="61" w:name="_Toc231232906"/>
      <w:r>
        <w:t>7.4 Containment Gas Energy Balance</w:t>
      </w:r>
      <w:bookmarkEnd w:id="61"/>
    </w:p>
    <w:p w14:paraId="6927A554" w14:textId="77777777" w:rsidR="000F504F" w:rsidRDefault="00000000">
      <w:pPr>
        <w:pStyle w:val="FirstParagraph"/>
      </w:pPr>
      <w:r>
        <w:t>The gas energy balance is</w:t>
      </w:r>
    </w:p>
    <w:p w14:paraId="30FE895E" w14:textId="77777777" w:rsidR="000F504F" w:rsidRDefault="00000000">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U</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floor</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leak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13.12</m:t>
              </m:r>
            </m:e>
          </m:d>
        </m:oMath>
      </m:oMathPara>
    </w:p>
    <w:p w14:paraId="2FE8ACAC" w14:textId="77777777" w:rsidR="000F504F" w:rsidRDefault="00000000">
      <w:pPr>
        <w:pStyle w:val="FirstParagraph"/>
      </w:pPr>
      <w:r>
        <w:lastRenderedPageBreak/>
        <w:t>The source enthalpy rate from the RCS break is</w:t>
      </w:r>
    </w:p>
    <w:p w14:paraId="0C350DF1"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w:rPr>
                  <w:rFonts w:ascii="Cambria Math" w:hAnsi="Cambria Math"/>
                </w:rPr>
                <m:t>in</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sub>
          </m:sSub>
          <m:sSub>
            <m:sSubPr>
              <m:ctrlPr>
                <w:rPr>
                  <w:rFonts w:ascii="Cambria Math" w:hAnsi="Cambria Math"/>
                </w:rPr>
              </m:ctrlPr>
            </m:sSubPr>
            <m:e>
              <m:r>
                <w:rPr>
                  <w:rFonts w:ascii="Cambria Math" w:hAnsi="Cambria Math"/>
                </w:rPr>
                <m:t>h</m:t>
              </m:r>
            </m:e>
            <m:sub>
              <m:r>
                <w:rPr>
                  <w:rFonts w:ascii="Cambria Math" w:hAnsi="Cambria Math"/>
                </w:rPr>
                <m:t>break</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13.13</m:t>
              </m:r>
            </m:e>
          </m:d>
        </m:oMath>
      </m:oMathPara>
    </w:p>
    <w:p w14:paraId="6A6486A7" w14:textId="77777777" w:rsidR="000F504F" w:rsidRDefault="00000000">
      <w:pPr>
        <w:pStyle w:val="FirstParagraph"/>
      </w:pPr>
      <w:r>
        <w:t>The gas internal energy is approximated by a species sum:</w:t>
      </w:r>
    </w:p>
    <w:p w14:paraId="2D8EA60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air</m:t>
              </m:r>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r>
                <w:rPr>
                  <w:rFonts w:ascii="Cambria Math" w:hAnsi="Cambria Math"/>
                </w:rPr>
                <m:t>air</m:t>
              </m:r>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s</m:t>
              </m:r>
            </m:sub>
          </m:sSub>
          <m:sSub>
            <m:sSubPr>
              <m:ctrlPr>
                <w:rPr>
                  <w:rFonts w:ascii="Cambria Math" w:hAnsi="Cambria Math"/>
                </w:rPr>
              </m:ctrlPr>
            </m:sSubPr>
            <m:e>
              <m:r>
                <w:rPr>
                  <w:rFonts w:ascii="Cambria Math" w:hAnsi="Cambria Math"/>
                </w:rPr>
                <m:t>u</m:t>
              </m:r>
            </m:e>
            <m:sub>
              <m: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e>
          </m:d>
          <m:r>
            <m:rPr>
              <m:sty m:val="p"/>
            </m:rPr>
            <w:rPr>
              <w:rFonts w:ascii="Cambria Math" w:hAnsi="Cambria Math"/>
            </w:rPr>
            <m:t>+</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c</m:t>
              </m:r>
            </m:e>
            <m:sub>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2</m:t>
                  </m:r>
                </m:sub>
              </m:sSub>
            </m:sub>
          </m:sSub>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13.14</m:t>
              </m:r>
            </m:e>
          </m:d>
        </m:oMath>
      </m:oMathPara>
    </w:p>
    <w:p w14:paraId="54847A4A" w14:textId="77777777" w:rsidR="000F504F" w:rsidRDefault="00000000">
      <w:pPr>
        <w:pStyle w:val="FirstParagraph"/>
      </w:pPr>
      <w:r>
        <w:t>The gas temperature is solved consistently with the updated internal energy and species masses. Because steam can condense, the energy and species equations are coupled through saturation and latent heat.</w:t>
      </w:r>
    </w:p>
    <w:p w14:paraId="79544C9C" w14:textId="77777777" w:rsidR="000F504F" w:rsidRDefault="00000000">
      <w:pPr>
        <w:pStyle w:val="Heading2"/>
      </w:pPr>
      <w:bookmarkStart w:id="62" w:name="_Toc231232907"/>
      <w:r>
        <w:t>7.5 Wall, Condensation, Spray, and Sump Cooling</w:t>
      </w:r>
      <w:bookmarkEnd w:id="62"/>
    </w:p>
    <w:p w14:paraId="320BF3CF" w14:textId="77777777" w:rsidR="000F504F" w:rsidRDefault="00000000">
      <w:pPr>
        <w:pStyle w:val="FirstParagraph"/>
      </w:pPr>
      <w:r>
        <w:t>Heat transfer from gas to liner/wall is represented by a combined convection and radiation coefficient:</w:t>
      </w:r>
    </w:p>
    <w:p w14:paraId="0F951ED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wall</m:t>
              </m:r>
            </m:sub>
          </m:sSub>
          <m:sSub>
            <m:sSubPr>
              <m:ctrlPr>
                <w:rPr>
                  <w:rFonts w:ascii="Cambria Math" w:hAnsi="Cambria Math"/>
                </w:rPr>
              </m:ctrlPr>
            </m:sSubPr>
            <m:e>
              <m:r>
                <w:rPr>
                  <w:rFonts w:ascii="Cambria Math" w:hAnsi="Cambria Math"/>
                </w:rPr>
                <m:t>A</m:t>
              </m:r>
            </m:e>
            <m:sub>
              <m:r>
                <w:rPr>
                  <w:rFonts w:ascii="Cambria Math" w:hAnsi="Cambria Math"/>
                </w:rPr>
                <m:t>wall</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13.15</m:t>
              </m:r>
            </m:e>
          </m:d>
        </m:oMath>
      </m:oMathPara>
    </w:p>
    <w:p w14:paraId="66CD2BB8" w14:textId="77777777" w:rsidR="000F504F" w:rsidRDefault="00000000">
      <w:pPr>
        <w:pStyle w:val="FirstParagraph"/>
      </w:pPr>
      <w:r>
        <w:t>The wall heat capacity equation is</w:t>
      </w:r>
    </w:p>
    <w:p w14:paraId="6813173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wall</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wall</m:t>
              </m:r>
            </m:sub>
          </m:sSub>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T</m:t>
                  </m:r>
                </m:e>
                <m:sub>
                  <m:r>
                    <w:rPr>
                      <w:rFonts w:ascii="Cambria Math" w:hAnsi="Cambria Math"/>
                    </w:rPr>
                    <m:t>wall</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13.16</m:t>
              </m:r>
            </m:e>
          </m:d>
        </m:oMath>
      </m:oMathPara>
    </w:p>
    <w:p w14:paraId="3F6EB655" w14:textId="77777777" w:rsidR="000F504F" w:rsidRDefault="00000000">
      <w:pPr>
        <w:pStyle w:val="FirstParagraph"/>
      </w:pPr>
      <w:r>
        <w:t>A reduced one-dimensional conduction approximation transfers heat into the concrete:</w:t>
      </w:r>
    </w:p>
    <w:p w14:paraId="15559F7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cond</m:t>
              </m:r>
              <m:r>
                <m:rPr>
                  <m:sty m:val="p"/>
                </m:rPr>
                <w:rPr>
                  <w:rFonts w:ascii="Cambria Math" w:hAnsi="Cambria Math"/>
                </w:rPr>
                <m:t>,</m:t>
              </m:r>
              <m:r>
                <w:rPr>
                  <w:rFonts w:ascii="Cambria Math" w:hAnsi="Cambria Math"/>
                </w:rPr>
                <m:t>wall</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conc</m:t>
                  </m:r>
                </m:sub>
              </m:sSub>
              <m:sSub>
                <m:sSubPr>
                  <m:ctrlPr>
                    <w:rPr>
                      <w:rFonts w:ascii="Cambria Math" w:hAnsi="Cambria Math"/>
                    </w:rPr>
                  </m:ctrlPr>
                </m:sSubPr>
                <m:e>
                  <m:r>
                    <w:rPr>
                      <w:rFonts w:ascii="Cambria Math" w:hAnsi="Cambria Math"/>
                    </w:rPr>
                    <m:t>A</m:t>
                  </m:r>
                </m:e>
                <m:sub>
                  <m:r>
                    <w:rPr>
                      <w:rFonts w:ascii="Cambria Math" w:hAnsi="Cambria Math"/>
                    </w:rPr>
                    <m:t>wall</m:t>
                  </m:r>
                </m:sub>
              </m:sSub>
            </m:num>
            <m:den>
              <m:sSub>
                <m:sSubPr>
                  <m:ctrlPr>
                    <w:rPr>
                      <w:rFonts w:ascii="Cambria Math" w:hAnsi="Cambria Math"/>
                    </w:rPr>
                  </m:ctrlPr>
                </m:sSubPr>
                <m:e>
                  <m:r>
                    <w:rPr>
                      <w:rFonts w:ascii="Cambria Math" w:hAnsi="Cambria Math"/>
                    </w:rPr>
                    <m:t>δ</m:t>
                  </m:r>
                </m:e>
                <m:sub>
                  <m:r>
                    <w:rPr>
                      <w:rFonts w:ascii="Cambria Math" w:hAnsi="Cambria Math"/>
                    </w:rPr>
                    <m:t>eff</m:t>
                  </m:r>
                </m:sub>
              </m:sSub>
            </m:den>
          </m:f>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conc</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13.17</m:t>
              </m:r>
            </m:e>
          </m:d>
        </m:oMath>
      </m:oMathPara>
    </w:p>
    <w:p w14:paraId="10D26D3F" w14:textId="77777777" w:rsidR="000F504F" w:rsidRDefault="00000000">
      <w:pPr>
        <w:pStyle w:val="FirstParagraph"/>
      </w:pPr>
      <w:r>
        <w:t>Wall condensation occurs when the steam partial pressure exceeds the saturation pressure at the wall temperature. A simplified condensation driving potential is</w:t>
      </w:r>
    </w:p>
    <w:p w14:paraId="73B5D064" w14:textId="77777777" w:rsidR="000F504F" w:rsidRDefault="00000000">
      <w:pPr>
        <w:pStyle w:val="BodyText"/>
      </w:pPr>
      <m:oMathPara>
        <m:oMathParaPr>
          <m:jc m:val="center"/>
        </m:oMathParaP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sat</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wall</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13.18</m:t>
              </m:r>
            </m:e>
          </m:d>
        </m:oMath>
      </m:oMathPara>
    </w:p>
    <w:p w14:paraId="2108899C" w14:textId="77777777" w:rsidR="000F504F" w:rsidRDefault="00000000">
      <w:pPr>
        <w:pStyle w:val="FirstParagraph"/>
      </w:pPr>
      <w:r>
        <w:t xml:space="preserve">For </w:t>
      </w:r>
      <m:oMath>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&gt;</m:t>
        </m:r>
        <m:r>
          <w:rPr>
            <w:rFonts w:ascii="Cambria Math" w:hAnsi="Cambria Math"/>
          </w:rPr>
          <m:t>0</m:t>
        </m:r>
      </m:oMath>
      <w:r>
        <w:t>, the condensation mass rate may be written as</w:t>
      </w:r>
    </w:p>
    <w:p w14:paraId="5F93F41F"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cond</m:t>
              </m:r>
            </m:sub>
          </m:sSub>
          <m:sSub>
            <m:sSubPr>
              <m:ctrlPr>
                <w:rPr>
                  <w:rFonts w:ascii="Cambria Math" w:hAnsi="Cambria Math"/>
                </w:rPr>
              </m:ctrlPr>
            </m:sSubPr>
            <m:e>
              <m:r>
                <w:rPr>
                  <w:rFonts w:ascii="Cambria Math" w:hAnsi="Cambria Math"/>
                </w:rPr>
                <m:t>A</m:t>
              </m:r>
            </m:e>
            <m:sub>
              <m:r>
                <w:rPr>
                  <w:rFonts w:ascii="Cambria Math" w:hAnsi="Cambria Math"/>
                </w:rPr>
                <m:t>wall</m:t>
              </m:r>
            </m:sub>
          </m:sSub>
          <m:r>
            <m:rPr>
              <m:sty m:val="p"/>
            </m:rPr>
            <w:rPr>
              <w:rFonts w:ascii="Cambria Math" w:hAnsi="Cambria Math"/>
            </w:rPr>
            <m:t>max</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s</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Q</m:t>
              </m:r>
            </m:e>
            <m:sub>
              <m:r>
                <w:rPr>
                  <w:rFonts w:ascii="Cambria Math" w:hAnsi="Cambria Math"/>
                </w:rPr>
                <m:t>cond</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cond</m:t>
              </m:r>
            </m:sub>
          </m:sSub>
          <m:sSub>
            <m:sSubPr>
              <m:ctrlPr>
                <w:rPr>
                  <w:rFonts w:ascii="Cambria Math" w:hAnsi="Cambria Math"/>
                </w:rPr>
              </m:ctrlPr>
            </m:sSubPr>
            <m:e>
              <m:r>
                <w:rPr>
                  <w:rFonts w:ascii="Cambria Math" w:hAnsi="Cambria Math"/>
                </w:rPr>
                <m:t>h</m:t>
              </m:r>
            </m:e>
            <m:sub>
              <m:r>
                <w:rPr>
                  <w:rFonts w:ascii="Cambria Math" w:hAnsi="Cambria Math"/>
                </w:rPr>
                <m:t>fg</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13.19</m:t>
              </m:r>
            </m:e>
          </m:d>
        </m:oMath>
      </m:oMathPara>
    </w:p>
    <w:p w14:paraId="4A0929EB" w14:textId="77777777" w:rsidR="000F504F" w:rsidRDefault="00000000">
      <w:pPr>
        <w:pStyle w:val="FirstParagraph"/>
      </w:pPr>
      <w:r>
        <w:t>Containment spray heat removal is calculated from spray flow rate, spray water temperature, and a user-specified effectiveness:</w:t>
      </w:r>
    </w:p>
    <w:p w14:paraId="5C9A02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spray</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spray</m:t>
              </m:r>
            </m:sub>
          </m:sSub>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spray</m:t>
              </m:r>
            </m:sub>
          </m:sSub>
          <m:sSub>
            <m:sSubPr>
              <m:ctrlPr>
                <w:rPr>
                  <w:rFonts w:ascii="Cambria Math" w:hAnsi="Cambria Math"/>
                </w:rPr>
              </m:ctrlPr>
            </m:sSubPr>
            <m:e>
              <m:r>
                <w:rPr>
                  <w:rFonts w:ascii="Cambria Math" w:hAnsi="Cambria Math"/>
                </w:rPr>
                <m:t>c</m:t>
              </m:r>
            </m:e>
            <m:sub>
              <m:r>
                <w:rPr>
                  <w:rFonts w:ascii="Cambria Math" w:hAnsi="Cambria Math"/>
                </w:rPr>
                <m:t>p</m:t>
              </m:r>
              <m:r>
                <m:rPr>
                  <m:sty m:val="p"/>
                </m:rPr>
                <w:rPr>
                  <w:rFonts w:ascii="Cambria Math" w:hAnsi="Cambria Math"/>
                </w:rPr>
                <m:t>,</m:t>
              </m:r>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g</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spray</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13.20</m:t>
              </m:r>
            </m:e>
          </m:d>
        </m:oMath>
      </m:oMathPara>
    </w:p>
    <w:p w14:paraId="1B58F257" w14:textId="77777777" w:rsidR="000F504F" w:rsidRDefault="00000000">
      <w:pPr>
        <w:pStyle w:val="FirstParagraph"/>
      </w:pPr>
      <w:r>
        <w:t>Optional long-term sump cooling is represented as a prescribed heat-removal function of time:</w:t>
      </w:r>
    </w:p>
    <w:p w14:paraId="3E55BD8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LHSI</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LHSI</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13.21</m:t>
              </m:r>
            </m:e>
          </m:d>
        </m:oMath>
      </m:oMathPara>
    </w:p>
    <w:p w14:paraId="7A55FB80" w14:textId="77777777" w:rsidR="000F504F" w:rsidRDefault="00000000">
      <w:pPr>
        <w:pStyle w:val="Heading2"/>
      </w:pPr>
      <w:bookmarkStart w:id="63" w:name="_Toc231232908"/>
      <w:r>
        <w:t>7.6 Hydrogen Flammability Status and Coupling Limitation</w:t>
      </w:r>
      <w:bookmarkEnd w:id="63"/>
    </w:p>
    <w:p w14:paraId="4F9E548F" w14:textId="77777777" w:rsidR="000F504F" w:rsidRDefault="00000000">
      <w:pPr>
        <w:pStyle w:val="FirstParagraph"/>
      </w:pPr>
      <w:r>
        <w:t>Hydrogen flammability is evaluated from hydrogen and steam volume fractions. A simplified logic is</w:t>
      </w:r>
    </w:p>
    <w:p w14:paraId="081EE3EB" w14:textId="77777777" w:rsidR="000F504F" w:rsidRDefault="00000000">
      <w:pPr>
        <w:pStyle w:val="BodyText"/>
      </w:pPr>
      <m:oMathPara>
        <m:oMathParaPr>
          <m:jc m:val="center"/>
        </m:oMathParaPr>
        <m:oMath>
          <m:r>
            <m:rPr>
              <m:sty m:val="p"/>
            </m:rPr>
            <w:rPr>
              <w:rFonts w:ascii="Cambria Math" w:hAnsi="Cambria Math"/>
            </w:rPr>
            <m:t>Nonflammable:</m:t>
          </m:r>
          <m:r>
            <w:rPr>
              <w:rFonts w:ascii="Cambria Math" w:hAnsi="Cambria Math"/>
            </w:rPr>
            <m:t> </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&lt;</m:t>
          </m:r>
          <m:r>
            <w:rPr>
              <w:rFonts w:ascii="Cambria Math" w:hAnsi="Cambria Math"/>
            </w:rPr>
            <m:t>0.04 </m:t>
          </m:r>
          <m:r>
            <m:rPr>
              <m:sty m:val="p"/>
            </m:rPr>
            <w:rPr>
              <w:rFonts w:ascii="Cambria Math" w:hAnsi="Cambria Math"/>
            </w:rPr>
            <m:t>or</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13.22</m:t>
              </m:r>
            </m:e>
          </m:d>
        </m:oMath>
      </m:oMathPara>
    </w:p>
    <w:p w14:paraId="241A6C6A" w14:textId="77777777" w:rsidR="000F504F" w:rsidRDefault="00000000">
      <w:pPr>
        <w:pStyle w:val="FirstParagraph"/>
      </w:pPr>
      <w:r>
        <w:t>The deflagration region is</w:t>
      </w:r>
    </w:p>
    <w:p w14:paraId="24BDE145" w14:textId="77777777" w:rsidR="000F504F" w:rsidRDefault="00000000">
      <w:pPr>
        <w:pStyle w:val="BodyText"/>
      </w:pPr>
      <m:oMathPara>
        <m:oMathParaPr>
          <m:jc m:val="center"/>
        </m:oMathParaPr>
        <m:oMath>
          <m:r>
            <w:rPr>
              <w:rFonts w:ascii="Cambria Math" w:hAnsi="Cambria Math"/>
            </w:rPr>
            <m:t>0.04</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0.75 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0.55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13.23</m:t>
              </m:r>
            </m:e>
          </m:d>
        </m:oMath>
      </m:oMathPara>
    </w:p>
    <w:p w14:paraId="2377E7D7" w14:textId="77777777" w:rsidR="000F504F" w:rsidRDefault="00000000">
      <w:pPr>
        <w:pStyle w:val="FirstParagraph"/>
      </w:pPr>
      <w:r>
        <w:t>The detonation screening region is</w:t>
      </w:r>
    </w:p>
    <w:p w14:paraId="4A05D96E" w14:textId="77777777" w:rsidR="000F504F" w:rsidRDefault="00000000">
      <w:pPr>
        <w:pStyle w:val="BodyText"/>
      </w:pPr>
      <m:oMathPara>
        <m:oMathParaPr>
          <m:jc m:val="center"/>
        </m:oMathParaPr>
        <m:oMath>
          <m:r>
            <w:rPr>
              <w:rFonts w:ascii="Cambria Math" w:hAnsi="Cambria Math"/>
            </w:rPr>
            <m:t>0.18</m:t>
          </m:r>
          <m:r>
            <m:rPr>
              <m:sty m:val="p"/>
            </m:rPr>
            <w:rPr>
              <w:rFonts w:ascii="Cambria Math" w:hAnsi="Cambria Math"/>
            </w:rPr>
            <m:t>≤</m:t>
          </m:r>
          <m:sSub>
            <m:sSubPr>
              <m:ctrlPr>
                <w:rPr>
                  <w:rFonts w:ascii="Cambria Math" w:hAnsi="Cambria Math"/>
                </w:rPr>
              </m:ctrlPr>
            </m:sSubPr>
            <m:e>
              <m:r>
                <w:rPr>
                  <w:rFonts w:ascii="Cambria Math" w:hAnsi="Cambria Math"/>
                </w:rPr>
                <m:t>y</m:t>
              </m:r>
            </m:e>
            <m:sub>
              <m:sSub>
                <m:sSubPr>
                  <m:ctrlPr>
                    <w:rPr>
                      <w:rFonts w:ascii="Cambria Math" w:hAnsi="Cambria Math"/>
                    </w:rPr>
                  </m:ctrlPr>
                </m:sSubPr>
                <m:e>
                  <m:r>
                    <w:rPr>
                      <w:rFonts w:ascii="Cambria Math" w:hAnsi="Cambria Math"/>
                    </w:rPr>
                    <m:t>H</m:t>
                  </m:r>
                </m:e>
                <m:sub>
                  <m:r>
                    <w:rPr>
                      <w:rFonts w:ascii="Cambria Math" w:hAnsi="Cambria Math"/>
                    </w:rPr>
                    <m:t>2</m:t>
                  </m:r>
                </m:sub>
              </m:sSub>
            </m:sub>
          </m:sSub>
          <m:r>
            <m:rPr>
              <m:sty m:val="p"/>
            </m:rPr>
            <w:rPr>
              <w:rFonts w:ascii="Cambria Math" w:hAnsi="Cambria Math"/>
            </w:rPr>
            <m:t>≤</m:t>
          </m:r>
          <m:r>
            <w:rPr>
              <w:rFonts w:ascii="Cambria Math" w:hAnsi="Cambria Math"/>
            </w:rPr>
            <m:t>0.59 </m:t>
          </m:r>
          <m:r>
            <m:rPr>
              <m:sty m:val="p"/>
            </m:rPr>
            <w:rPr>
              <w:rFonts w:ascii="Cambria Math" w:hAnsi="Cambria Math"/>
            </w:rPr>
            <m:t>and</m:t>
          </m:r>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s</m:t>
              </m:r>
            </m:sub>
          </m:sSub>
          <m:r>
            <m:rPr>
              <m:sty m:val="p"/>
            </m:rPr>
            <w:rPr>
              <w:rFonts w:ascii="Cambria Math" w:hAnsi="Cambria Math"/>
            </w:rPr>
            <m:t>&lt;</m:t>
          </m:r>
          <m:r>
            <w:rPr>
              <w:rFonts w:ascii="Cambria Math" w:hAnsi="Cambria Math"/>
            </w:rPr>
            <m:t>0.35</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13.24</m:t>
              </m:r>
            </m:e>
          </m:d>
        </m:oMath>
      </m:oMathPara>
    </w:p>
    <w:p w14:paraId="5D731EE3" w14:textId="77777777" w:rsidR="000F504F" w:rsidRDefault="00000000">
      <w:pPr>
        <w:pStyle w:val="FirstParagraph"/>
      </w:pPr>
      <w:r>
        <w:lastRenderedPageBreak/>
        <w:t>FLARECON reports the status as a screening indicator. It does not simulate ignition, flame acceleration, combustion heat release, pressure spikes, or deflagration-to-detonation transition.</w:t>
      </w:r>
    </w:p>
    <w:p w14:paraId="2474C0B6" w14:textId="77777777" w:rsidR="000F504F" w:rsidRDefault="00000000">
      <w:pPr>
        <w:pStyle w:val="BodyText"/>
      </w:pPr>
      <w:r>
        <w:t>The FLARE-to-FLARECON coupling is one-way. The containment source terms are read from the RCS output:</w:t>
      </w:r>
    </w:p>
    <w:p w14:paraId="2E11BC38"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h</m:t>
              </m:r>
            </m:e>
            <m:sub>
              <m:r>
                <w:rPr>
                  <w:rFonts w:ascii="Cambria Math" w:hAnsi="Cambria Math"/>
                </w:rPr>
                <m:t>source</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break</m:t>
              </m:r>
              <m:r>
                <m:rPr>
                  <m:sty m:val="p"/>
                </m:rPr>
                <w:rPr>
                  <w:rFonts w:ascii="Cambria Math" w:hAnsi="Cambria Math"/>
                </w:rPr>
                <m:t>,</m:t>
              </m:r>
              <m:r>
                <w:rPr>
                  <w:rFonts w:ascii="Cambria Math" w:hAnsi="Cambria Math"/>
                </w:rPr>
                <m:t>RCS</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13.25</m:t>
              </m:r>
            </m:e>
          </m:d>
        </m:oMath>
      </m:oMathPara>
    </w:p>
    <w:p w14:paraId="796E695C" w14:textId="77777777" w:rsidR="000F504F" w:rsidRDefault="00000000">
      <w:pPr>
        <w:pStyle w:val="FirstParagraph"/>
      </w:pPr>
      <w:r>
        <w:t>The hydrogen source is calculated from the incremental RCS hydrogen generation:</w:t>
      </w:r>
    </w:p>
    <w:p w14:paraId="1BCCF765" w14:textId="77777777" w:rsidR="000F504F" w:rsidRDefault="00000000">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m</m:t>
                  </m:r>
                </m:e>
              </m:acc>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M</m:t>
                  </m:r>
                </m:e>
                <m:sub>
                  <m:sSub>
                    <m:sSubPr>
                      <m:ctrlPr>
                        <w:rPr>
                          <w:rFonts w:ascii="Cambria Math" w:hAnsi="Cambria Math"/>
                        </w:rPr>
                      </m:ctrlPr>
                    </m:sSubPr>
                    <m:e>
                      <m:r>
                        <w:rPr>
                          <w:rFonts w:ascii="Cambria Math" w:hAnsi="Cambria Math"/>
                        </w:rPr>
                        <m:t>H</m:t>
                      </m:r>
                    </m:e>
                    <m:sub>
                      <m:r>
                        <w:rPr>
                          <w:rFonts w:ascii="Cambria Math" w:hAnsi="Cambria Math"/>
                        </w:rPr>
                        <m:t>2</m:t>
                      </m:r>
                    </m:sub>
                  </m:sSub>
                  <m:r>
                    <m:rPr>
                      <m:sty m:val="p"/>
                    </m:rPr>
                    <w:rPr>
                      <w:rFonts w:ascii="Cambria Math" w:hAnsi="Cambria Math"/>
                    </w:rPr>
                    <m:t>,</m:t>
                  </m:r>
                  <m:r>
                    <w:rPr>
                      <w:rFonts w:ascii="Cambria Math" w:hAnsi="Cambria Math"/>
                    </w:rPr>
                    <m:t>RCS</m:t>
                  </m:r>
                </m:sub>
              </m:sSub>
            </m:num>
            <m:den>
              <m:r>
                <w:rPr>
                  <w:rFonts w:ascii="Cambria Math" w:hAnsi="Cambria Math"/>
                </w:rPr>
                <m:t>dt</m:t>
              </m:r>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13.26</m:t>
              </m:r>
            </m:e>
          </m:d>
        </m:oMath>
      </m:oMathPara>
    </w:p>
    <w:p w14:paraId="213B92AB" w14:textId="77777777" w:rsidR="000F504F" w:rsidRDefault="00000000">
      <w:pPr>
        <w:pStyle w:val="FirstParagraph"/>
      </w:pPr>
      <w:r>
        <w:t>No feedback is applied from containment pressure to the RCS break-flow model:</w:t>
      </w:r>
    </w:p>
    <w:p w14:paraId="05766DB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RCS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back</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13.27</m:t>
              </m:r>
            </m:e>
          </m:d>
        </m:oMath>
      </m:oMathPara>
    </w:p>
    <w:p w14:paraId="2B5B8C73" w14:textId="77777777" w:rsidR="000F504F" w:rsidRDefault="00000000">
      <w:pPr>
        <w:pStyle w:val="FirstParagraph"/>
      </w:pPr>
      <w:r>
        <w:t>This is a known limitation. It is conservative or nonconservative depending on the timing and magnitude of containment pressure rise relative to blowdown.</w:t>
      </w:r>
    </w:p>
    <w:p w14:paraId="0F488425" w14:textId="77777777" w:rsidR="000F504F" w:rsidRDefault="00000000">
      <w:pPr>
        <w:pStyle w:val="Heading1"/>
      </w:pPr>
      <w:bookmarkStart w:id="64" w:name="_Toc231232909"/>
      <w:r>
        <w:t>Chapter 8 — Uncertainty Analysis</w:t>
      </w:r>
      <w:bookmarkEnd w:id="64"/>
    </w:p>
    <w:p w14:paraId="6C022607" w14:textId="77777777" w:rsidR="000F504F" w:rsidRDefault="00000000">
      <w:pPr>
        <w:pStyle w:val="Heading2"/>
      </w:pPr>
      <w:bookmarkStart w:id="65" w:name="_Toc231232910"/>
      <w:r>
        <w:t>8.1 Role of Uncertainty Analysis in FLARE</w:t>
      </w:r>
      <w:bookmarkEnd w:id="65"/>
    </w:p>
    <w:p w14:paraId="2979C94A" w14:textId="77777777" w:rsidR="000F504F" w:rsidRDefault="00000000">
      <w:pPr>
        <w:pStyle w:val="FirstParagraph"/>
      </w:pPr>
      <w:r>
        <w:t>The FLARE uncertainty analysis capability is intended to support best-estimate plus uncertainty (BEPU) scoping calculations. A BEPU calculation differs from a conservative bounding calculation in that the nominal model is intended to represent the expected physical response, while important uncertain inputs are sampled explicitly and propagated through the model. The result is not a single deterministic transient, but a population of calculated transients from which statements about figures of merit can be made.</w:t>
      </w:r>
    </w:p>
    <w:p w14:paraId="402BE157" w14:textId="77777777" w:rsidR="000F504F" w:rsidRDefault="00000000">
      <w:pPr>
        <w:pStyle w:val="BodyText"/>
      </w:pPr>
      <w:r>
        <w:t>Let the uncertain input vector be denoted by</w:t>
      </w:r>
    </w:p>
    <w:p w14:paraId="6E70AF0E" w14:textId="77777777" w:rsidR="000F504F" w:rsidRDefault="00000000">
      <w:pPr>
        <w:pStyle w:val="BodyText"/>
      </w:pPr>
      <m:oMathPara>
        <m:oMathParaPr>
          <m:jc m:val="center"/>
        </m:oMathParaP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m:t>
              </m:r>
            </m:e>
          </m:d>
        </m:oMath>
      </m:oMathPara>
    </w:p>
    <w:p w14:paraId="73F88DDD" w14:textId="77777777" w:rsidR="000F504F" w:rsidRDefault="00000000">
      <w:pPr>
        <w:pStyle w:val="FirstParagraph"/>
      </w:pPr>
      <w:r>
        <w:t>where each component represents a model parameter, initial condition, boundary condition, or correlation multiplier. For a scalar figure of merit such as peak cladding temperature, maximum hot-pin ECR, peak containment pressure, or EAB dose, the calculation can be written abstractly as</w:t>
      </w:r>
    </w:p>
    <w:p w14:paraId="21675923" w14:textId="77777777" w:rsidR="000F504F" w:rsidRDefault="00000000">
      <w:pPr>
        <w:pStyle w:val="BodyText"/>
      </w:pPr>
      <m:oMathPara>
        <m:oMathParaPr>
          <m:jc m:val="center"/>
        </m:oMathParaPr>
        <m:oMath>
          <m:r>
            <w:rPr>
              <w:rFonts w:ascii="Cambria Math" w:hAnsi="Cambria Math"/>
            </w:rPr>
            <m:t>Y</m:t>
          </m:r>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m:t>
              </m:r>
            </m:e>
          </m:d>
        </m:oMath>
      </m:oMathPara>
    </w:p>
    <w:p w14:paraId="14D36551" w14:textId="77777777" w:rsidR="000F504F" w:rsidRDefault="00000000">
      <w:pPr>
        <w:pStyle w:val="FirstParagraph"/>
      </w:pPr>
      <w:r>
        <w:t xml:space="preserve">A Monte Carlo uncertainty analysis performs </w:t>
      </w:r>
      <m:oMath>
        <m:r>
          <w:rPr>
            <w:rFonts w:ascii="Cambria Math" w:hAnsi="Cambria Math"/>
          </w:rPr>
          <m:t>N</m:t>
        </m:r>
      </m:oMath>
      <w:r>
        <w:t xml:space="preserve"> statistically independent calculations,</w:t>
      </w:r>
    </w:p>
    <w:p w14:paraId="0CE2807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r>
            <w:rPr>
              <w:rFonts w:ascii="Cambria Math" w:hAnsi="Cambria Math"/>
            </w:rPr>
            <m:t>g</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  i</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m:t>
              </m:r>
            </m:e>
          </m:d>
        </m:oMath>
      </m:oMathPara>
    </w:p>
    <w:p w14:paraId="6867E764" w14:textId="77777777" w:rsidR="000F504F" w:rsidRDefault="00000000">
      <w:pPr>
        <w:pStyle w:val="FirstParagraph"/>
      </w:pPr>
      <w:r>
        <w:t xml:space="preserve">where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t xml:space="preserve"> is sampled from the joint uncertainty model. The usual sample statistics are useful diagnostic quantities,</w:t>
      </w:r>
    </w:p>
    <w:p w14:paraId="7524D911" w14:textId="77777777" w:rsidR="000F504F" w:rsidRDefault="00000000">
      <w:pPr>
        <w:pStyle w:val="BodyText"/>
      </w:pPr>
      <m:oMathPara>
        <m:oMathParaPr>
          <m:jc m:val="center"/>
        </m:oMathParaPr>
        <m:oMath>
          <m:acc>
            <m:accPr>
              <m:chr m:val="‾"/>
              <m:ctrlPr>
                <w:rPr>
                  <w:rFonts w:ascii="Cambria Math" w:hAnsi="Cambria Math"/>
                </w:rPr>
              </m:ctrlPr>
            </m:accPr>
            <m:e>
              <m:r>
                <w:rPr>
                  <w:rFonts w:ascii="Cambria Math" w:hAnsi="Cambria Math"/>
                </w:rPr>
                <m:t>Y</m:t>
              </m:r>
            </m:e>
          </m:acc>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Y</m:t>
                  </m:r>
                </m:e>
                <m:sub>
                  <m:r>
                    <w:rPr>
                      <w:rFonts w:ascii="Cambria Math" w:hAnsi="Cambria Math"/>
                    </w:rPr>
                    <m:t>i</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8.4</m:t>
              </m:r>
            </m:e>
          </m:d>
        </m:oMath>
      </m:oMathPara>
    </w:p>
    <w:p w14:paraId="21A8570A" w14:textId="77777777" w:rsidR="000F504F" w:rsidRDefault="00000000">
      <w:pPr>
        <w:pStyle w:val="FirstParagraph"/>
      </w:pPr>
      <w:r>
        <w:t>and</w:t>
      </w:r>
    </w:p>
    <w:p w14:paraId="521FE9D5"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Y</m:t>
              </m:r>
            </m:sub>
          </m:sSub>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w:rPr>
                      <w:rFonts w:ascii="Cambria Math" w:hAnsi="Cambria Math"/>
                    </w:rPr>
                    <m:t>1</m:t>
                  </m:r>
                </m:num>
                <m:den>
                  <m:r>
                    <w:rPr>
                      <w:rFonts w:ascii="Cambria Math" w:hAnsi="Cambria Math"/>
                    </w:rPr>
                    <m:t>N</m:t>
                  </m:r>
                  <m:r>
                    <m:rPr>
                      <m:sty m:val="p"/>
                    </m:rPr>
                    <w:rPr>
                      <w:rFonts w:ascii="Cambria Math" w:hAnsi="Cambria Math"/>
                    </w:rPr>
                    <m:t>-</m:t>
                  </m:r>
                  <m:r>
                    <w:rPr>
                      <w:rFonts w:ascii="Cambria Math" w:hAnsi="Cambria Math"/>
                    </w:rPr>
                    <m:t>1</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m:rPr>
                              <m:sty m:val="p"/>
                            </m:rPr>
                            <w:rPr>
                              <w:rFonts w:ascii="Cambria Math" w:hAnsi="Cambria Math"/>
                            </w:rPr>
                            <m:t>-</m:t>
                          </m:r>
                          <m:acc>
                            <m:accPr>
                              <m:chr m:val="‾"/>
                              <m:ctrlPr>
                                <w:rPr>
                                  <w:rFonts w:ascii="Cambria Math" w:hAnsi="Cambria Math"/>
                                </w:rPr>
                              </m:ctrlPr>
                            </m:accPr>
                            <m:e>
                              <m:r>
                                <w:rPr>
                                  <w:rFonts w:ascii="Cambria Math" w:hAnsi="Cambria Math"/>
                                </w:rPr>
                                <m:t>Y</m:t>
                              </m:r>
                            </m:e>
                          </m:acc>
                        </m:e>
                      </m:d>
                    </m:e>
                    <m:sup>
                      <m:r>
                        <w:rPr>
                          <w:rFonts w:ascii="Cambria Math" w:hAnsi="Cambria Math"/>
                        </w:rPr>
                        <m:t>2</m:t>
                      </m:r>
                    </m:sup>
                  </m:sSup>
                </m:e>
              </m:nary>
            </m:e>
          </m:ra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8.5</m:t>
              </m:r>
            </m:e>
          </m:d>
        </m:oMath>
      </m:oMathPara>
    </w:p>
    <w:p w14:paraId="2D5A69FF" w14:textId="77777777" w:rsidR="000F504F" w:rsidRDefault="00000000">
      <w:pPr>
        <w:pStyle w:val="FirstParagraph"/>
      </w:pPr>
      <w:r>
        <w:lastRenderedPageBreak/>
        <w:t>However, for licensing-style BEPU calculations the mean and standard deviation are not the principal acceptance quantities. Regulatory acceptance questions are normally posed in terms of whether calculated safety metrics remain below prescribed limits with a high level of probability. For that purpose, FLARE emphasizes non-parametric order statistics, commonly referred to in the nuclear safety analysis community as the Wilks method.</w:t>
      </w:r>
    </w:p>
    <w:p w14:paraId="00A11868" w14:textId="77777777" w:rsidR="000F504F" w:rsidRDefault="00000000">
      <w:pPr>
        <w:pStyle w:val="Heading2"/>
      </w:pPr>
      <w:bookmarkStart w:id="66" w:name="_Toc231232911"/>
      <w:r>
        <w:t>8.2 Sampling of Input Uncertainties</w:t>
      </w:r>
      <w:bookmarkEnd w:id="66"/>
    </w:p>
    <w:p w14:paraId="3F320D2C" w14:textId="77777777" w:rsidR="000F504F" w:rsidRDefault="00000000">
      <w:pPr>
        <w:pStyle w:val="FirstParagraph"/>
      </w:pPr>
      <w:r>
        <w:t xml:space="preserve">FLARE treats each sampled input as a realization of a prescribed distribution. For a uniform distribution on </w:t>
      </w:r>
      <m:oMath>
        <m:d>
          <m:dPr>
            <m:begChr m:val="["/>
            <m:endChr m:val="]"/>
            <m:ctrlPr>
              <w:rPr>
                <w:rFonts w:ascii="Cambria Math" w:hAnsi="Cambria Math"/>
              </w:rPr>
            </m:ctrlPr>
          </m:dPr>
          <m:e>
            <m:r>
              <w:rPr>
                <w:rFonts w:ascii="Cambria Math" w:hAnsi="Cambria Math"/>
              </w:rPr>
              <m:t>a</m:t>
            </m:r>
            <m:r>
              <m:rPr>
                <m:sty m:val="p"/>
              </m:rPr>
              <w:rPr>
                <w:rFonts w:ascii="Cambria Math" w:hAnsi="Cambria Math"/>
              </w:rPr>
              <m:t>,</m:t>
            </m:r>
            <m:r>
              <w:rPr>
                <w:rFonts w:ascii="Cambria Math" w:hAnsi="Cambria Math"/>
              </w:rPr>
              <m:t>b</m:t>
            </m:r>
          </m:e>
        </m:d>
      </m:oMath>
      <w:r>
        <w:t>, the sampled value is</w:t>
      </w:r>
    </w:p>
    <w:p w14:paraId="7E301E15"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a</m:t>
          </m:r>
          <m:r>
            <m:rPr>
              <m:sty m:val="p"/>
            </m:rPr>
            <w:rPr>
              <w:rFonts w:ascii="Cambria Math" w:hAnsi="Cambria Math"/>
            </w:rPr>
            <m:t>+</m:t>
          </m:r>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a</m:t>
              </m:r>
            </m:e>
          </m:d>
          <m:r>
            <w:rPr>
              <w:rFonts w:ascii="Cambria Math" w:hAnsi="Cambria Math"/>
            </w:rPr>
            <m:t>ξ</m:t>
          </m:r>
          <m:r>
            <m:rPr>
              <m:sty m:val="p"/>
            </m:rPr>
            <w:rPr>
              <w:rFonts w:ascii="Cambria Math" w:hAnsi="Cambria Math"/>
            </w:rPr>
            <m:t>,</m:t>
          </m:r>
          <m:r>
            <w:rPr>
              <w:rFonts w:ascii="Cambria Math" w:hAnsi="Cambria Math"/>
            </w:rPr>
            <m:t>  ξ</m:t>
          </m:r>
          <m:r>
            <m:rPr>
              <m:sty m:val="p"/>
            </m:rPr>
            <w:rPr>
              <w:rFonts w:ascii="Cambria Math" w:hAnsi="Cambria Math"/>
            </w:rPr>
            <m:t>∼</m:t>
          </m:r>
          <m:r>
            <w:rPr>
              <w:rFonts w:ascii="Cambria Math" w:hAnsi="Cambria Math"/>
            </w:rPr>
            <m:t>U</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8.6</m:t>
              </m:r>
            </m:e>
          </m:d>
        </m:oMath>
      </m:oMathPara>
    </w:p>
    <w:p w14:paraId="16FF13C7" w14:textId="77777777" w:rsidR="000F504F" w:rsidRDefault="00000000">
      <w:pPr>
        <w:pStyle w:val="FirstParagraph"/>
      </w:pPr>
      <w:r>
        <w:t xml:space="preserve">For a normal distribution with mean </w:t>
      </w:r>
      <m:oMath>
        <m:r>
          <w:rPr>
            <w:rFonts w:ascii="Cambria Math" w:hAnsi="Cambria Math"/>
          </w:rPr>
          <m:t>μ</m:t>
        </m:r>
      </m:oMath>
      <w:r>
        <w:t xml:space="preserve"> and standard deviation </w:t>
      </w:r>
      <m:oMath>
        <m:r>
          <w:rPr>
            <w:rFonts w:ascii="Cambria Math" w:hAnsi="Cambria Math"/>
          </w:rPr>
          <m:t>σ</m:t>
        </m:r>
      </m:oMath>
      <w:r>
        <w:t>, the sampled value is</w:t>
      </w:r>
    </w:p>
    <w:p w14:paraId="52A66E6B" w14:textId="77777777" w:rsidR="000F504F" w:rsidRDefault="00000000">
      <w:pPr>
        <w:pStyle w:val="BodyText"/>
      </w:pPr>
      <m:oMathPara>
        <m:oMathParaPr>
          <m:jc m:val="center"/>
        </m:oMathParaPr>
        <m:oMath>
          <m:r>
            <w:rPr>
              <w:rFonts w:ascii="Cambria Math" w:hAnsi="Cambria Math"/>
            </w:rPr>
            <m:t>x</m:t>
          </m:r>
          <m:r>
            <m:rPr>
              <m:sty m:val="p"/>
            </m:rPr>
            <w:rPr>
              <w:rFonts w:ascii="Cambria Math" w:hAnsi="Cambria Math"/>
            </w:rPr>
            <m:t>=</m:t>
          </m:r>
          <m:r>
            <w:rPr>
              <w:rFonts w:ascii="Cambria Math" w:hAnsi="Cambria Math"/>
            </w:rPr>
            <m:t>μ</m:t>
          </m:r>
          <m:r>
            <m:rPr>
              <m:sty m:val="p"/>
            </m:rPr>
            <w:rPr>
              <w:rFonts w:ascii="Cambria Math" w:hAnsi="Cambria Math"/>
            </w:rPr>
            <m:t>+</m:t>
          </m:r>
          <m:r>
            <w:rPr>
              <w:rFonts w:ascii="Cambria Math" w:hAnsi="Cambria Math"/>
            </w:rPr>
            <m:t>σz</m:t>
          </m:r>
          <m:r>
            <m:rPr>
              <m:sty m:val="p"/>
            </m:rPr>
            <w:rPr>
              <w:rFonts w:ascii="Cambria Math" w:hAnsi="Cambria Math"/>
            </w:rPr>
            <m:t>,</m:t>
          </m:r>
          <m:r>
            <w:rPr>
              <w:rFonts w:ascii="Cambria Math" w:hAnsi="Cambria Math"/>
            </w:rPr>
            <m:t>  z</m:t>
          </m:r>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8.7</m:t>
              </m:r>
            </m:e>
          </m:d>
        </m:oMath>
      </m:oMathPara>
    </w:p>
    <w:p w14:paraId="55E6D064" w14:textId="77777777" w:rsidR="000F504F" w:rsidRDefault="00000000">
      <w:pPr>
        <w:pStyle w:val="FirstParagraph"/>
      </w:pPr>
      <w:r>
        <w:t xml:space="preserve">The complete sampled input vector for case </w:t>
      </w:r>
      <m:oMath>
        <m:r>
          <w:rPr>
            <w:rFonts w:ascii="Cambria Math" w:hAnsi="Cambria Math"/>
          </w:rPr>
          <m:t>i</m:t>
        </m:r>
      </m:oMath>
      <w:r>
        <w:t xml:space="preserve"> is therefore</w:t>
      </w:r>
    </w:p>
    <w:p w14:paraId="12D57E26"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p</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8.8</m:t>
              </m:r>
            </m:e>
          </m:d>
        </m:oMath>
      </m:oMathPara>
    </w:p>
    <w:p w14:paraId="235527E9" w14:textId="77777777" w:rsidR="000F504F" w:rsidRDefault="00000000">
      <w:pPr>
        <w:pStyle w:val="FirstParagraph"/>
      </w:pPr>
      <w:r>
        <w:t xml:space="preserve">For the Wilks method to have its stated non-parametric interpretation, the </w:t>
      </w:r>
      <m:oMath>
        <m:r>
          <w:rPr>
            <w:rFonts w:ascii="Cambria Math" w:hAnsi="Cambria Math"/>
          </w:rPr>
          <m:t>N</m:t>
        </m:r>
      </m:oMath>
      <w:r>
        <w:t xml:space="preserve"> output samples must be independent realizations drawn from the same parent population. In practical FLARE applications, this means that the sampling catalogue, input deck, model options, timestep controls, and post-processing definitions must remain fixed across all realizations of a given uncertainty analysis. Changing the model during the run invalidates the assumption that all </w:t>
      </w:r>
      <m:oMath>
        <m:sSub>
          <m:sSubPr>
            <m:ctrlPr>
              <w:rPr>
                <w:rFonts w:ascii="Cambria Math" w:hAnsi="Cambria Math"/>
              </w:rPr>
            </m:ctrlPr>
          </m:sSubPr>
          <m:e>
            <m:r>
              <w:rPr>
                <w:rFonts w:ascii="Cambria Math" w:hAnsi="Cambria Math"/>
              </w:rPr>
              <m:t>Y</m:t>
            </m:r>
          </m:e>
          <m:sub>
            <m:r>
              <w:rPr>
                <w:rFonts w:ascii="Cambria Math" w:hAnsi="Cambria Math"/>
              </w:rPr>
              <m:t>i</m:t>
            </m:r>
          </m:sub>
        </m:sSub>
      </m:oMath>
      <w:r>
        <w:t xml:space="preserve"> are samples from the same output population.</w:t>
      </w:r>
    </w:p>
    <w:p w14:paraId="14E8E0A7" w14:textId="77777777" w:rsidR="000F504F" w:rsidRDefault="00000000">
      <w:pPr>
        <w:pStyle w:val="BodyText"/>
      </w:pPr>
      <w:r>
        <w:t>The uncertainty model should distinguish aleatory variation from epistemic uncertainty. Aleatory variability represents case-to-case variability that is naturally sampled. Epistemic uncertainty represents imperfect knowledge of model parameters, correlations, plant state, or model form. In BEPU practice, epistemic uncertainties are often represented by probability distributions for the purpose of propagation, but the credibility of the result depends on the technical basis for those distributions. A Wilks calculation is only as meaningful as the uncertainty model being sampled.</w:t>
      </w:r>
    </w:p>
    <w:p w14:paraId="44FF1353" w14:textId="77777777" w:rsidR="000F504F" w:rsidRDefault="00000000">
      <w:pPr>
        <w:pStyle w:val="Heading2"/>
      </w:pPr>
      <w:bookmarkStart w:id="67" w:name="_Toc231232912"/>
      <w:r>
        <w:t>8.3 Order Statistics and the One-Sided Tolerance Limit</w:t>
      </w:r>
      <w:bookmarkEnd w:id="67"/>
    </w:p>
    <w:p w14:paraId="08953AE3" w14:textId="77777777" w:rsidR="000F504F" w:rsidRDefault="00000000">
      <w:pPr>
        <w:pStyle w:val="FirstParagraph"/>
      </w:pPr>
      <w:r>
        <w:t xml:space="preserve">Let </w:t>
      </w:r>
      <m:oMath>
        <m:r>
          <w:rPr>
            <w:rFonts w:ascii="Cambria Math" w:hAnsi="Cambria Math"/>
          </w:rPr>
          <m:t>Y</m:t>
        </m:r>
      </m:oMath>
      <w:r>
        <w:t xml:space="preserve"> be a scalar output with unknown cumulative distribution function </w:t>
      </w:r>
      <m:oMath>
        <m:r>
          <w:rPr>
            <w:rFonts w:ascii="Cambria Math" w:hAnsi="Cambria Math"/>
          </w:rPr>
          <m:t>F</m:t>
        </m:r>
        <m:d>
          <m:dPr>
            <m:ctrlPr>
              <w:rPr>
                <w:rFonts w:ascii="Cambria Math" w:hAnsi="Cambria Math"/>
              </w:rPr>
            </m:ctrlPr>
          </m:dPr>
          <m:e>
            <m:r>
              <w:rPr>
                <w:rFonts w:ascii="Cambria Math" w:hAnsi="Cambria Math"/>
              </w:rPr>
              <m:t>y</m:t>
            </m:r>
          </m:e>
        </m:d>
      </m:oMath>
      <w:r>
        <w:t>. The Monte Carlo results are sorted from smallest to largest,</w:t>
      </w:r>
    </w:p>
    <w:p w14:paraId="6000C0DF"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1</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2</m:t>
                  </m:r>
                </m:e>
              </m:d>
            </m:sub>
          </m:sSub>
          <m:r>
            <m:rPr>
              <m:sty m:val="p"/>
            </m:rPr>
            <w:rPr>
              <w:rFonts w:ascii="Cambria Math" w:hAnsi="Cambria Math"/>
            </w:rPr>
            <m:t>≤⋯≤</m:t>
          </m:r>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8.9</m:t>
              </m:r>
            </m:e>
          </m:d>
        </m:oMath>
      </m:oMathPara>
    </w:p>
    <w:p w14:paraId="17F423E0" w14:textId="77777777" w:rsidR="000F504F" w:rsidRDefault="00000000">
      <w:pPr>
        <w:pStyle w:val="FirstParagraph"/>
      </w:pPr>
      <w:r>
        <w:t xml:space="preserve">The quantity </w:t>
      </w: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k</m:t>
                </m:r>
              </m:e>
            </m:d>
          </m:sub>
        </m:sSub>
      </m:oMath>
      <w:r>
        <w:t xml:space="preserve"> is the </w:t>
      </w:r>
      <m:oMath>
        <m:r>
          <w:rPr>
            <w:rFonts w:ascii="Cambria Math" w:hAnsi="Cambria Math"/>
          </w:rPr>
          <m:t>k</m:t>
        </m:r>
      </m:oMath>
      <w:r>
        <w:t xml:space="preserve">-th order statistic. For safety variables where larger values are more limiting, the upper tolerance limit is taken from the upper end of the sorted sample. It is convenient to define </w:t>
      </w:r>
      <m:oMath>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oMath>
      <w:r>
        <w:t xml:space="preserve">, where </w:t>
      </w:r>
      <m:oMath>
        <m:r>
          <w:rPr>
            <w:rFonts w:ascii="Cambria Math" w:hAnsi="Cambria Math"/>
          </w:rPr>
          <m:t>m</m:t>
        </m:r>
        <m:r>
          <m:rPr>
            <m:sty m:val="p"/>
          </m:rPr>
          <w:rPr>
            <w:rFonts w:ascii="Cambria Math" w:hAnsi="Cambria Math"/>
          </w:rPr>
          <m:t>=</m:t>
        </m:r>
        <m:r>
          <w:rPr>
            <w:rFonts w:ascii="Cambria Math" w:hAnsi="Cambria Math"/>
          </w:rPr>
          <m:t>1</m:t>
        </m:r>
      </m:oMath>
      <w:r>
        <w:t xml:space="preserve"> corresponds to the maximum value, </w:t>
      </w:r>
      <m:oMath>
        <m:r>
          <w:rPr>
            <w:rFonts w:ascii="Cambria Math" w:hAnsi="Cambria Math"/>
          </w:rPr>
          <m:t>m</m:t>
        </m:r>
        <m:r>
          <m:rPr>
            <m:sty m:val="p"/>
          </m:rPr>
          <w:rPr>
            <w:rFonts w:ascii="Cambria Math" w:hAnsi="Cambria Math"/>
          </w:rPr>
          <m:t>=</m:t>
        </m:r>
        <m:r>
          <w:rPr>
            <w:rFonts w:ascii="Cambria Math" w:hAnsi="Cambria Math"/>
          </w:rPr>
          <m:t>2</m:t>
        </m:r>
      </m:oMath>
      <w:r>
        <w:t xml:space="preserve"> corresponds to the second largest value, and so forth.</w:t>
      </w:r>
    </w:p>
    <w:p w14:paraId="0C10FB54" w14:textId="77777777" w:rsidR="000F504F" w:rsidRDefault="00000000">
      <w:pPr>
        <w:pStyle w:val="BodyText"/>
      </w:pPr>
      <w:r>
        <w:t xml:space="preserve">The coverage of a candidate tolerance limit </w:t>
      </w:r>
      <m:oMath>
        <m:sSup>
          <m:sSupPr>
            <m:ctrlPr>
              <w:rPr>
                <w:rFonts w:ascii="Cambria Math" w:hAnsi="Cambria Math"/>
              </w:rPr>
            </m:ctrlPr>
          </m:sSupPr>
          <m:e>
            <m:r>
              <w:rPr>
                <w:rFonts w:ascii="Cambria Math" w:hAnsi="Cambria Math"/>
              </w:rPr>
              <m:t>Y</m:t>
            </m:r>
          </m:e>
          <m:sup>
            <m:r>
              <m:rPr>
                <m:sty m:val="p"/>
              </m:rPr>
              <w:rPr>
                <w:rFonts w:ascii="Cambria Math" w:hAnsi="Cambria Math"/>
              </w:rPr>
              <m:t>*</m:t>
            </m:r>
          </m:sup>
        </m:sSup>
      </m:oMath>
      <w:r>
        <w:t xml:space="preserve"> is the fraction of the parent population below that value:</w:t>
      </w:r>
    </w:p>
    <w:p w14:paraId="02868CC7" w14:textId="77777777" w:rsidR="000F504F" w:rsidRDefault="00000000">
      <w:pPr>
        <w:pStyle w:val="BodyText"/>
      </w:pPr>
      <m:oMathPara>
        <m:oMathParaPr>
          <m:jc m:val="center"/>
        </m:oMathParaPr>
        <m:oMath>
          <m:r>
            <w:rPr>
              <w:rFonts w:ascii="Cambria Math" w:hAnsi="Cambria Math"/>
            </w:rPr>
            <m:t>γ</m:t>
          </m:r>
          <m:r>
            <m:rPr>
              <m:sty m:val="p"/>
            </m:rPr>
            <w:rPr>
              <w:rFonts w:ascii="Cambria Math" w:hAnsi="Cambria Math"/>
            </w:rPr>
            <m:t>=</m:t>
          </m:r>
          <m:r>
            <w:rPr>
              <w:rFonts w:ascii="Cambria Math" w:hAnsi="Cambria Math"/>
            </w:rPr>
            <m:t>F</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m:t>
                  </m:r>
                </m:sup>
              </m:sSup>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8.10</m:t>
              </m:r>
            </m:e>
          </m:d>
        </m:oMath>
      </m:oMathPara>
    </w:p>
    <w:p w14:paraId="7ED357CD" w14:textId="77777777" w:rsidR="000F504F" w:rsidRDefault="00000000">
      <w:pPr>
        <w:pStyle w:val="FirstParagraph"/>
      </w:pPr>
      <w:r>
        <w:t xml:space="preserve">A one-sided tolerance statement asks for the probability that the selected order statistic exceeds at least a specified coverage </w:t>
      </w:r>
      <m:oMath>
        <m:r>
          <w:rPr>
            <w:rFonts w:ascii="Cambria Math" w:hAnsi="Cambria Math"/>
          </w:rPr>
          <m:t>γ</m:t>
        </m:r>
      </m:oMath>
      <w:r>
        <w:t xml:space="preserve"> of the parent population:</w:t>
      </w:r>
    </w:p>
    <w:p w14:paraId="0CDC4572" w14:textId="77777777" w:rsidR="000F504F" w:rsidRDefault="00000000">
      <w:pPr>
        <w:pStyle w:val="BodyText"/>
      </w:pPr>
      <m:oMathPara>
        <m:oMathParaPr>
          <m:jc m:val="center"/>
        </m:oMathParaPr>
        <m:oMath>
          <m:r>
            <w:rPr>
              <w:rFonts w:ascii="Cambria Math" w:hAnsi="Cambria Math"/>
            </w:rPr>
            <m:t>P</m:t>
          </m:r>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sub>
                  </m:sSub>
                </m:e>
              </m:d>
              <m:r>
                <m:rPr>
                  <m:sty m:val="p"/>
                </m:rPr>
                <w:rPr>
                  <w:rFonts w:ascii="Cambria Math" w:hAnsi="Cambria Math"/>
                </w:rPr>
                <m:t>&gt;</m:t>
              </m:r>
              <m:r>
                <w:rPr>
                  <w:rFonts w:ascii="Cambria Math" w:hAnsi="Cambria Math"/>
                </w:rPr>
                <m:t>γ</m:t>
              </m:r>
            </m:e>
          </m:d>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8.11</m:t>
              </m:r>
            </m:e>
          </m:d>
        </m:oMath>
      </m:oMathPara>
    </w:p>
    <w:p w14:paraId="7960D517" w14:textId="77777777" w:rsidR="000F504F" w:rsidRDefault="00000000">
      <w:pPr>
        <w:pStyle w:val="FirstParagraph"/>
      </w:pPr>
      <w:r>
        <w:t xml:space="preserve">Here </w:t>
      </w:r>
      <m:oMath>
        <m:r>
          <w:rPr>
            <w:rFonts w:ascii="Cambria Math" w:hAnsi="Cambria Math"/>
          </w:rPr>
          <m:t>γ</m:t>
        </m:r>
      </m:oMath>
      <w:r>
        <w:t xml:space="preserve"> is the population coverage and </w:t>
      </w:r>
      <m:oMath>
        <m:r>
          <w:rPr>
            <w:rFonts w:ascii="Cambria Math" w:hAnsi="Cambria Math"/>
          </w:rPr>
          <m:t>β</m:t>
        </m:r>
      </m:oMath>
      <w:r>
        <w:t xml:space="preserve"> is the confidence. The familiar ``95/95’’ statement means that at least 95 percent of the output population is bounded with 95 percent confidence.</w:t>
      </w:r>
    </w:p>
    <w:p w14:paraId="12DBD9C8" w14:textId="77777777" w:rsidR="000F504F" w:rsidRDefault="00000000">
      <w:pPr>
        <w:pStyle w:val="BodyText"/>
      </w:pPr>
      <w:r>
        <w:t xml:space="preserve">For the </w:t>
      </w:r>
      <m:oMath>
        <m:r>
          <w:rPr>
            <w:rFonts w:ascii="Cambria Math" w:hAnsi="Cambria Math"/>
          </w:rPr>
          <m:t>m</m:t>
        </m:r>
      </m:oMath>
      <w:r>
        <w:t xml:space="preserve">-th largest result from </w:t>
      </w:r>
      <m:oMath>
        <m:r>
          <w:rPr>
            <w:rFonts w:ascii="Cambria Math" w:hAnsi="Cambria Math"/>
          </w:rPr>
          <m:t>N</m:t>
        </m:r>
      </m:oMath>
      <w:r>
        <w:t xml:space="preserve"> independent samples, the confidence is</w:t>
      </w:r>
    </w:p>
    <w:p w14:paraId="173E7C0A" w14:textId="77777777" w:rsidR="000F504F" w:rsidRDefault="00000000">
      <w:pPr>
        <w:pStyle w:val="BodyText"/>
      </w:pPr>
      <m:oMathPara>
        <m:oMathParaPr>
          <m:jc m:val="center"/>
        </m:oMathParaPr>
        <m:oMath>
          <m:r>
            <w:rPr>
              <w:rFonts w:ascii="Cambria Math" w:hAnsi="Cambria Math"/>
            </w:rPr>
            <w:lastRenderedPageBreak/>
            <m:t>β</m:t>
          </m:r>
          <m:r>
            <m:rPr>
              <m:sty m:val="p"/>
            </m:rPr>
            <w:rPr>
              <w:rFonts w:ascii="Cambria Math" w:hAnsi="Cambria Math"/>
            </w:rPr>
            <m:t>=</m:t>
          </m:r>
          <m:r>
            <w:rPr>
              <w:rFonts w:ascii="Cambria Math" w:hAnsi="Cambria Math"/>
            </w:rPr>
            <m:t>1</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sub>
            <m:sup>
              <m:r>
                <w:rPr>
                  <w:rFonts w:ascii="Cambria Math" w:hAnsi="Cambria Math"/>
                </w:rPr>
                <m:t>N</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r>
                <w:rPr>
                  <w:rFonts w:ascii="Cambria Math" w:hAnsi="Cambria Math"/>
                </w:rPr>
                <m:t>γ</m:t>
              </m:r>
            </m:e>
            <m:sup>
              <m:r>
                <w:rPr>
                  <w:rFonts w:ascii="Cambria Math" w:hAnsi="Cambria Math"/>
                </w:rPr>
                <m:t>i</m:t>
              </m:r>
            </m:sup>
          </m:sSup>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8.12</m:t>
              </m:r>
            </m:e>
          </m:d>
        </m:oMath>
      </m:oMathPara>
    </w:p>
    <w:p w14:paraId="53294FD1" w14:textId="77777777" w:rsidR="000F504F" w:rsidRDefault="00000000">
      <w:pPr>
        <w:pStyle w:val="FirstParagraph"/>
      </w:pPr>
      <w:r>
        <w:t>Equivalently, the confidence can be written in terms of the incomplete beta function ratio as</w:t>
      </w:r>
    </w:p>
    <w:p w14:paraId="72E7EA0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γ</m:t>
              </m:r>
            </m:sub>
          </m:sSub>
          <m:d>
            <m:dPr>
              <m:ctrlPr>
                <w:rPr>
                  <w:rFonts w:ascii="Cambria Math" w:hAnsi="Cambria Math"/>
                </w:rPr>
              </m:ctrlPr>
            </m:dPr>
            <m:e>
              <m:r>
                <w:rPr>
                  <w:rFonts w:ascii="Cambria Math" w:hAnsi="Cambria Math"/>
                </w:rPr>
                <m:t>m</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8.13</m:t>
              </m:r>
            </m:e>
          </m:d>
        </m:oMath>
      </m:oMathPara>
    </w:p>
    <w:p w14:paraId="4609037A" w14:textId="77777777" w:rsidR="000F504F" w:rsidRDefault="00000000">
      <w:pPr>
        <w:pStyle w:val="FirstParagraph"/>
      </w:pPr>
      <w:r>
        <w:t xml:space="preserve">Equations (8.12) and (8.13) are distribution-free. They do not require the analyst to know whether </w:t>
      </w:r>
      <m:oMath>
        <m:r>
          <w:rPr>
            <w:rFonts w:ascii="Cambria Math" w:hAnsi="Cambria Math"/>
          </w:rPr>
          <m:t>Y</m:t>
        </m:r>
      </m:oMath>
      <w:r>
        <w:t xml:space="preserve"> is normal, lognormal, skewed, bounded, or multimodal. The price paid for this generality is that the method requires independent random sampling and provides a tolerance statement rather than a fitted distribution.</w:t>
      </w:r>
    </w:p>
    <w:p w14:paraId="62D7345D" w14:textId="77777777" w:rsidR="000F504F" w:rsidRDefault="00000000">
      <w:pPr>
        <w:pStyle w:val="Heading2"/>
      </w:pPr>
      <w:bookmarkStart w:id="68" w:name="_Toc231232913"/>
      <w:r>
        <w:t>8.4 First-Order Wilks Formula</w:t>
      </w:r>
      <w:bookmarkEnd w:id="68"/>
    </w:p>
    <w:p w14:paraId="7500B3D7" w14:textId="77777777" w:rsidR="000F504F" w:rsidRDefault="00000000">
      <w:pPr>
        <w:pStyle w:val="FirstParagraph"/>
      </w:pPr>
      <w:r>
        <w:t xml:space="preserve">The most common nuclear-safety application is the first-order one-sided Wilks method, where the maximum observed value is used as the tolerance limit. Setting </w:t>
      </w:r>
      <m:oMath>
        <m:r>
          <w:rPr>
            <w:rFonts w:ascii="Cambria Math" w:hAnsi="Cambria Math"/>
          </w:rPr>
          <m:t>m</m:t>
        </m:r>
        <m:r>
          <m:rPr>
            <m:sty m:val="p"/>
          </m:rPr>
          <w:rPr>
            <w:rFonts w:ascii="Cambria Math" w:hAnsi="Cambria Math"/>
          </w:rPr>
          <m:t>=</m:t>
        </m:r>
        <m:r>
          <w:rPr>
            <w:rFonts w:ascii="Cambria Math" w:hAnsi="Cambria Math"/>
          </w:rPr>
          <m:t>1</m:t>
        </m:r>
      </m:oMath>
      <w:r>
        <w:t xml:space="preserve"> in Eq. (8.12) gives</w:t>
      </w:r>
    </w:p>
    <w:p w14:paraId="37003A1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8.14</m:t>
              </m:r>
            </m:e>
          </m:d>
        </m:oMath>
      </m:oMathPara>
    </w:p>
    <w:p w14:paraId="1EC05480" w14:textId="77777777" w:rsidR="000F504F" w:rsidRDefault="00000000">
      <w:pPr>
        <w:pStyle w:val="FirstParagraph"/>
      </w:pPr>
      <w:r>
        <w:t xml:space="preserve">Solving for </w:t>
      </w:r>
      <m:oMath>
        <m:r>
          <w:rPr>
            <w:rFonts w:ascii="Cambria Math" w:hAnsi="Cambria Math"/>
          </w:rPr>
          <m:t>N</m:t>
        </m:r>
      </m:oMath>
      <w:r>
        <w:t xml:space="preserve"> gives</w:t>
      </w:r>
    </w:p>
    <w:p w14:paraId="5376806D"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β</m:t>
                  </m:r>
                </m:e>
              </m:d>
            </m:num>
            <m:den>
              <m:r>
                <m:rPr>
                  <m:sty m:val="p"/>
                </m:rPr>
                <w:rPr>
                  <w:rFonts w:ascii="Cambria Math" w:hAnsi="Cambria Math"/>
                </w:rPr>
                <m:t>ln</m:t>
              </m:r>
              <m:d>
                <m:dPr>
                  <m:ctrlPr>
                    <w:rPr>
                      <w:rFonts w:ascii="Cambria Math" w:hAnsi="Cambria Math"/>
                    </w:rPr>
                  </m:ctrlPr>
                </m:dPr>
                <m:e>
                  <m:r>
                    <w:rPr>
                      <w:rFonts w:ascii="Cambria Math" w:hAnsi="Cambria Math"/>
                    </w:rPr>
                    <m:t>γ</m:t>
                  </m:r>
                </m:e>
              </m:d>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8.15</m:t>
              </m:r>
            </m:e>
          </m:d>
        </m:oMath>
      </m:oMathPara>
    </w:p>
    <w:p w14:paraId="0429ABD8" w14:textId="77777777" w:rsidR="000F504F" w:rsidRDefault="00000000">
      <w:pPr>
        <w:pStyle w:val="FirstParagraph"/>
      </w:pPr>
      <w:r>
        <w:t>For a 95/95 tolerance limit,</w:t>
      </w:r>
    </w:p>
    <w:p w14:paraId="4DB23391"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f>
            <m:fPr>
              <m:ctrlPr>
                <w:rPr>
                  <w:rFonts w:ascii="Cambria Math" w:hAnsi="Cambria Math"/>
                </w:rPr>
              </m:ctrlPr>
            </m:fPr>
            <m:num>
              <m:r>
                <m:rPr>
                  <m:sty m:val="p"/>
                </m:rPr>
                <w:rPr>
                  <w:rFonts w:ascii="Cambria Math" w:hAnsi="Cambria Math"/>
                </w:rPr>
                <m:t>ln</m:t>
              </m:r>
              <m:d>
                <m:dPr>
                  <m:ctrlPr>
                    <w:rPr>
                      <w:rFonts w:ascii="Cambria Math" w:hAnsi="Cambria Math"/>
                    </w:rPr>
                  </m:ctrlPr>
                </m:dPr>
                <m:e>
                  <m:r>
                    <w:rPr>
                      <w:rFonts w:ascii="Cambria Math" w:hAnsi="Cambria Math"/>
                    </w:rPr>
                    <m:t>0.05</m:t>
                  </m:r>
                </m:e>
              </m:d>
            </m:num>
            <m:den>
              <m:r>
                <m:rPr>
                  <m:sty m:val="p"/>
                </m:rPr>
                <w:rPr>
                  <w:rFonts w:ascii="Cambria Math" w:hAnsi="Cambria Math"/>
                </w:rPr>
                <m:t>ln</m:t>
              </m:r>
              <m:d>
                <m:dPr>
                  <m:ctrlPr>
                    <w:rPr>
                      <w:rFonts w:ascii="Cambria Math" w:hAnsi="Cambria Math"/>
                    </w:rPr>
                  </m:ctrlPr>
                </m:dPr>
                <m:e>
                  <m:r>
                    <w:rPr>
                      <w:rFonts w:ascii="Cambria Math" w:hAnsi="Cambria Math"/>
                    </w:rPr>
                    <m:t>0.95</m:t>
                  </m:r>
                </m:e>
              </m:d>
            </m:den>
          </m:f>
          <m:r>
            <m:rPr>
              <m:sty m:val="p"/>
            </m:rPr>
            <w:rPr>
              <w:rFonts w:ascii="Cambria Math" w:hAnsi="Cambria Math"/>
            </w:rPr>
            <m:t>=</m:t>
          </m:r>
          <m:r>
            <w:rPr>
              <w:rFonts w:ascii="Cambria Math" w:hAnsi="Cambria Math"/>
            </w:rPr>
            <m:t>58.4</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8.16</m:t>
              </m:r>
            </m:e>
          </m:d>
        </m:oMath>
      </m:oMathPara>
    </w:p>
    <w:p w14:paraId="4871210F" w14:textId="77777777" w:rsidR="000F504F" w:rsidRDefault="00000000">
      <w:pPr>
        <w:pStyle w:val="FirstParagraph"/>
      </w:pPr>
      <w:r>
        <w:t>Rounding upward gives the familiar requirement</w:t>
      </w:r>
    </w:p>
    <w:p w14:paraId="370E1F0E" w14:textId="77777777" w:rsidR="000F504F" w:rsidRDefault="00000000">
      <w:pPr>
        <w:pStyle w:val="BodyText"/>
      </w:pPr>
      <m:oMathPara>
        <m:oMathParaPr>
          <m:jc m:val="center"/>
        </m:oMathParaPr>
        <m:oMath>
          <m:r>
            <w:rPr>
              <w:rFonts w:ascii="Cambria Math" w:hAnsi="Cambria Math"/>
            </w:rPr>
            <m:t>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8.17</m:t>
              </m:r>
            </m:e>
          </m:d>
        </m:oMath>
      </m:oMathPara>
    </w:p>
    <w:p w14:paraId="33CA376D" w14:textId="77777777" w:rsidR="000F504F" w:rsidRDefault="00000000">
      <w:pPr>
        <w:pStyle w:val="FirstParagraph"/>
      </w:pPr>
      <w:r>
        <w:t>Thus, if 59 independent FLARE calculations are performed and the largest calculated value of a scalar output is reported, that value is a one-sided 95/95 upper tolerance limit for that output. For peak cladding temperature, the estimator is</w:t>
      </w:r>
    </w:p>
    <w:p w14:paraId="6FBD142E"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95</m:t>
              </m:r>
              <m:r>
                <m:rPr>
                  <m:sty m:val="p"/>
                </m:rPr>
                <w:rPr>
                  <w:rFonts w:ascii="Cambria Math" w:hAnsi="Cambria Math"/>
                </w:rPr>
                <m:t>/</m:t>
              </m:r>
              <m:r>
                <w:rPr>
                  <w:rFonts w:ascii="Cambria Math" w:hAnsi="Cambria Math"/>
                </w:rPr>
                <m:t>95</m:t>
              </m:r>
            </m:sub>
          </m:sSub>
          <m:r>
            <m:rPr>
              <m:sty m:val="p"/>
            </m:rPr>
            <w:rPr>
              <w:rFonts w:ascii="Cambria Math" w:hAnsi="Cambria Math"/>
            </w:rPr>
            <m:t>=max</m:t>
          </m:r>
          <m:d>
            <m:dPr>
              <m:ctrlPr>
                <w:rPr>
                  <w:rFonts w:ascii="Cambria Math" w:hAnsi="Cambria Math"/>
                </w:rPr>
              </m:ctrlPr>
            </m:dPr>
            <m:e>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1</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2</m:t>
                  </m:r>
                </m:sub>
              </m:sSub>
              <m:r>
                <m:rPr>
                  <m:sty m:val="p"/>
                </m:rPr>
                <w:rPr>
                  <w:rFonts w:ascii="Cambria Math" w:hAnsi="Cambria Math"/>
                </w:rPr>
                <m:t>,…,</m:t>
              </m:r>
              <m:r>
                <w:rPr>
                  <w:rFonts w:ascii="Cambria Math" w:hAnsi="Cambria Math"/>
                </w:rPr>
                <m:t>PC</m:t>
              </m:r>
              <m:sSub>
                <m:sSubPr>
                  <m:ctrlPr>
                    <w:rPr>
                      <w:rFonts w:ascii="Cambria Math" w:hAnsi="Cambria Math"/>
                    </w:rPr>
                  </m:ctrlPr>
                </m:sSubPr>
                <m:e>
                  <m:r>
                    <w:rPr>
                      <w:rFonts w:ascii="Cambria Math" w:hAnsi="Cambria Math"/>
                    </w:rPr>
                    <m:t>T</m:t>
                  </m:r>
                </m:e>
                <m:sub>
                  <m:r>
                    <w:rPr>
                      <w:rFonts w:ascii="Cambria Math" w:hAnsi="Cambria Math"/>
                    </w:rPr>
                    <m:t>59</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8.18</m:t>
              </m:r>
            </m:e>
          </m:d>
        </m:oMath>
      </m:oMathPara>
    </w:p>
    <w:p w14:paraId="43BC22C5" w14:textId="77777777" w:rsidR="000F504F" w:rsidRDefault="00000000">
      <w:pPr>
        <w:pStyle w:val="FirstParagraph"/>
      </w:pPr>
      <w:r>
        <w:t>For a lower-bound acceptance variable, the analogous estimator would be the minimum observed value. FLARE’s principal accident-analysis metrics are normally upper-bound metrics, so the default reporting logic focuses on maxima and upper percentiles.</w:t>
      </w:r>
    </w:p>
    <w:p w14:paraId="238EB55D" w14:textId="77777777" w:rsidR="000F504F" w:rsidRDefault="00000000">
      <w:pPr>
        <w:pStyle w:val="Heading2"/>
      </w:pPr>
      <w:bookmarkStart w:id="69" w:name="_Toc231232914"/>
      <w:r>
        <w:t>8.5 Higher-Order Wilks Estimates</w:t>
      </w:r>
      <w:bookmarkEnd w:id="69"/>
    </w:p>
    <w:p w14:paraId="34D06370" w14:textId="77777777" w:rsidR="000F504F" w:rsidRDefault="00000000">
      <w:pPr>
        <w:pStyle w:val="FirstParagraph"/>
      </w:pPr>
      <w:r>
        <w:t>First-order Wilks is simple and robust, but it is sensitive to outliers because the tolerance limit is the single most limiting sampled case. Higher-order methods reduce this sensitivity by selecting the second, third, or later largest result, while increasing the required sample size to preserve the same coverage and confidence.</w:t>
      </w:r>
    </w:p>
    <w:p w14:paraId="3983916F" w14:textId="77777777" w:rsidR="000F504F" w:rsidRDefault="00000000">
      <w:pPr>
        <w:pStyle w:val="BodyText"/>
      </w:pPr>
      <w:r>
        <w:t xml:space="preserve">For </w:t>
      </w:r>
      <m:oMath>
        <m:r>
          <w:rPr>
            <w:rFonts w:ascii="Cambria Math" w:hAnsi="Cambria Math"/>
          </w:rPr>
          <m:t>m</m:t>
        </m:r>
        <m:r>
          <m:rPr>
            <m:sty m:val="p"/>
          </m:rPr>
          <w:rPr>
            <w:rFonts w:ascii="Cambria Math" w:hAnsi="Cambria Math"/>
          </w:rPr>
          <m:t>=</m:t>
        </m:r>
        <m:r>
          <w:rPr>
            <w:rFonts w:ascii="Cambria Math" w:hAnsi="Cambria Math"/>
          </w:rPr>
          <m:t>2</m:t>
        </m:r>
      </m:oMath>
      <w:r>
        <w:t>, Eq. (8.12) becomes</w:t>
      </w:r>
    </w:p>
    <w:p w14:paraId="076F2FB0"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N</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γ</m:t>
              </m:r>
            </m:e>
          </m:d>
          <m:sSup>
            <m:sSupPr>
              <m:ctrlPr>
                <w:rPr>
                  <w:rFonts w:ascii="Cambria Math" w:hAnsi="Cambria Math"/>
                </w:rPr>
              </m:ctrlPr>
            </m:sSupPr>
            <m:e>
              <m:r>
                <w:rPr>
                  <w:rFonts w:ascii="Cambria Math" w:hAnsi="Cambria Math"/>
                </w:rPr>
                <m:t>γ</m:t>
              </m:r>
            </m:e>
            <m:sup>
              <m:r>
                <w:rPr>
                  <w:rFonts w:ascii="Cambria Math" w:hAnsi="Cambria Math"/>
                </w:rPr>
                <m:t>N</m:t>
              </m:r>
              <m:r>
                <m:rPr>
                  <m:sty m:val="p"/>
                </m:rPr>
                <w:rPr>
                  <w:rFonts w:ascii="Cambria Math" w:hAnsi="Cambria Math"/>
                </w:rPr>
                <m:t>-</m:t>
              </m:r>
              <m:r>
                <w:rPr>
                  <w:rFonts w:ascii="Cambria Math" w:hAnsi="Cambria Math"/>
                </w:rPr>
                <m:t>1</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8.19</m:t>
              </m:r>
            </m:e>
          </m:d>
        </m:oMath>
      </m:oMathPara>
    </w:p>
    <w:p w14:paraId="4F8516AD" w14:textId="77777777" w:rsidR="000F504F" w:rsidRDefault="00000000">
      <w:pPr>
        <w:pStyle w:val="FirstParagraph"/>
      </w:pPr>
      <w:r>
        <w:t xml:space="preserve">For </w:t>
      </w:r>
      <m:oMath>
        <m:r>
          <w:rPr>
            <w:rFonts w:ascii="Cambria Math" w:hAnsi="Cambria Math"/>
          </w:rPr>
          <m:t>γ</m:t>
        </m:r>
        <m:r>
          <m:rPr>
            <m:sty m:val="p"/>
          </m:rPr>
          <w:rPr>
            <w:rFonts w:ascii="Cambria Math" w:hAnsi="Cambria Math"/>
          </w:rPr>
          <m:t>=</m:t>
        </m:r>
        <m:r>
          <w:rPr>
            <w:rFonts w:ascii="Cambria Math" w:hAnsi="Cambria Math"/>
          </w:rPr>
          <m:t>0.95</m:t>
        </m:r>
      </m:oMath>
      <w:r>
        <w:t xml:space="preserve"> and </w:t>
      </w:r>
      <m:oMath>
        <m:r>
          <w:rPr>
            <w:rFonts w:ascii="Cambria Math" w:hAnsi="Cambria Math"/>
          </w:rPr>
          <m:t>β</m:t>
        </m:r>
        <m:r>
          <m:rPr>
            <m:sty m:val="p"/>
          </m:rPr>
          <w:rPr>
            <w:rFonts w:ascii="Cambria Math" w:hAnsi="Cambria Math"/>
          </w:rPr>
          <m:t>=</m:t>
        </m:r>
        <m:r>
          <w:rPr>
            <w:rFonts w:ascii="Cambria Math" w:hAnsi="Cambria Math"/>
          </w:rPr>
          <m:t>0.95</m:t>
        </m:r>
      </m:oMath>
      <w:r>
        <w:t xml:space="preserve">, the required sample size is </w:t>
      </w:r>
      <m:oMath>
        <m:r>
          <w:rPr>
            <w:rFonts w:ascii="Cambria Math" w:hAnsi="Cambria Math"/>
          </w:rPr>
          <m:t>N</m:t>
        </m:r>
        <m:r>
          <m:rPr>
            <m:sty m:val="p"/>
          </m:rPr>
          <w:rPr>
            <w:rFonts w:ascii="Cambria Math" w:hAnsi="Cambria Math"/>
          </w:rPr>
          <m:t>=</m:t>
        </m:r>
        <m:r>
          <w:rPr>
            <w:rFonts w:ascii="Cambria Math" w:hAnsi="Cambria Math"/>
          </w:rPr>
          <m:t>93</m:t>
        </m:r>
      </m:oMath>
      <w:r>
        <w:t>. The second largest result from 93 calculations is therefore a one-sided 95/95 upper tolerance limit. Continuing this procedure gives the common sequence in Table 8-1.</w:t>
      </w:r>
    </w:p>
    <w:tbl>
      <w:tblPr>
        <w:tblStyle w:val="Table"/>
        <w:tblW w:w="5000" w:type="pct"/>
        <w:tblLayout w:type="fixed"/>
        <w:tblLook w:val="0020" w:firstRow="1" w:lastRow="0" w:firstColumn="0" w:lastColumn="0" w:noHBand="0" w:noVBand="0"/>
      </w:tblPr>
      <w:tblGrid>
        <w:gridCol w:w="2668"/>
        <w:gridCol w:w="2669"/>
        <w:gridCol w:w="2669"/>
        <w:gridCol w:w="2002"/>
      </w:tblGrid>
      <w:tr w:rsidR="000F504F" w14:paraId="65FF7AC8"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112" w:type="dxa"/>
          </w:tcPr>
          <w:p w14:paraId="3FC3DD57" w14:textId="77777777" w:rsidR="000F504F" w:rsidRDefault="00000000">
            <w:pPr>
              <w:pStyle w:val="Compact"/>
              <w:jc w:val="right"/>
            </w:pPr>
            <w:r>
              <w:lastRenderedPageBreak/>
              <w:t>Selected order statistic</w:t>
            </w:r>
          </w:p>
        </w:tc>
        <w:tc>
          <w:tcPr>
            <w:tcW w:w="2112" w:type="dxa"/>
          </w:tcPr>
          <w:p w14:paraId="580F1B0F" w14:textId="77777777" w:rsidR="000F504F" w:rsidRDefault="00000000">
            <w:pPr>
              <w:pStyle w:val="Compact"/>
              <w:jc w:val="right"/>
            </w:pPr>
            <m:oMathPara>
              <m:oMath>
                <m:r>
                  <w:rPr>
                    <w:rFonts w:ascii="Cambria Math" w:hAnsi="Cambria Math"/>
                  </w:rPr>
                  <m:t>m</m:t>
                </m:r>
              </m:oMath>
            </m:oMathPara>
          </w:p>
        </w:tc>
        <w:tc>
          <w:tcPr>
            <w:tcW w:w="2112" w:type="dxa"/>
          </w:tcPr>
          <w:p w14:paraId="568E0117" w14:textId="77777777" w:rsidR="000F504F" w:rsidRDefault="00000000">
            <w:pPr>
              <w:pStyle w:val="Compact"/>
              <w:jc w:val="right"/>
            </w:pPr>
            <w:r>
              <w:t xml:space="preserve">Required </w:t>
            </w:r>
            <m:oMath>
              <m:r>
                <w:rPr>
                  <w:rFonts w:ascii="Cambria Math" w:hAnsi="Cambria Math"/>
                </w:rPr>
                <m:t>N</m:t>
              </m:r>
            </m:oMath>
            <w:r>
              <w:t xml:space="preserve"> for one-sided 95/95</w:t>
            </w:r>
          </w:p>
        </w:tc>
        <w:tc>
          <w:tcPr>
            <w:tcW w:w="1584" w:type="dxa"/>
          </w:tcPr>
          <w:p w14:paraId="20CCA5C0" w14:textId="77777777" w:rsidR="000F504F" w:rsidRDefault="00000000">
            <w:pPr>
              <w:pStyle w:val="Compact"/>
            </w:pPr>
            <w:r>
              <w:t>Reported estimator</w:t>
            </w:r>
          </w:p>
        </w:tc>
      </w:tr>
      <w:tr w:rsidR="000F504F" w14:paraId="4A87A706" w14:textId="77777777">
        <w:tc>
          <w:tcPr>
            <w:tcW w:w="2112" w:type="dxa"/>
          </w:tcPr>
          <w:p w14:paraId="1516482A" w14:textId="77777777" w:rsidR="000F504F" w:rsidRDefault="00000000">
            <w:pPr>
              <w:pStyle w:val="Compact"/>
              <w:jc w:val="right"/>
            </w:pPr>
            <w:r>
              <w:t>Largest</w:t>
            </w:r>
          </w:p>
        </w:tc>
        <w:tc>
          <w:tcPr>
            <w:tcW w:w="2112" w:type="dxa"/>
          </w:tcPr>
          <w:p w14:paraId="12DB3041" w14:textId="77777777" w:rsidR="000F504F" w:rsidRDefault="00000000">
            <w:pPr>
              <w:pStyle w:val="Compact"/>
              <w:jc w:val="right"/>
            </w:pPr>
            <w:r>
              <w:t>1</w:t>
            </w:r>
          </w:p>
        </w:tc>
        <w:tc>
          <w:tcPr>
            <w:tcW w:w="2112" w:type="dxa"/>
          </w:tcPr>
          <w:p w14:paraId="7DD6DB8A" w14:textId="77777777" w:rsidR="000F504F" w:rsidRDefault="00000000">
            <w:pPr>
              <w:pStyle w:val="Compact"/>
              <w:jc w:val="right"/>
            </w:pPr>
            <w:r>
              <w:t>59</w:t>
            </w:r>
          </w:p>
        </w:tc>
        <w:tc>
          <w:tcPr>
            <w:tcW w:w="1584" w:type="dxa"/>
          </w:tcPr>
          <w:p w14:paraId="36B14A99"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oMath>
            </m:oMathPara>
          </w:p>
        </w:tc>
      </w:tr>
      <w:tr w:rsidR="000F504F" w14:paraId="03FEC0FD" w14:textId="77777777">
        <w:tc>
          <w:tcPr>
            <w:tcW w:w="2112" w:type="dxa"/>
          </w:tcPr>
          <w:p w14:paraId="511F6A0B" w14:textId="77777777" w:rsidR="000F504F" w:rsidRDefault="00000000">
            <w:pPr>
              <w:pStyle w:val="Compact"/>
              <w:jc w:val="right"/>
            </w:pPr>
            <w:r>
              <w:t>Second largest</w:t>
            </w:r>
          </w:p>
        </w:tc>
        <w:tc>
          <w:tcPr>
            <w:tcW w:w="2112" w:type="dxa"/>
          </w:tcPr>
          <w:p w14:paraId="3D34122C" w14:textId="77777777" w:rsidR="000F504F" w:rsidRDefault="00000000">
            <w:pPr>
              <w:pStyle w:val="Compact"/>
              <w:jc w:val="right"/>
            </w:pPr>
            <w:r>
              <w:t>2</w:t>
            </w:r>
          </w:p>
        </w:tc>
        <w:tc>
          <w:tcPr>
            <w:tcW w:w="2112" w:type="dxa"/>
          </w:tcPr>
          <w:p w14:paraId="11A9E439" w14:textId="77777777" w:rsidR="000F504F" w:rsidRDefault="00000000">
            <w:pPr>
              <w:pStyle w:val="Compact"/>
              <w:jc w:val="right"/>
            </w:pPr>
            <w:r>
              <w:t>93</w:t>
            </w:r>
          </w:p>
        </w:tc>
        <w:tc>
          <w:tcPr>
            <w:tcW w:w="1584" w:type="dxa"/>
          </w:tcPr>
          <w:p w14:paraId="3DA5281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b>
                </m:sSub>
              </m:oMath>
            </m:oMathPara>
          </w:p>
        </w:tc>
      </w:tr>
      <w:tr w:rsidR="000F504F" w14:paraId="19D10BCF" w14:textId="77777777">
        <w:tc>
          <w:tcPr>
            <w:tcW w:w="2112" w:type="dxa"/>
          </w:tcPr>
          <w:p w14:paraId="5F3E4ED9" w14:textId="77777777" w:rsidR="000F504F" w:rsidRDefault="00000000">
            <w:pPr>
              <w:pStyle w:val="Compact"/>
              <w:jc w:val="right"/>
            </w:pPr>
            <w:r>
              <w:t>Third largest</w:t>
            </w:r>
          </w:p>
        </w:tc>
        <w:tc>
          <w:tcPr>
            <w:tcW w:w="2112" w:type="dxa"/>
          </w:tcPr>
          <w:p w14:paraId="7463C9B9" w14:textId="77777777" w:rsidR="000F504F" w:rsidRDefault="00000000">
            <w:pPr>
              <w:pStyle w:val="Compact"/>
              <w:jc w:val="right"/>
            </w:pPr>
            <w:r>
              <w:t>3</w:t>
            </w:r>
          </w:p>
        </w:tc>
        <w:tc>
          <w:tcPr>
            <w:tcW w:w="2112" w:type="dxa"/>
          </w:tcPr>
          <w:p w14:paraId="333EB7D1" w14:textId="77777777" w:rsidR="000F504F" w:rsidRDefault="00000000">
            <w:pPr>
              <w:pStyle w:val="Compact"/>
              <w:jc w:val="right"/>
            </w:pPr>
            <w:r>
              <w:t>124</w:t>
            </w:r>
          </w:p>
        </w:tc>
        <w:tc>
          <w:tcPr>
            <w:tcW w:w="1584" w:type="dxa"/>
          </w:tcPr>
          <w:p w14:paraId="081E9F47"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2</m:t>
                        </m:r>
                      </m:e>
                    </m:d>
                  </m:sub>
                </m:sSub>
              </m:oMath>
            </m:oMathPara>
          </w:p>
        </w:tc>
      </w:tr>
      <w:tr w:rsidR="000F504F" w14:paraId="1E0981F1" w14:textId="77777777">
        <w:tc>
          <w:tcPr>
            <w:tcW w:w="2112" w:type="dxa"/>
          </w:tcPr>
          <w:p w14:paraId="03BED3B4" w14:textId="77777777" w:rsidR="000F504F" w:rsidRDefault="00000000">
            <w:pPr>
              <w:pStyle w:val="Compact"/>
              <w:jc w:val="right"/>
            </w:pPr>
            <w:r>
              <w:t>Fourth largest</w:t>
            </w:r>
          </w:p>
        </w:tc>
        <w:tc>
          <w:tcPr>
            <w:tcW w:w="2112" w:type="dxa"/>
          </w:tcPr>
          <w:p w14:paraId="4ACC4927" w14:textId="77777777" w:rsidR="000F504F" w:rsidRDefault="00000000">
            <w:pPr>
              <w:pStyle w:val="Compact"/>
              <w:jc w:val="right"/>
            </w:pPr>
            <w:r>
              <w:t>4</w:t>
            </w:r>
          </w:p>
        </w:tc>
        <w:tc>
          <w:tcPr>
            <w:tcW w:w="2112" w:type="dxa"/>
          </w:tcPr>
          <w:p w14:paraId="1A1F2FD1" w14:textId="77777777" w:rsidR="000F504F" w:rsidRDefault="00000000">
            <w:pPr>
              <w:pStyle w:val="Compact"/>
              <w:jc w:val="right"/>
            </w:pPr>
            <w:r>
              <w:t>153</w:t>
            </w:r>
          </w:p>
        </w:tc>
        <w:tc>
          <w:tcPr>
            <w:tcW w:w="1584" w:type="dxa"/>
          </w:tcPr>
          <w:p w14:paraId="397A25D0"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3</m:t>
                        </m:r>
                      </m:e>
                    </m:d>
                  </m:sub>
                </m:sSub>
              </m:oMath>
            </m:oMathPara>
          </w:p>
        </w:tc>
      </w:tr>
      <w:tr w:rsidR="000F504F" w14:paraId="3BDEDFD8" w14:textId="77777777">
        <w:tc>
          <w:tcPr>
            <w:tcW w:w="2112" w:type="dxa"/>
          </w:tcPr>
          <w:p w14:paraId="6DCACB2C" w14:textId="77777777" w:rsidR="000F504F" w:rsidRDefault="00000000">
            <w:pPr>
              <w:pStyle w:val="Compact"/>
              <w:jc w:val="right"/>
            </w:pPr>
            <w:r>
              <w:t>Tenth largest</w:t>
            </w:r>
          </w:p>
        </w:tc>
        <w:tc>
          <w:tcPr>
            <w:tcW w:w="2112" w:type="dxa"/>
          </w:tcPr>
          <w:p w14:paraId="17E141E9" w14:textId="77777777" w:rsidR="000F504F" w:rsidRDefault="00000000">
            <w:pPr>
              <w:pStyle w:val="Compact"/>
              <w:jc w:val="right"/>
            </w:pPr>
            <w:r>
              <w:t>10</w:t>
            </w:r>
          </w:p>
        </w:tc>
        <w:tc>
          <w:tcPr>
            <w:tcW w:w="2112" w:type="dxa"/>
          </w:tcPr>
          <w:p w14:paraId="37AA42EA" w14:textId="77777777" w:rsidR="000F504F" w:rsidRDefault="00000000">
            <w:pPr>
              <w:pStyle w:val="Compact"/>
              <w:jc w:val="right"/>
            </w:pPr>
            <w:r>
              <w:t>311</w:t>
            </w:r>
          </w:p>
        </w:tc>
        <w:tc>
          <w:tcPr>
            <w:tcW w:w="1584" w:type="dxa"/>
          </w:tcPr>
          <w:p w14:paraId="19D5D87C" w14:textId="77777777" w:rsidR="000F504F" w:rsidRDefault="00000000">
            <w:pPr>
              <w:pStyle w:val="Compact"/>
            </w:pPr>
            <m:oMathPara>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9</m:t>
                        </m:r>
                      </m:e>
                    </m:d>
                  </m:sub>
                </m:sSub>
              </m:oMath>
            </m:oMathPara>
          </w:p>
        </w:tc>
      </w:tr>
    </w:tbl>
    <w:p w14:paraId="703E304A" w14:textId="77777777" w:rsidR="000F504F" w:rsidRDefault="00000000">
      <w:pPr>
        <w:pStyle w:val="BodyText"/>
      </w:pPr>
      <w:r>
        <w:t>Table 8-1. Common one-sided 95/95 Wilks sample sizes.</w:t>
      </w:r>
    </w:p>
    <w:p w14:paraId="1CCF8A62" w14:textId="77777777" w:rsidR="000F504F" w:rsidRDefault="00000000">
      <w:pPr>
        <w:pStyle w:val="BodyText"/>
      </w:pPr>
      <w:r>
        <w:t>The higher-order estimator is often a better estimate of the true 95th percentile of the calculated output distribution, but it requires more calculations. In a production BEPU method this tradeoff must be decided before the analysis is performed. Selecting a higher-order treatment after examining the results would introduce a selection bias and would not preserve the intended statistical interpretation.</w:t>
      </w:r>
    </w:p>
    <w:p w14:paraId="60FCA30C" w14:textId="77777777" w:rsidR="000F504F" w:rsidRDefault="00000000">
      <w:pPr>
        <w:pStyle w:val="Heading2"/>
      </w:pPr>
      <w:bookmarkStart w:id="70" w:name="_Toc231232915"/>
      <w:r>
        <w:t>8.6 Acceptance Criteria Versus Tolerance Limits</w:t>
      </w:r>
      <w:bookmarkEnd w:id="70"/>
    </w:p>
    <w:p w14:paraId="5707EE35" w14:textId="77777777" w:rsidR="000F504F" w:rsidRDefault="00000000">
      <w:pPr>
        <w:pStyle w:val="FirstParagraph"/>
      </w:pPr>
      <w:r>
        <w:t>A tolerance limit and a regulatory acceptance decision are related but not identical. A tolerance-limit calculation estimates a value that bounds a specified fraction of the output population with a specified confidence. A regulatory decision usually asks whether the calculated outcome satisfies one or more fixed acceptance limits.</w:t>
      </w:r>
    </w:p>
    <w:p w14:paraId="664A41D7" w14:textId="77777777" w:rsidR="000F504F" w:rsidRDefault="00000000">
      <w:pPr>
        <w:pStyle w:val="BodyText"/>
      </w:pPr>
      <w:r>
        <w:t xml:space="preserve">For a scalar upper-bound acceptance criterion </w:t>
      </w:r>
      <m:oMath>
        <m:r>
          <w:rPr>
            <w:rFonts w:ascii="Cambria Math" w:hAnsi="Cambria Math"/>
          </w:rPr>
          <m:t>L</m:t>
        </m:r>
      </m:oMath>
      <w:r>
        <w:t>, the acceptance test based on first-order Wilks is</w:t>
      </w:r>
    </w:p>
    <w:p w14:paraId="49CCC61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d>
                <m:dPr>
                  <m:ctrlPr>
                    <w:rPr>
                      <w:rFonts w:ascii="Cambria Math" w:hAnsi="Cambria Math"/>
                    </w:rPr>
                  </m:ctrlPr>
                </m:dPr>
                <m:e>
                  <m:r>
                    <w:rPr>
                      <w:rFonts w:ascii="Cambria Math" w:hAnsi="Cambria Math"/>
                    </w:rPr>
                    <m:t>N</m:t>
                  </m:r>
                </m:e>
              </m:d>
            </m:sub>
          </m:sSub>
          <m:r>
            <m:rPr>
              <m:sty m:val="p"/>
            </m:rPr>
            <w:rPr>
              <w:rFonts w:ascii="Cambria Math" w:hAnsi="Cambria Math"/>
            </w:rPr>
            <m:t>&lt;</m:t>
          </m:r>
          <m:r>
            <w:rPr>
              <w:rFonts w:ascii="Cambria Math" w:hAnsi="Cambria Math"/>
            </w:rPr>
            <m:t>L</m:t>
          </m:r>
          <m:r>
            <m:rPr>
              <m:sty m:val="p"/>
            </m:rPr>
            <w:rPr>
              <w:rFonts w:ascii="Cambria Math" w:hAnsi="Cambria Math"/>
            </w:rPr>
            <m:t>,</m:t>
          </m:r>
          <m:r>
            <w:rPr>
              <w:rFonts w:ascii="Cambria Math" w:hAnsi="Cambria Math"/>
            </w:rPr>
            <m:t>  N</m:t>
          </m:r>
          <m:r>
            <m:rPr>
              <m:sty m:val="p"/>
            </m:rPr>
            <w:rPr>
              <w:rFonts w:ascii="Cambria Math" w:hAnsi="Cambria Math"/>
            </w:rPr>
            <m:t>=</m:t>
          </m:r>
          <m:r>
            <w:rPr>
              <w:rFonts w:ascii="Cambria Math" w:hAnsi="Cambria Math"/>
            </w:rPr>
            <m:t>59</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8.20</m:t>
              </m:r>
            </m:e>
          </m:d>
        </m:oMath>
      </m:oMathPara>
    </w:p>
    <w:p w14:paraId="4FD883A0" w14:textId="77777777" w:rsidR="000F504F" w:rsidRDefault="00000000">
      <w:pPr>
        <w:pStyle w:val="FirstParagraph"/>
      </w:pPr>
      <w:r>
        <w:t>For example, a 10 CFR 50.46 peak cladding temperature test would be expressed as</w:t>
      </w:r>
    </w:p>
    <w:p w14:paraId="403E6319" w14:textId="77777777" w:rsidR="000F504F" w:rsidRDefault="00000000">
      <w:pPr>
        <w:pStyle w:val="BodyText"/>
      </w:pPr>
      <m:oMathPara>
        <m:oMathParaPr>
          <m:jc m:val="center"/>
        </m:oMathParaPr>
        <m:oMath>
          <m:r>
            <w:rPr>
              <w:rFonts w:ascii="Cambria Math" w:hAnsi="Cambria Math"/>
            </w:rPr>
            <m:t>PC</m:t>
          </m:r>
          <m:sSub>
            <m:sSubPr>
              <m:ctrlPr>
                <w:rPr>
                  <w:rFonts w:ascii="Cambria Math" w:hAnsi="Cambria Math"/>
                </w:rPr>
              </m:ctrlPr>
            </m:sSubPr>
            <m:e>
              <m:r>
                <w:rPr>
                  <w:rFonts w:ascii="Cambria Math" w:hAnsi="Cambria Math"/>
                </w:rPr>
                <m:t>T</m:t>
              </m:r>
            </m:e>
            <m:sub>
              <m:d>
                <m:dPr>
                  <m:ctrlPr>
                    <w:rPr>
                      <w:rFonts w:ascii="Cambria Math" w:hAnsi="Cambria Math"/>
                    </w:rPr>
                  </m:ctrlPr>
                </m:dPr>
                <m:e>
                  <m:r>
                    <w:rPr>
                      <w:rFonts w:ascii="Cambria Math" w:hAnsi="Cambria Math"/>
                    </w:rPr>
                    <m:t>N</m:t>
                  </m:r>
                </m:e>
              </m:d>
            </m:sub>
          </m:sSub>
          <m:r>
            <m:rPr>
              <m:sty m:val="p"/>
            </m:rPr>
            <w:rPr>
              <w:rFonts w:ascii="Cambria Math" w:hAnsi="Cambria Math"/>
            </w:rPr>
            <m:t>&lt;</m:t>
          </m:r>
          <m:sSup>
            <m:sSupPr>
              <m:ctrlPr>
                <w:rPr>
                  <w:rFonts w:ascii="Cambria Math" w:hAnsi="Cambria Math"/>
                </w:rPr>
              </m:ctrlPr>
            </m:sSupPr>
            <m:e>
              <m:r>
                <w:rPr>
                  <w:rFonts w:ascii="Cambria Math" w:hAnsi="Cambria Math"/>
                </w:rPr>
                <m:t>1204</m:t>
              </m:r>
            </m:e>
            <m:sup>
              <m:r>
                <m:rPr>
                  <m:sty m:val="p"/>
                </m:rPr>
                <w:rPr>
                  <w:rFonts w:ascii="Cambria Math" w:hAnsi="Cambria Math"/>
                </w:rPr>
                <m:t>∘</m:t>
              </m:r>
            </m:sup>
          </m:sSup>
          <m:r>
            <m:rPr>
              <m:sty m:val="p"/>
            </m:rPr>
            <w:rPr>
              <w:rFonts w:ascii="Cambria Math" w:hAnsi="Cambria Math"/>
            </w:rPr>
            <m:t>C.</m:t>
          </m:r>
          <m:r>
            <w:rPr>
              <w:rFonts w:ascii="Cambria Math" w:hAnsi="Cambria Math"/>
            </w:rPr>
            <m:t>  </m:t>
          </m:r>
          <m:d>
            <m:dPr>
              <m:ctrlPr>
                <w:rPr>
                  <w:rFonts w:ascii="Cambria Math" w:hAnsi="Cambria Math"/>
                </w:rPr>
              </m:ctrlPr>
            </m:dPr>
            <m:e>
              <m:r>
                <w:rPr>
                  <w:rFonts w:ascii="Cambria Math" w:hAnsi="Cambria Math"/>
                </w:rPr>
                <m:t>8.21</m:t>
              </m:r>
            </m:e>
          </m:d>
        </m:oMath>
      </m:oMathPara>
    </w:p>
    <w:p w14:paraId="346C84FC" w14:textId="77777777" w:rsidR="000F504F" w:rsidRDefault="00000000">
      <w:pPr>
        <w:pStyle w:val="FirstParagraph"/>
      </w:pPr>
      <w:r>
        <w:t>The practical implication is direct: if all 59 cases are below the limit, the calculation supports the conclusion that at least 95 percent of the population is below the limit with at least 95 percent confidence. If the maximum exceeds the limit, the first-order single-pass Wilks test fails for that scalar criterion, even if the exceedance appears to be an outlier.</w:t>
      </w:r>
    </w:p>
    <w:p w14:paraId="7F04D6A4" w14:textId="24471497" w:rsidR="000F504F" w:rsidRDefault="00000000">
      <w:pPr>
        <w:pStyle w:val="Heading2"/>
      </w:pPr>
      <w:bookmarkStart w:id="71" w:name="_Toc231232916"/>
      <w:r>
        <w:t>8.7 Testing Method for Fixed Acceptance Limits</w:t>
      </w:r>
      <w:bookmarkEnd w:id="71"/>
    </w:p>
    <w:p w14:paraId="77AB444A" w14:textId="6DF402D4" w:rsidR="000F504F" w:rsidRDefault="00000000">
      <w:pPr>
        <w:pStyle w:val="FirstParagraph"/>
      </w:pPr>
      <w:r>
        <w:t>For FLARE’s current purpose, the most practically useful interpretation</w:t>
      </w:r>
      <w:r w:rsidR="00447AEE">
        <w:t xml:space="preserve"> of regulatory criteria when using the nonparametric Wilks method</w:t>
      </w:r>
      <w:r>
        <w:t xml:space="preserve"> is </w:t>
      </w:r>
      <w:r w:rsidR="00447AEE">
        <w:t>a</w:t>
      </w:r>
      <w:r>
        <w:t xml:space="preserve"> direct test of fixed acceptance limits. Let the vector of outputs for case </w:t>
      </w:r>
      <m:oMath>
        <m:r>
          <w:rPr>
            <w:rFonts w:ascii="Cambria Math" w:hAnsi="Cambria Math"/>
          </w:rPr>
          <m:t>i</m:t>
        </m:r>
      </m:oMath>
      <w:r>
        <w:t xml:space="preserve"> be</w:t>
      </w:r>
    </w:p>
    <w:p w14:paraId="0067CEB0" w14:textId="77777777" w:rsidR="000F504F" w:rsidRDefault="00000000">
      <w:pPr>
        <w:pStyle w:val="BodyText"/>
      </w:pPr>
      <m:oMathPara>
        <m:oMathParaPr>
          <m:jc m:val="center"/>
        </m:oMathParaPr>
        <m:oMath>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1</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2</m:t>
              </m:r>
              <m:r>
                <m:rPr>
                  <m:sty m:val="p"/>
                </m:rPr>
                <w:rPr>
                  <w:rFonts w:ascii="Cambria Math" w:hAnsi="Cambria Math"/>
                </w:rPr>
                <m:t>,</m:t>
              </m:r>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q</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8.25</m:t>
              </m:r>
            </m:e>
          </m:d>
        </m:oMath>
      </m:oMathPara>
    </w:p>
    <w:p w14:paraId="2970D688" w14:textId="77777777" w:rsidR="000F504F" w:rsidRDefault="00000000">
      <w:pPr>
        <w:pStyle w:val="FirstParagraph"/>
      </w:pPr>
      <w:r>
        <w:t>and let the corresponding upper-bound acceptance limits be</w:t>
      </w:r>
    </w:p>
    <w:p w14:paraId="68E2F9C5" w14:textId="77777777" w:rsidR="000F504F" w:rsidRDefault="00000000">
      <w:pPr>
        <w:pStyle w:val="BodyText"/>
      </w:pPr>
      <m:oMathPara>
        <m:oMathParaPr>
          <m:jc m:val="center"/>
        </m:oMathParaPr>
        <m:oMath>
          <m:r>
            <m:rPr>
              <m:sty m:val="b"/>
            </m:rPr>
            <w:rPr>
              <w:rFonts w:ascii="Cambria Math" w:hAnsi="Cambria Math"/>
            </w:rPr>
            <m:t>L</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q</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8.26</m:t>
              </m:r>
            </m:e>
          </m:d>
        </m:oMath>
      </m:oMathPara>
    </w:p>
    <w:p w14:paraId="6694E50A" w14:textId="77777777" w:rsidR="000F504F" w:rsidRDefault="00000000">
      <w:pPr>
        <w:pStyle w:val="FirstParagraph"/>
      </w:pPr>
      <w:r>
        <w:t>The case passes if every criterion is satisfied simultaneously:</w:t>
      </w:r>
    </w:p>
    <w:p w14:paraId="79238EB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j</m:t>
              </m:r>
              <m:r>
                <m:rPr>
                  <m:sty m:val="p"/>
                </m:rPr>
                <w:rPr>
                  <w:rFonts w:ascii="Cambria Math" w:hAnsi="Cambria Math"/>
                </w:rPr>
                <m:t>,</m:t>
              </m:r>
              <m:r>
                <w:rPr>
                  <w:rFonts w:ascii="Cambria Math" w:hAnsi="Cambria Math"/>
                </w:rPr>
                <m:t>i</m:t>
              </m:r>
            </m:sub>
          </m:sSub>
          <m:r>
            <m:rPr>
              <m:sty m:val="p"/>
            </m:rPr>
            <w:rPr>
              <w:rFonts w:ascii="Cambria Math" w:hAnsi="Cambria Math"/>
            </w:rPr>
            <m:t>&lt;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 </m:t>
          </m:r>
          <m:r>
            <m:rPr>
              <m:nor/>
            </m:rPr>
            <m:t>for all</m:t>
          </m:r>
          <m:r>
            <w:rPr>
              <w:rFonts w:ascii="Cambria Math" w:hAnsi="Cambria Math"/>
            </w:rPr>
            <m:t> j</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q</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8.27</m:t>
              </m:r>
            </m:e>
          </m:d>
        </m:oMath>
      </m:oMathPara>
    </w:p>
    <w:p w14:paraId="6427EE41" w14:textId="77777777" w:rsidR="000F504F" w:rsidRDefault="00000000">
      <w:pPr>
        <w:pStyle w:val="FirstParagraph"/>
      </w:pPr>
      <w:r>
        <w:t>Define a binary pass indicator,</w:t>
      </w:r>
    </w:p>
    <w:p w14:paraId="6AEC2EB8"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sSub>
                      <m:sSubPr>
                        <m:ctrlPr>
                          <w:rPr>
                            <w:rFonts w:ascii="Cambria Math" w:hAnsi="Cambria Math"/>
                          </w:rPr>
                        </m:ctrlPr>
                      </m:sSubPr>
                      <m:e>
                        <m:r>
                          <m:rPr>
                            <m:sty m:val="b"/>
                          </m:rPr>
                          <w:rPr>
                            <w:rFonts w:ascii="Cambria Math" w:hAnsi="Cambria Math"/>
                          </w:rPr>
                          <m:t>Y</m:t>
                        </m:r>
                      </m:e>
                      <m:sub>
                        <m:r>
                          <w:rPr>
                            <w:rFonts w:ascii="Cambria Math" w:hAnsi="Cambria Math"/>
                          </w:rPr>
                          <m:t>i</m:t>
                        </m:r>
                      </m:sub>
                    </m:sSub>
                    <m:r>
                      <m:rPr>
                        <m:sty m:val="p"/>
                      </m:rPr>
                      <w:rPr>
                        <w:rFonts w:ascii="Cambria Math" w:hAnsi="Cambria Math"/>
                      </w:rPr>
                      <m:t>&lt;</m:t>
                    </m:r>
                    <m:r>
                      <m:rPr>
                        <m:sty m:val="b"/>
                      </m:rPr>
                      <w:rPr>
                        <w:rFonts w:ascii="Cambria Math" w:hAnsi="Cambria Math"/>
                      </w:rPr>
                      <m:t>L</m:t>
                    </m:r>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r>
                      <m:rPr>
                        <m:sty m:val="p"/>
                      </m:rPr>
                      <w:rPr>
                        <w:rFonts w:ascii="Cambria Math" w:hAnsi="Cambria Math"/>
                      </w:rPr>
                      <m:t>.</m:t>
                    </m:r>
                  </m:e>
                </m:mr>
              </m:m>
            </m:e>
          </m:d>
          <m:r>
            <w:rPr>
              <w:rFonts w:ascii="Cambria Math" w:hAnsi="Cambria Math"/>
            </w:rPr>
            <m:t>  </m:t>
          </m:r>
          <m:d>
            <m:dPr>
              <m:ctrlPr>
                <w:rPr>
                  <w:rFonts w:ascii="Cambria Math" w:hAnsi="Cambria Math"/>
                </w:rPr>
              </m:ctrlPr>
            </m:dPr>
            <m:e>
              <m:r>
                <w:rPr>
                  <w:rFonts w:ascii="Cambria Math" w:hAnsi="Cambria Math"/>
                </w:rPr>
                <m:t>8.28</m:t>
              </m:r>
            </m:e>
          </m:d>
        </m:oMath>
      </m:oMathPara>
    </w:p>
    <w:p w14:paraId="01C93365" w14:textId="77777777" w:rsidR="000F504F" w:rsidRDefault="00000000">
      <w:pPr>
        <w:pStyle w:val="FirstParagraph"/>
      </w:pPr>
      <w:r>
        <w:lastRenderedPageBreak/>
        <w:t>For a single-pass first-order test with no observed failures, the same Wilks expression applies to the pass/fail outcome:</w:t>
      </w:r>
    </w:p>
    <w:p w14:paraId="1EC5688F" w14:textId="77777777" w:rsidR="000F504F" w:rsidRDefault="00000000">
      <w:pPr>
        <w:pStyle w:val="BodyText"/>
      </w:pPr>
      <m:oMathPara>
        <m:oMathParaPr>
          <m:jc m:val="center"/>
        </m:oMathParaPr>
        <m:oMath>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γ</m:t>
              </m:r>
            </m:e>
            <m:sup>
              <m:r>
                <w:rPr>
                  <w:rFonts w:ascii="Cambria Math" w:hAnsi="Cambria Math"/>
                </w:rPr>
                <m:t>N</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8.29</m:t>
              </m:r>
            </m:e>
          </m:d>
        </m:oMath>
      </m:oMathPara>
    </w:p>
    <w:p w14:paraId="1648F8A4" w14:textId="77777777" w:rsidR="000F504F" w:rsidRDefault="00000000">
      <w:pPr>
        <w:pStyle w:val="FirstParagraph"/>
      </w:pPr>
      <w:r>
        <w:t>Therefore, if all 59 randomly sampled FLARE cases satisfy all imposed acceptance criteria simultaneously, the result supports the statement that the joint pass probability is at least 95 percent with 95 percent confidence. This is the basis of the Wallis-Nutt Testing Method interpretation discussed by Martin and Nutt. Its important advantage is that it is directly tied to the acceptance limits rather than to an abstract multi-dimensional tolerance surface.</w:t>
      </w:r>
    </w:p>
    <w:p w14:paraId="08776906" w14:textId="77777777" w:rsidR="000F504F" w:rsidRDefault="00000000">
      <w:pPr>
        <w:pStyle w:val="BodyText"/>
      </w:pPr>
      <w:r>
        <w:t xml:space="preserve">If a limited number of failures is allowed, the binomial repeated-trials form is used. Let </w:t>
      </w:r>
      <m:oMath>
        <m:sSub>
          <m:sSubPr>
            <m:ctrlPr>
              <w:rPr>
                <w:rFonts w:ascii="Cambria Math" w:hAnsi="Cambria Math"/>
              </w:rPr>
            </m:ctrlPr>
          </m:sSubPr>
          <m:e>
            <m:r>
              <w:rPr>
                <w:rFonts w:ascii="Cambria Math" w:hAnsi="Cambria Math"/>
              </w:rPr>
              <m:t>n</m:t>
            </m:r>
          </m:e>
          <m:sub>
            <m:r>
              <w:rPr>
                <w:rFonts w:ascii="Cambria Math" w:hAnsi="Cambria Math"/>
              </w:rPr>
              <m:t>f</m:t>
            </m:r>
          </m:sub>
        </m:sSub>
      </m:oMath>
      <w:r>
        <w:t xml:space="preserve"> be the number of failed cases out of </w:t>
      </w:r>
      <m:oMath>
        <m:r>
          <w:rPr>
            <w:rFonts w:ascii="Cambria Math" w:hAnsi="Cambria Math"/>
          </w:rPr>
          <m:t>N</m:t>
        </m:r>
      </m:oMath>
      <w:r>
        <w:t xml:space="preserve"> total samples, and let </w:t>
      </w:r>
      <m:oMath>
        <m:r>
          <w:rPr>
            <w:rFonts w:ascii="Cambria Math" w:hAnsi="Cambria Math"/>
          </w:rPr>
          <m:t>m</m:t>
        </m:r>
      </m:oMath>
      <w:r>
        <w:t xml:space="preserve"> be the maximum allowed number of failures. The probability of observing no more than </w:t>
      </w:r>
      <m:oMath>
        <m:r>
          <w:rPr>
            <w:rFonts w:ascii="Cambria Math" w:hAnsi="Cambria Math"/>
          </w:rPr>
          <m:t>m</m:t>
        </m:r>
      </m:oMath>
      <w:r>
        <w:t xml:space="preserve"> failures when the true pass probability is </w:t>
      </w:r>
      <m:oMath>
        <m:r>
          <w:rPr>
            <w:rFonts w:ascii="Cambria Math" w:hAnsi="Cambria Math"/>
          </w:rPr>
          <m:t>p</m:t>
        </m:r>
      </m:oMath>
      <w:r>
        <w:t xml:space="preserve"> is</w:t>
      </w:r>
    </w:p>
    <w:p w14:paraId="6804BC8E"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e>
          </m:d>
          <m:r>
            <m:rPr>
              <m:sty m:val="p"/>
            </m:rPr>
            <w:rPr>
              <w:rFonts w:ascii="Cambria Math" w:hAnsi="Cambria Math"/>
            </w:rPr>
            <m:t>=</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0</m:t>
              </m:r>
            </m:sub>
            <m:sup>
              <m:r>
                <w:rPr>
                  <w:rFonts w:ascii="Cambria Math" w:hAnsi="Cambria Math"/>
                </w:rPr>
                <m:t>m</m:t>
              </m:r>
            </m:sup>
            <m:e>
              <m:d>
                <m:dPr>
                  <m:ctrlPr>
                    <w:rPr>
                      <w:rFonts w:ascii="Cambria Math" w:hAnsi="Cambria Math"/>
                    </w:rPr>
                  </m:ctrlPr>
                </m:dPr>
                <m:e>
                  <m:f>
                    <m:fPr>
                      <m:type m:val="noBar"/>
                      <m:ctrlPr>
                        <w:rPr>
                          <w:rFonts w:ascii="Cambria Math" w:hAnsi="Cambria Math"/>
                        </w:rPr>
                      </m:ctrlPr>
                    </m:fPr>
                    <m:num>
                      <m:r>
                        <w:rPr>
                          <w:rFonts w:ascii="Cambria Math" w:hAnsi="Cambria Math"/>
                        </w:rPr>
                        <m:t>N</m:t>
                      </m:r>
                    </m:num>
                    <m:den>
                      <m:r>
                        <w:rPr>
                          <w:rFonts w:ascii="Cambria Math" w:hAnsi="Cambria Math"/>
                        </w:rPr>
                        <m:t>i</m:t>
                      </m:r>
                    </m:den>
                  </m:f>
                </m:e>
              </m:d>
            </m:e>
          </m:nary>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p</m:t>
                  </m:r>
                </m:e>
              </m:d>
            </m:e>
            <m:sup>
              <m:r>
                <w:rPr>
                  <w:rFonts w:ascii="Cambria Math" w:hAnsi="Cambria Math"/>
                </w:rPr>
                <m:t>i</m:t>
              </m:r>
            </m:sup>
          </m:sSup>
          <m:sSup>
            <m:sSupPr>
              <m:ctrlPr>
                <w:rPr>
                  <w:rFonts w:ascii="Cambria Math" w:hAnsi="Cambria Math"/>
                </w:rPr>
              </m:ctrlPr>
            </m:sSupPr>
            <m:e>
              <m:r>
                <w:rPr>
                  <w:rFonts w:ascii="Cambria Math" w:hAnsi="Cambria Math"/>
                </w:rPr>
                <m:t>p</m:t>
              </m:r>
            </m:e>
            <m:sup>
              <m:r>
                <w:rPr>
                  <w:rFonts w:ascii="Cambria Math" w:hAnsi="Cambria Math"/>
                </w:rPr>
                <m:t>N</m:t>
              </m:r>
              <m:r>
                <m:rPr>
                  <m:sty m:val="p"/>
                </m:rPr>
                <w:rPr>
                  <w:rFonts w:ascii="Cambria Math" w:hAnsi="Cambria Math"/>
                </w:rPr>
                <m:t>-</m:t>
              </m:r>
              <m:r>
                <w:rPr>
                  <w:rFonts w:ascii="Cambria Math" w:hAnsi="Cambria Math"/>
                </w:rPr>
                <m:t>i</m:t>
              </m:r>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8.30</m:t>
              </m:r>
            </m:e>
          </m:d>
        </m:oMath>
      </m:oMathPara>
    </w:p>
    <w:p w14:paraId="18C28854" w14:textId="77777777" w:rsidR="000F504F" w:rsidRDefault="00000000">
      <w:pPr>
        <w:pStyle w:val="FirstParagraph"/>
      </w:pPr>
      <w:r>
        <w:t xml:space="preserve">To demonstrate coverage </w:t>
      </w:r>
      <m:oMath>
        <m:r>
          <w:rPr>
            <w:rFonts w:ascii="Cambria Math" w:hAnsi="Cambria Math"/>
          </w:rPr>
          <m:t>γ</m:t>
        </m:r>
      </m:oMath>
      <w:r>
        <w:t xml:space="preserve"> with confidence </w:t>
      </w:r>
      <m:oMath>
        <m:r>
          <w:rPr>
            <w:rFonts w:ascii="Cambria Math" w:hAnsi="Cambria Math"/>
          </w:rPr>
          <m:t>β</m:t>
        </m:r>
      </m:oMath>
      <w:r>
        <w:t>, the allowed-failure criterion must satisfy</w:t>
      </w:r>
    </w:p>
    <w:p w14:paraId="79F4B1D7" w14:textId="77777777" w:rsidR="000F504F" w:rsidRDefault="00000000">
      <w:pPr>
        <w:pStyle w:val="BodyText"/>
      </w:pPr>
      <m:oMathPara>
        <m:oMathParaPr>
          <m:jc m:val="center"/>
        </m:oMathParaP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f</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γ</m:t>
              </m:r>
            </m:e>
          </m:d>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8.31</m:t>
              </m:r>
            </m:e>
          </m:d>
        </m:oMath>
      </m:oMathPara>
    </w:p>
    <w:p w14:paraId="3B576F34" w14:textId="77777777" w:rsidR="000F504F" w:rsidRDefault="00000000">
      <w:pPr>
        <w:pStyle w:val="FirstParagraph"/>
      </w:pPr>
      <w:r>
        <w:t xml:space="preserve">When </w:t>
      </w:r>
      <m:oMath>
        <m:r>
          <w:rPr>
            <w:rFonts w:ascii="Cambria Math" w:hAnsi="Cambria Math"/>
          </w:rPr>
          <m:t>m</m:t>
        </m:r>
        <m:r>
          <m:rPr>
            <m:sty m:val="p"/>
          </m:rPr>
          <w:rPr>
            <w:rFonts w:ascii="Cambria Math" w:hAnsi="Cambria Math"/>
          </w:rPr>
          <m:t>=</m:t>
        </m:r>
        <m:r>
          <w:rPr>
            <w:rFonts w:ascii="Cambria Math" w:hAnsi="Cambria Math"/>
          </w:rPr>
          <m:t>0</m:t>
        </m:r>
      </m:oMath>
      <w:r>
        <w:t xml:space="preserve">, Eq. (8.31) reduces to Eq. (8.14). The </w:t>
      </w:r>
      <m:oMath>
        <m:r>
          <w:rPr>
            <w:rFonts w:ascii="Cambria Math" w:hAnsi="Cambria Math"/>
          </w:rPr>
          <m:t>m</m:t>
        </m:r>
        <m:r>
          <m:rPr>
            <m:sty m:val="p"/>
          </m:rPr>
          <w:rPr>
            <w:rFonts w:ascii="Cambria Math" w:hAnsi="Cambria Math"/>
          </w:rPr>
          <m:t>&gt;</m:t>
        </m:r>
        <m:r>
          <w:rPr>
            <w:rFonts w:ascii="Cambria Math" w:hAnsi="Cambria Math"/>
          </w:rPr>
          <m:t>0</m:t>
        </m:r>
      </m:oMath>
      <w:r>
        <w:t xml:space="preserve"> case can be useful for formal multi-pass methods or for methodologies that explicitly anticipate rare outliers. Such methods must be specified before the calculation is performed.</w:t>
      </w:r>
    </w:p>
    <w:p w14:paraId="2451FF86" w14:textId="3990E753" w:rsidR="000F504F" w:rsidRDefault="00000000">
      <w:pPr>
        <w:pStyle w:val="Heading2"/>
      </w:pPr>
      <w:bookmarkStart w:id="72" w:name="_Toc231232917"/>
      <w:r>
        <w:t>8.8 FLARE Implementation and Reporting</w:t>
      </w:r>
      <w:bookmarkEnd w:id="72"/>
    </w:p>
    <w:p w14:paraId="78C48527" w14:textId="77777777" w:rsidR="000F504F" w:rsidRDefault="00000000">
      <w:pPr>
        <w:pStyle w:val="FirstParagraph"/>
      </w:pPr>
      <w:r>
        <w:t>The FLARE uncertainty analysis module performs the following sequence:</w:t>
      </w:r>
    </w:p>
    <w:p w14:paraId="26352254" w14:textId="77777777" w:rsidR="000F504F" w:rsidRDefault="00000000">
      <w:pPr>
        <w:pStyle w:val="Compact"/>
        <w:numPr>
          <w:ilvl w:val="0"/>
          <w:numId w:val="2"/>
        </w:numPr>
      </w:pPr>
      <w:r>
        <w:t>Read the base input deck and the uncertainty-variable catalogue.</w:t>
      </w:r>
    </w:p>
    <w:p w14:paraId="5F72BF6A" w14:textId="77777777" w:rsidR="000F504F" w:rsidRDefault="00000000">
      <w:pPr>
        <w:pStyle w:val="Compact"/>
        <w:numPr>
          <w:ilvl w:val="0"/>
          <w:numId w:val="2"/>
        </w:numPr>
      </w:pPr>
      <w:r>
        <w:t xml:space="preserve">Generate </w:t>
      </w:r>
      <m:oMath>
        <m:r>
          <w:rPr>
            <w:rFonts w:ascii="Cambria Math" w:hAnsi="Cambria Math"/>
          </w:rPr>
          <m:t>N</m:t>
        </m:r>
      </m:oMath>
      <w:r>
        <w:t xml:space="preserve"> sampled input decks by applying the specified distributions.</w:t>
      </w:r>
    </w:p>
    <w:p w14:paraId="5026299D" w14:textId="77777777" w:rsidR="000F504F" w:rsidRDefault="00000000">
      <w:pPr>
        <w:pStyle w:val="Compact"/>
        <w:numPr>
          <w:ilvl w:val="0"/>
          <w:numId w:val="2"/>
        </w:numPr>
      </w:pPr>
      <w:r>
        <w:t>Run the FLARE simulation for each sampled realization.</w:t>
      </w:r>
    </w:p>
    <w:p w14:paraId="63173949" w14:textId="77777777" w:rsidR="000F504F" w:rsidRDefault="00000000">
      <w:pPr>
        <w:pStyle w:val="Compact"/>
        <w:numPr>
          <w:ilvl w:val="0"/>
          <w:numId w:val="2"/>
        </w:numPr>
      </w:pPr>
      <w:r>
        <w:t>Extract scalar figures of merit and relevant time histories.</w:t>
      </w:r>
    </w:p>
    <w:p w14:paraId="0CFD89C7" w14:textId="77777777" w:rsidR="000F504F" w:rsidRDefault="00000000">
      <w:pPr>
        <w:pStyle w:val="Compact"/>
        <w:numPr>
          <w:ilvl w:val="0"/>
          <w:numId w:val="2"/>
        </w:numPr>
      </w:pPr>
      <w:r>
        <w:t>Sort each scalar output and report sample statistics, empirical percentiles, and Wilks tolerance estimates.</w:t>
      </w:r>
    </w:p>
    <w:p w14:paraId="759B4C1D" w14:textId="77777777" w:rsidR="000F504F" w:rsidRDefault="00000000">
      <w:pPr>
        <w:pStyle w:val="Compact"/>
        <w:numPr>
          <w:ilvl w:val="0"/>
          <w:numId w:val="2"/>
        </w:numPr>
      </w:pPr>
      <w:r>
        <w:t>Evaluate fixed acceptance criteria, where available, using scalar or joint pass/fail logic.</w:t>
      </w:r>
    </w:p>
    <w:p w14:paraId="61C3F6E9" w14:textId="77777777" w:rsidR="000F504F" w:rsidRDefault="00000000">
      <w:pPr>
        <w:pStyle w:val="FirstParagraph"/>
      </w:pPr>
      <w:r>
        <w:t>For scalar outputs, FLARE reports the empirical mean, standard deviation, minimum, maximum, and selected percentiles. For a 59-sample first-order Wilks run, the maximum is the one-sided 95/95 tolerance estimate. For larger runs, FLARE may additionally report higher-order Wilks estimates using the sorted output array.</w:t>
      </w:r>
    </w:p>
    <w:p w14:paraId="35E42495" w14:textId="77777777" w:rsidR="000F504F" w:rsidRDefault="00000000">
      <w:pPr>
        <w:pStyle w:val="BodyText"/>
      </w:pPr>
      <w:r>
        <w:t>For acceptance metrics with regulatory or user-defined limits, FLARE should distinguish three quantities: the most limiting observed value, the applicable limit, and the pass/fail status of the joint case vector. This distinction is important because the most limiting PCT case is not necessarily the most limiting dose case, containment-pressure case, or hydrogen case. A joint pass/fail statistic uses each sampled calculation as a complete event realization, not as a collection of unrelated scalar maxima.</w:t>
      </w:r>
    </w:p>
    <w:p w14:paraId="0C5C3D1A" w14:textId="4ED01014" w:rsidR="000F504F" w:rsidRDefault="00000000">
      <w:pPr>
        <w:pStyle w:val="Heading2"/>
      </w:pPr>
      <w:bookmarkStart w:id="73" w:name="_Toc231232918"/>
      <w:r>
        <w:t>8.9 Interpretation and Limitations</w:t>
      </w:r>
      <w:bookmarkEnd w:id="73"/>
    </w:p>
    <w:p w14:paraId="49A0C12C" w14:textId="77777777" w:rsidR="000F504F" w:rsidRDefault="00000000">
      <w:pPr>
        <w:pStyle w:val="FirstParagraph"/>
      </w:pPr>
      <w:r>
        <w:t>A Wilks-based FLARE uncertainty analysis provides a non-parametric statement about the population represented by the sampled model. It does not prove that the code is correct, that the uncertainty catalogue is complete, or that the sampled distributions are physically justified. Those questions belong to evaluation-model development, code assessment, validation, and applicability review.</w:t>
      </w:r>
    </w:p>
    <w:p w14:paraId="371F8DB3" w14:textId="77777777" w:rsidR="000F504F" w:rsidRDefault="00000000">
      <w:pPr>
        <w:pStyle w:val="BodyText"/>
      </w:pPr>
      <w:r>
        <w:lastRenderedPageBreak/>
        <w:t>The principal limitations are as follows. First, the method assumes independent random samples from a fixed model and fixed uncertainty catalogue. Second, the method provides a statistical convolution of selected uncertainties, not a substitute for model validation or phenomenological completeness. Third, first-order Wilks can be sensitive to numerical failures and isolated outliers. Fourth, separate scalar tolerance limits should not be casually combined into a joint regulatory conclusion unless the methodology specifies how multiple acceptance criteria are handled.</w:t>
      </w:r>
    </w:p>
    <w:p w14:paraId="508BE843" w14:textId="5938B2AC" w:rsidR="000F504F" w:rsidRDefault="00000000">
      <w:pPr>
        <w:pStyle w:val="BodyText"/>
      </w:pPr>
      <w:r>
        <w:t>Within these limitations, the Wilks method is well matched to FLARE’s role as a rapid scoping and BEPU-support tool. It allows a large number of uncertain inputs to be propagated without constructing a response surface, avoids assumptions about output-distribution shape, and provides a transparent link between sample size, coverage, confidence, and acceptance criteria.</w:t>
      </w:r>
    </w:p>
    <w:p w14:paraId="3F296D54" w14:textId="77777777" w:rsidR="00C51312" w:rsidRDefault="00C51312" w:rsidP="00C51312">
      <w:pPr>
        <w:pStyle w:val="Heading1"/>
      </w:pPr>
      <w:bookmarkStart w:id="74" w:name="_Toc231232919"/>
      <w:r>
        <w:t>Chapter 9 — Source-Term and Radiological Dose Models: NOTBADTRAD</w:t>
      </w:r>
      <w:bookmarkEnd w:id="74"/>
    </w:p>
    <w:p w14:paraId="33540E60" w14:textId="77777777" w:rsidR="00C51312" w:rsidRDefault="00C51312" w:rsidP="00C51312">
      <w:pPr>
        <w:pStyle w:val="Heading2"/>
      </w:pPr>
      <w:bookmarkStart w:id="75" w:name="_Toc231232920"/>
      <w:r>
        <w:t>9.1 Purpose and Scope</w:t>
      </w:r>
      <w:bookmarkEnd w:id="75"/>
    </w:p>
    <w:p w14:paraId="3AB85111" w14:textId="77777777" w:rsidR="00C51312" w:rsidRDefault="00C51312" w:rsidP="00C51312">
      <w:pPr>
        <w:pStyle w:val="FirstParagraph"/>
      </w:pPr>
      <w:r>
        <w:t>NOTBADTRAD is FLARE’s reduced-order source-term and radiological consequence module. It was developed to provide a transparent, fast-running screening calculation that parallels the basic logic of RADTRAD while avoiding the complexity of a full licensing-grade radiological transport model. Its name is intentionally modest: it is not RADTRAD, but it performs the subset of RADTRAD-like functions needed for rapid FLARE consequence screening.</w:t>
      </w:r>
    </w:p>
    <w:p w14:paraId="4C0ACAFF" w14:textId="77777777" w:rsidR="00C51312" w:rsidRDefault="00C51312" w:rsidP="00C51312">
      <w:pPr>
        <w:pStyle w:val="BodyText"/>
      </w:pPr>
      <w:r>
        <w:t>The module translates the thermal-hydraulic and fuel-response results from FLARE into simple estimates of offsite and control-room dose. It uses a reduced set of radionuclide groups aligned with the alternate source term framework of Regulatory Guide 1.183 and with the major release groups used in NUREG-1465. Instead of tracking hundreds of individual isotopes and their daughter products, NOTBADTRAD collapses the inventory into group activities, applies group release fractions, propagates those activities through simple transport and removal models, and converts the resulting airborne activity to dose using group dose conversion factors.</w:t>
      </w:r>
    </w:p>
    <w:p w14:paraId="551A7FF6" w14:textId="77777777" w:rsidR="00C51312" w:rsidRDefault="00C51312" w:rsidP="00C51312">
      <w:pPr>
        <w:pStyle w:val="BodyText"/>
      </w:pPr>
      <w:r>
        <w:t>The module is intended for scoping calculations, event comparison, sensitivity studies, and rapid risk-informed screening. It is not intended to replace RADTRAD, MACCS, HABIT, ARCON96, or a plant-specific licensing dose analysis. In particular, NOTBADTRAD does not attempt to model detailed nuclide-by-nuclide decay chains, multizone compartment transport, detailed control-room habitability systems, chemical speciation of iodine, engineered safety-feature performance uncertainty, or site-specific meteorological data sets. Its value is that every major transformation from core inventory to dose is visible and traceable.</w:t>
      </w:r>
    </w:p>
    <w:p w14:paraId="74ABECB6" w14:textId="77777777" w:rsidR="00C51312" w:rsidRDefault="00C51312" w:rsidP="00C51312">
      <w:pPr>
        <w:pStyle w:val="Heading2"/>
      </w:pPr>
      <w:bookmarkStart w:id="76" w:name="_Toc231232921"/>
      <w:r>
        <w:t>9.2 Relationship to RADTRAD and Similar Codes</w:t>
      </w:r>
      <w:bookmarkEnd w:id="76"/>
    </w:p>
    <w:p w14:paraId="02A4F4FD" w14:textId="77777777" w:rsidR="00C51312" w:rsidRDefault="00C51312" w:rsidP="00C51312">
      <w:pPr>
        <w:pStyle w:val="FirstParagraph"/>
      </w:pPr>
      <w:r>
        <w:t>RADTRAD and similar radiological consequence codes model the time-dependent transport of radionuclides from the reactor coolant system or containment to environmental and habitability receptors. A detailed RADTRAD model may include multiple compartments, time-dependent source release phases, leakage pathways, filter efficiencies, sprays, deposition, decay, daughter ingrowth, control-room intake and recirculation paths, occupancy factors, and receptor-specific breathing rates or dose conversion factors. Such a model is appropriate when a licensing calculation must demonstrate compliance with dose limits using a plant-specific set of assumptions.</w:t>
      </w:r>
    </w:p>
    <w:p w14:paraId="0D572C8F" w14:textId="77777777" w:rsidR="00C51312" w:rsidRDefault="00C51312" w:rsidP="00C51312">
      <w:pPr>
        <w:pStyle w:val="BodyText"/>
      </w:pPr>
      <w:r>
        <w:t>NOTBADTRAD retains the same conceptual sequence but simplifies each step. The sequence is:</w:t>
      </w:r>
    </w:p>
    <w:p w14:paraId="64552897" w14:textId="77777777" w:rsidR="00C51312" w:rsidRDefault="00C51312" w:rsidP="00C51312">
      <w:pPr>
        <w:pStyle w:val="Compact"/>
        <w:numPr>
          <w:ilvl w:val="0"/>
          <w:numId w:val="3"/>
        </w:numPr>
      </w:pPr>
      <w:r>
        <w:t>define a core inventory by radionuclide group;</w:t>
      </w:r>
    </w:p>
    <w:p w14:paraId="320313FF" w14:textId="77777777" w:rsidR="00C51312" w:rsidRDefault="00C51312" w:rsidP="00C51312">
      <w:pPr>
        <w:pStyle w:val="Compact"/>
        <w:numPr>
          <w:ilvl w:val="0"/>
          <w:numId w:val="3"/>
        </w:numPr>
      </w:pPr>
      <w:r>
        <w:t>determine the released fraction of each group from fuel response and source-term option;</w:t>
      </w:r>
    </w:p>
    <w:p w14:paraId="3B22DE73" w14:textId="77777777" w:rsidR="00C51312" w:rsidRDefault="00C51312" w:rsidP="00C51312">
      <w:pPr>
        <w:pStyle w:val="Compact"/>
        <w:numPr>
          <w:ilvl w:val="0"/>
          <w:numId w:val="3"/>
        </w:numPr>
      </w:pPr>
      <w:r>
        <w:t>place the released activity into a single containment or release control volume;</w:t>
      </w:r>
    </w:p>
    <w:p w14:paraId="43BCC030" w14:textId="77777777" w:rsidR="00C51312" w:rsidRDefault="00C51312" w:rsidP="00C51312">
      <w:pPr>
        <w:pStyle w:val="Compact"/>
        <w:numPr>
          <w:ilvl w:val="0"/>
          <w:numId w:val="3"/>
        </w:numPr>
      </w:pPr>
      <w:r>
        <w:t>apply simple removal and leakage models;</w:t>
      </w:r>
    </w:p>
    <w:p w14:paraId="3B25C62F" w14:textId="77777777" w:rsidR="00C51312" w:rsidRDefault="00C51312" w:rsidP="00C51312">
      <w:pPr>
        <w:pStyle w:val="Compact"/>
        <w:numPr>
          <w:ilvl w:val="0"/>
          <w:numId w:val="3"/>
        </w:numPr>
      </w:pPr>
      <w:r>
        <w:t>multiply the released activity by receptor-specific atmospheric dispersion factors; and</w:t>
      </w:r>
    </w:p>
    <w:p w14:paraId="3330BD43" w14:textId="77777777" w:rsidR="00C51312" w:rsidRDefault="00C51312" w:rsidP="00C51312">
      <w:pPr>
        <w:pStyle w:val="Compact"/>
        <w:numPr>
          <w:ilvl w:val="0"/>
          <w:numId w:val="3"/>
        </w:numPr>
      </w:pPr>
      <w:r>
        <w:lastRenderedPageBreak/>
        <w:t>integrate the resulting concentration against group dose conversion factors.</w:t>
      </w:r>
    </w:p>
    <w:p w14:paraId="6FD9720D" w14:textId="77777777" w:rsidR="00C51312" w:rsidRDefault="00C51312" w:rsidP="00C51312">
      <w:pPr>
        <w:pStyle w:val="FirstParagraph"/>
      </w:pPr>
      <w:r>
        <w:t>This relationship may be expressed schematically as</w:t>
      </w:r>
    </w:p>
    <w:p w14:paraId="03F95E34" w14:textId="77777777" w:rsidR="00C51312" w:rsidRDefault="00C51312" w:rsidP="00C51312">
      <w:pPr>
        <w:pStyle w:val="BodyText"/>
      </w:pPr>
      <m:oMathPara>
        <m:oMathParaPr>
          <m:jc m:val="center"/>
        </m:oMathParaPr>
        <m:oMath>
          <m:r>
            <m:rPr>
              <m:nor/>
            </m:rPr>
            <m:t>core inventory</m:t>
          </m:r>
          <m:r>
            <m:rPr>
              <m:sty m:val="p"/>
            </m:rPr>
            <w:rPr>
              <w:rFonts w:ascii="Cambria Math" w:hAnsi="Cambria Math"/>
            </w:rPr>
            <m:t>→</m:t>
          </m:r>
          <m:r>
            <m:rPr>
              <m:nor/>
            </m:rPr>
            <m:t>released inventory</m:t>
          </m:r>
          <m:r>
            <m:rPr>
              <m:sty m:val="p"/>
            </m:rPr>
            <w:rPr>
              <w:rFonts w:ascii="Cambria Math" w:hAnsi="Cambria Math"/>
            </w:rPr>
            <m:t>→</m:t>
          </m:r>
          <m:r>
            <m:rPr>
              <m:nor/>
            </m:rPr>
            <m:t>transport/removal</m:t>
          </m:r>
          <m:r>
            <m:rPr>
              <m:sty m:val="p"/>
            </m:rPr>
            <w:rPr>
              <w:rFonts w:ascii="Cambria Math" w:hAnsi="Cambria Math"/>
            </w:rPr>
            <m:t>→</m:t>
          </m:r>
          <m:r>
            <m:rPr>
              <m:nor/>
            </m:rPr>
            <m:t>environmental concentration</m:t>
          </m:r>
          <m:r>
            <m:rPr>
              <m:sty m:val="p"/>
            </m:rPr>
            <w:rPr>
              <w:rFonts w:ascii="Cambria Math" w:hAnsi="Cambria Math"/>
            </w:rPr>
            <m:t>→</m:t>
          </m:r>
          <m:r>
            <m:rPr>
              <m:nor/>
            </m:rPr>
            <m:t>dose</m:t>
          </m:r>
          <m:r>
            <m:rPr>
              <m:sty m:val="p"/>
            </m:rPr>
            <w:rPr>
              <w:rFonts w:ascii="Cambria Math" w:hAnsi="Cambria Math"/>
            </w:rPr>
            <m:t>.</m:t>
          </m:r>
        </m:oMath>
      </m:oMathPara>
    </w:p>
    <w:p w14:paraId="109F9F93" w14:textId="77777777" w:rsidR="00C51312" w:rsidRDefault="00C51312" w:rsidP="00C51312">
      <w:pPr>
        <w:pStyle w:val="FirstParagraph"/>
      </w:pPr>
      <w:r>
        <w:t>The simplification is deliberate. In a FLARE screening analysis, the governing question is usually not whether a final licensing dose has been calculated with full plant-specific fidelity. Rather, the question is whether two events, mitigation options, source-term assumptions, or frequency-consequence cases can be compared on a consistent basis. NOTBADTRAD is therefore best understood as a consequence metric generator rather than a licensing dose-analysis code.</w:t>
      </w:r>
    </w:p>
    <w:p w14:paraId="56B98419" w14:textId="77777777" w:rsidR="00C51312" w:rsidRDefault="00C51312" w:rsidP="00C51312">
      <w:pPr>
        <w:pStyle w:val="Heading2"/>
      </w:pPr>
      <w:bookmarkStart w:id="77" w:name="_Toc231232922"/>
      <w:r>
        <w:t>9.3 Reduced Radionuclide Group Structure</w:t>
      </w:r>
      <w:bookmarkEnd w:id="77"/>
    </w:p>
    <w:p w14:paraId="260D87AE" w14:textId="77777777" w:rsidR="00C51312" w:rsidRDefault="00C51312" w:rsidP="00C51312">
      <w:pPr>
        <w:pStyle w:val="FirstParagraph"/>
      </w:pPr>
      <w:r>
        <w:t>The fundamental reduction in NOTBADTRAD is the replacement of a nuclide-by-nuclide inventory with a smaller set of chemically and radiologically coherent release groups. The group structure is chosen to align with the source-term groupings used in alternate source term applications and severe-accident release fraction models. The default NOTBADTRAD group set is shown in Table 9-1.</w:t>
      </w:r>
    </w:p>
    <w:p w14:paraId="701AD475" w14:textId="77777777" w:rsidR="00C51312" w:rsidRDefault="00C51312" w:rsidP="00C51312">
      <w:pPr>
        <w:pStyle w:val="BodyText"/>
      </w:pPr>
      <w:r>
        <w:t>Table 9-1. NOTBADTRAD radionuclide group structure.</w:t>
      </w:r>
    </w:p>
    <w:tbl>
      <w:tblPr>
        <w:tblStyle w:val="Table"/>
        <w:tblW w:w="5000" w:type="pct"/>
        <w:tblLayout w:type="fixed"/>
        <w:tblLook w:val="0020" w:firstRow="1" w:lastRow="0" w:firstColumn="0" w:lastColumn="0" w:noHBand="0" w:noVBand="0"/>
      </w:tblPr>
      <w:tblGrid>
        <w:gridCol w:w="3336"/>
        <w:gridCol w:w="3336"/>
        <w:gridCol w:w="3336"/>
      </w:tblGrid>
      <w:tr w:rsidR="00C51312" w14:paraId="621CDA14"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2640" w:type="dxa"/>
          </w:tcPr>
          <w:p w14:paraId="505579D3" w14:textId="77777777" w:rsidR="00C51312" w:rsidRDefault="00C51312" w:rsidP="00104431">
            <w:pPr>
              <w:pStyle w:val="Compact"/>
            </w:pPr>
            <w:r>
              <w:rPr>
                <w:sz w:val="18"/>
              </w:rPr>
              <w:t>Group</w:t>
            </w:r>
          </w:p>
        </w:tc>
        <w:tc>
          <w:tcPr>
            <w:tcW w:w="2640" w:type="dxa"/>
          </w:tcPr>
          <w:p w14:paraId="7A2F6E16" w14:textId="77777777" w:rsidR="00C51312" w:rsidRDefault="00C51312" w:rsidP="00104431">
            <w:pPr>
              <w:pStyle w:val="Compact"/>
            </w:pPr>
            <w:r>
              <w:rPr>
                <w:sz w:val="18"/>
              </w:rPr>
              <w:t>Representative contents</w:t>
            </w:r>
          </w:p>
        </w:tc>
        <w:tc>
          <w:tcPr>
            <w:tcW w:w="2640" w:type="dxa"/>
          </w:tcPr>
          <w:p w14:paraId="089F4B6A" w14:textId="77777777" w:rsidR="00C51312" w:rsidRDefault="00C51312" w:rsidP="00104431">
            <w:pPr>
              <w:pStyle w:val="Compact"/>
            </w:pPr>
            <w:r>
              <w:rPr>
                <w:sz w:val="18"/>
              </w:rPr>
              <w:t>Primary modeling role</w:t>
            </w:r>
          </w:p>
        </w:tc>
      </w:tr>
      <w:tr w:rsidR="00C51312" w14:paraId="53C8C986" w14:textId="77777777" w:rsidTr="00104431">
        <w:trPr>
          <w:cantSplit/>
        </w:trPr>
        <w:tc>
          <w:tcPr>
            <w:tcW w:w="2640" w:type="dxa"/>
          </w:tcPr>
          <w:p w14:paraId="07E7106E" w14:textId="77777777" w:rsidR="00C51312" w:rsidRDefault="00C51312" w:rsidP="00104431">
            <w:pPr>
              <w:pStyle w:val="Compact"/>
            </w:pPr>
            <w:r>
              <w:rPr>
                <w:sz w:val="18"/>
              </w:rPr>
              <w:t>Noble gases</w:t>
            </w:r>
          </w:p>
        </w:tc>
        <w:tc>
          <w:tcPr>
            <w:tcW w:w="2640" w:type="dxa"/>
          </w:tcPr>
          <w:p w14:paraId="466DF34C" w14:textId="77777777" w:rsidR="00C51312" w:rsidRDefault="00C51312" w:rsidP="00104431">
            <w:pPr>
              <w:pStyle w:val="Compact"/>
            </w:pPr>
            <w:r>
              <w:rPr>
                <w:sz w:val="18"/>
              </w:rPr>
              <w:t>Xe, Kr isotopes</w:t>
            </w:r>
          </w:p>
        </w:tc>
        <w:tc>
          <w:tcPr>
            <w:tcW w:w="2640" w:type="dxa"/>
          </w:tcPr>
          <w:p w14:paraId="031B9250" w14:textId="77777777" w:rsidR="00C51312" w:rsidRDefault="00C51312" w:rsidP="00104431">
            <w:pPr>
              <w:pStyle w:val="Compact"/>
            </w:pPr>
            <w:r>
              <w:rPr>
                <w:sz w:val="18"/>
              </w:rPr>
              <w:t>Direct whole-body cloud dose; no deposition credit</w:t>
            </w:r>
          </w:p>
        </w:tc>
      </w:tr>
      <w:tr w:rsidR="00C51312" w14:paraId="3C9B5D98" w14:textId="77777777" w:rsidTr="00104431">
        <w:trPr>
          <w:cantSplit/>
        </w:trPr>
        <w:tc>
          <w:tcPr>
            <w:tcW w:w="2640" w:type="dxa"/>
          </w:tcPr>
          <w:p w14:paraId="58E7F7F1" w14:textId="77777777" w:rsidR="00C51312" w:rsidRDefault="00C51312" w:rsidP="00104431">
            <w:pPr>
              <w:pStyle w:val="Compact"/>
            </w:pPr>
            <w:r>
              <w:rPr>
                <w:sz w:val="18"/>
              </w:rPr>
              <w:t>Halogens</w:t>
            </w:r>
          </w:p>
        </w:tc>
        <w:tc>
          <w:tcPr>
            <w:tcW w:w="2640" w:type="dxa"/>
          </w:tcPr>
          <w:p w14:paraId="561FB65C" w14:textId="77777777" w:rsidR="00C51312" w:rsidRDefault="00C51312" w:rsidP="00104431">
            <w:pPr>
              <w:pStyle w:val="Compact"/>
            </w:pPr>
            <w:r>
              <w:rPr>
                <w:sz w:val="18"/>
              </w:rPr>
              <w:t>I and Br isotopes</w:t>
            </w:r>
          </w:p>
        </w:tc>
        <w:tc>
          <w:tcPr>
            <w:tcW w:w="2640" w:type="dxa"/>
          </w:tcPr>
          <w:p w14:paraId="19A3D126" w14:textId="77777777" w:rsidR="00C51312" w:rsidRDefault="00C51312" w:rsidP="00104431">
            <w:pPr>
              <w:pStyle w:val="Compact"/>
            </w:pPr>
            <w:r>
              <w:rPr>
                <w:sz w:val="18"/>
              </w:rPr>
              <w:t>Thyroid and TEDE contribution; filtration and deposition may be credited</w:t>
            </w:r>
          </w:p>
        </w:tc>
      </w:tr>
      <w:tr w:rsidR="00C51312" w14:paraId="2F1C7C46" w14:textId="77777777" w:rsidTr="00104431">
        <w:trPr>
          <w:cantSplit/>
        </w:trPr>
        <w:tc>
          <w:tcPr>
            <w:tcW w:w="2640" w:type="dxa"/>
          </w:tcPr>
          <w:p w14:paraId="2F62724D" w14:textId="77777777" w:rsidR="00C51312" w:rsidRDefault="00C51312" w:rsidP="00104431">
            <w:pPr>
              <w:pStyle w:val="Compact"/>
            </w:pPr>
            <w:r>
              <w:rPr>
                <w:sz w:val="18"/>
              </w:rPr>
              <w:t>Alkali metals</w:t>
            </w:r>
          </w:p>
        </w:tc>
        <w:tc>
          <w:tcPr>
            <w:tcW w:w="2640" w:type="dxa"/>
          </w:tcPr>
          <w:p w14:paraId="6EC7C4E5" w14:textId="77777777" w:rsidR="00C51312" w:rsidRDefault="00C51312" w:rsidP="00104431">
            <w:pPr>
              <w:pStyle w:val="Compact"/>
            </w:pPr>
            <w:r>
              <w:rPr>
                <w:sz w:val="18"/>
              </w:rPr>
              <w:t>Cs and Rb isotopes</w:t>
            </w:r>
          </w:p>
        </w:tc>
        <w:tc>
          <w:tcPr>
            <w:tcW w:w="2640" w:type="dxa"/>
          </w:tcPr>
          <w:p w14:paraId="00D965A1" w14:textId="77777777" w:rsidR="00C51312" w:rsidRDefault="00C51312" w:rsidP="00104431">
            <w:pPr>
              <w:pStyle w:val="Compact"/>
            </w:pPr>
            <w:r>
              <w:rPr>
                <w:sz w:val="18"/>
              </w:rPr>
              <w:t>Aerosol source term; deposition and spray removal may be credited</w:t>
            </w:r>
          </w:p>
        </w:tc>
      </w:tr>
      <w:tr w:rsidR="00C51312" w14:paraId="70D774A4" w14:textId="77777777" w:rsidTr="00104431">
        <w:trPr>
          <w:cantSplit/>
        </w:trPr>
        <w:tc>
          <w:tcPr>
            <w:tcW w:w="2640" w:type="dxa"/>
          </w:tcPr>
          <w:p w14:paraId="72D85867" w14:textId="77777777" w:rsidR="00C51312" w:rsidRDefault="00C51312" w:rsidP="00104431">
            <w:pPr>
              <w:pStyle w:val="Compact"/>
            </w:pPr>
            <w:r>
              <w:rPr>
                <w:sz w:val="18"/>
              </w:rPr>
              <w:t>Tellurium group</w:t>
            </w:r>
          </w:p>
        </w:tc>
        <w:tc>
          <w:tcPr>
            <w:tcW w:w="2640" w:type="dxa"/>
          </w:tcPr>
          <w:p w14:paraId="70C45DFD" w14:textId="77777777" w:rsidR="00C51312" w:rsidRDefault="00C51312" w:rsidP="00104431">
            <w:pPr>
              <w:pStyle w:val="Compact"/>
            </w:pPr>
            <w:r>
              <w:rPr>
                <w:sz w:val="18"/>
              </w:rPr>
              <w:t>Te, Sb, Se isotopes</w:t>
            </w:r>
          </w:p>
        </w:tc>
        <w:tc>
          <w:tcPr>
            <w:tcW w:w="2640" w:type="dxa"/>
          </w:tcPr>
          <w:p w14:paraId="3856B12A" w14:textId="77777777" w:rsidR="00C51312" w:rsidRDefault="00C51312" w:rsidP="00104431">
            <w:pPr>
              <w:pStyle w:val="Compact"/>
            </w:pPr>
            <w:r>
              <w:rPr>
                <w:sz w:val="18"/>
              </w:rPr>
              <w:t>Semi-volatile aerosol source term</w:t>
            </w:r>
          </w:p>
        </w:tc>
      </w:tr>
      <w:tr w:rsidR="00C51312" w14:paraId="781D1EA7" w14:textId="77777777" w:rsidTr="00104431">
        <w:trPr>
          <w:cantSplit/>
        </w:trPr>
        <w:tc>
          <w:tcPr>
            <w:tcW w:w="2640" w:type="dxa"/>
          </w:tcPr>
          <w:p w14:paraId="14A2B65C" w14:textId="77777777" w:rsidR="00C51312" w:rsidRDefault="00C51312" w:rsidP="00104431">
            <w:pPr>
              <w:pStyle w:val="Compact"/>
            </w:pPr>
            <w:r>
              <w:rPr>
                <w:sz w:val="18"/>
              </w:rPr>
              <w:t>Barium/strontium group</w:t>
            </w:r>
          </w:p>
        </w:tc>
        <w:tc>
          <w:tcPr>
            <w:tcW w:w="2640" w:type="dxa"/>
          </w:tcPr>
          <w:p w14:paraId="413AA7C9" w14:textId="77777777" w:rsidR="00C51312" w:rsidRDefault="00C51312" w:rsidP="00104431">
            <w:pPr>
              <w:pStyle w:val="Compact"/>
            </w:pPr>
            <w:r>
              <w:rPr>
                <w:sz w:val="18"/>
              </w:rPr>
              <w:t>Ba and Sr isotopes</w:t>
            </w:r>
          </w:p>
        </w:tc>
        <w:tc>
          <w:tcPr>
            <w:tcW w:w="2640" w:type="dxa"/>
          </w:tcPr>
          <w:p w14:paraId="0243A4FD" w14:textId="77777777" w:rsidR="00C51312" w:rsidRDefault="00C51312" w:rsidP="00104431">
            <w:pPr>
              <w:pStyle w:val="Compact"/>
            </w:pPr>
            <w:r>
              <w:rPr>
                <w:sz w:val="18"/>
              </w:rPr>
              <w:t>Lower-volatility aerosol source term</w:t>
            </w:r>
          </w:p>
        </w:tc>
      </w:tr>
      <w:tr w:rsidR="00C51312" w14:paraId="488D8999" w14:textId="77777777" w:rsidTr="00104431">
        <w:trPr>
          <w:cantSplit/>
        </w:trPr>
        <w:tc>
          <w:tcPr>
            <w:tcW w:w="2640" w:type="dxa"/>
          </w:tcPr>
          <w:p w14:paraId="102DD4F9" w14:textId="77777777" w:rsidR="00C51312" w:rsidRDefault="00C51312" w:rsidP="00104431">
            <w:pPr>
              <w:pStyle w:val="Compact"/>
            </w:pPr>
            <w:r>
              <w:rPr>
                <w:sz w:val="18"/>
              </w:rPr>
              <w:t>Noble metals</w:t>
            </w:r>
          </w:p>
        </w:tc>
        <w:tc>
          <w:tcPr>
            <w:tcW w:w="2640" w:type="dxa"/>
          </w:tcPr>
          <w:p w14:paraId="49501904" w14:textId="77777777" w:rsidR="00C51312" w:rsidRDefault="00C51312" w:rsidP="00104431">
            <w:pPr>
              <w:pStyle w:val="Compact"/>
            </w:pPr>
            <w:r>
              <w:rPr>
                <w:sz w:val="18"/>
              </w:rPr>
              <w:t>Ru, Rh, Pd, Mo, Tc, Co</w:t>
            </w:r>
          </w:p>
        </w:tc>
        <w:tc>
          <w:tcPr>
            <w:tcW w:w="2640" w:type="dxa"/>
          </w:tcPr>
          <w:p w14:paraId="20DC9003" w14:textId="77777777" w:rsidR="00C51312" w:rsidRDefault="00C51312" w:rsidP="00104431">
            <w:pPr>
              <w:pStyle w:val="Compact"/>
            </w:pPr>
            <w:r>
              <w:rPr>
                <w:sz w:val="18"/>
              </w:rPr>
              <w:t>Low-volatility aerosol source term</w:t>
            </w:r>
          </w:p>
        </w:tc>
      </w:tr>
      <w:tr w:rsidR="00C51312" w14:paraId="0CBF01C0" w14:textId="77777777" w:rsidTr="00104431">
        <w:trPr>
          <w:cantSplit/>
        </w:trPr>
        <w:tc>
          <w:tcPr>
            <w:tcW w:w="2640" w:type="dxa"/>
          </w:tcPr>
          <w:p w14:paraId="78E4897F" w14:textId="77777777" w:rsidR="00C51312" w:rsidRDefault="00C51312" w:rsidP="00104431">
            <w:pPr>
              <w:pStyle w:val="Compact"/>
            </w:pPr>
            <w:r>
              <w:rPr>
                <w:sz w:val="18"/>
              </w:rPr>
              <w:t>Cerium group</w:t>
            </w:r>
          </w:p>
        </w:tc>
        <w:tc>
          <w:tcPr>
            <w:tcW w:w="2640" w:type="dxa"/>
          </w:tcPr>
          <w:p w14:paraId="727BC1F2" w14:textId="77777777" w:rsidR="00C51312" w:rsidRDefault="00C51312" w:rsidP="00104431">
            <w:pPr>
              <w:pStyle w:val="Compact"/>
            </w:pPr>
            <w:r>
              <w:rPr>
                <w:sz w:val="18"/>
              </w:rPr>
              <w:t>Ce, Pu, Np</w:t>
            </w:r>
          </w:p>
        </w:tc>
        <w:tc>
          <w:tcPr>
            <w:tcW w:w="2640" w:type="dxa"/>
          </w:tcPr>
          <w:p w14:paraId="10CC6803" w14:textId="77777777" w:rsidR="00C51312" w:rsidRDefault="00C51312" w:rsidP="00104431">
            <w:pPr>
              <w:pStyle w:val="Compact"/>
            </w:pPr>
            <w:r>
              <w:rPr>
                <w:sz w:val="18"/>
              </w:rPr>
              <w:t>Refractory source term</w:t>
            </w:r>
          </w:p>
        </w:tc>
      </w:tr>
      <w:tr w:rsidR="00C51312" w14:paraId="2DA8C88B" w14:textId="77777777" w:rsidTr="00104431">
        <w:trPr>
          <w:cantSplit/>
        </w:trPr>
        <w:tc>
          <w:tcPr>
            <w:tcW w:w="2640" w:type="dxa"/>
          </w:tcPr>
          <w:p w14:paraId="16B2E13E" w14:textId="77777777" w:rsidR="00C51312" w:rsidRDefault="00C51312" w:rsidP="00104431">
            <w:pPr>
              <w:pStyle w:val="Compact"/>
            </w:pPr>
            <w:r>
              <w:rPr>
                <w:sz w:val="18"/>
              </w:rPr>
              <w:t>Lanthanides</w:t>
            </w:r>
          </w:p>
        </w:tc>
        <w:tc>
          <w:tcPr>
            <w:tcW w:w="2640" w:type="dxa"/>
          </w:tcPr>
          <w:p w14:paraId="6777CDBB" w14:textId="77777777" w:rsidR="00C51312" w:rsidRDefault="00C51312" w:rsidP="00104431">
            <w:pPr>
              <w:pStyle w:val="Compact"/>
            </w:pPr>
            <w:r>
              <w:rPr>
                <w:sz w:val="18"/>
              </w:rPr>
              <w:t>La, Zr, Nd, Eu, Nb, Pm, Pr, Sm, Y, Cm, Am</w:t>
            </w:r>
          </w:p>
        </w:tc>
        <w:tc>
          <w:tcPr>
            <w:tcW w:w="2640" w:type="dxa"/>
          </w:tcPr>
          <w:p w14:paraId="7A1C6056" w14:textId="77777777" w:rsidR="00C51312" w:rsidRDefault="00C51312" w:rsidP="00104431">
            <w:pPr>
              <w:pStyle w:val="Compact"/>
            </w:pPr>
            <w:r>
              <w:rPr>
                <w:sz w:val="18"/>
              </w:rPr>
              <w:t>Refractory source term</w:t>
            </w:r>
          </w:p>
        </w:tc>
      </w:tr>
      <w:tr w:rsidR="00C51312" w14:paraId="6B04420F" w14:textId="77777777" w:rsidTr="00104431">
        <w:trPr>
          <w:cantSplit/>
        </w:trPr>
        <w:tc>
          <w:tcPr>
            <w:tcW w:w="2640" w:type="dxa"/>
          </w:tcPr>
          <w:p w14:paraId="3F22355E" w14:textId="77777777" w:rsidR="00C51312" w:rsidRDefault="00C51312" w:rsidP="00104431">
            <w:pPr>
              <w:pStyle w:val="Compact"/>
            </w:pPr>
            <w:r>
              <w:rPr>
                <w:sz w:val="18"/>
              </w:rPr>
              <w:t>Uranium/actinides</w:t>
            </w:r>
          </w:p>
        </w:tc>
        <w:tc>
          <w:tcPr>
            <w:tcW w:w="2640" w:type="dxa"/>
          </w:tcPr>
          <w:p w14:paraId="1E662BD2" w14:textId="77777777" w:rsidR="00C51312" w:rsidRDefault="00C51312" w:rsidP="00104431">
            <w:pPr>
              <w:pStyle w:val="Compact"/>
            </w:pPr>
            <w:r>
              <w:rPr>
                <w:sz w:val="18"/>
              </w:rPr>
              <w:t>U and heavy actinides where separately tracked</w:t>
            </w:r>
          </w:p>
        </w:tc>
        <w:tc>
          <w:tcPr>
            <w:tcW w:w="2640" w:type="dxa"/>
          </w:tcPr>
          <w:p w14:paraId="50ABD481" w14:textId="77777777" w:rsidR="00C51312" w:rsidRDefault="00C51312" w:rsidP="00104431">
            <w:pPr>
              <w:pStyle w:val="Compact"/>
            </w:pPr>
            <w:r>
              <w:rPr>
                <w:sz w:val="18"/>
              </w:rPr>
              <w:t>Very low-volatility refractory source term</w:t>
            </w:r>
          </w:p>
        </w:tc>
      </w:tr>
    </w:tbl>
    <w:p w14:paraId="1D673A8E" w14:textId="77777777" w:rsidR="00C51312" w:rsidRDefault="00C51312" w:rsidP="00C51312">
      <w:pPr>
        <w:pStyle w:val="BodyText"/>
      </w:pPr>
      <w:r>
        <w:t>For group g, the initial group activity is obtained by summing the isotope activities assigned to that group:</w:t>
      </w:r>
    </w:p>
    <w:p w14:paraId="1C3E0BD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A</m:t>
                  </m:r>
                </m:e>
                <m:sub>
                  <m:r>
                    <w:rPr>
                      <w:rFonts w:ascii="Cambria Math" w:hAnsi="Cambria Math"/>
                    </w:rPr>
                    <m:t>i</m:t>
                  </m:r>
                  <m:r>
                    <m:rPr>
                      <m:sty m:val="p"/>
                    </m:rPr>
                    <w:rPr>
                      <w:rFonts w:ascii="Cambria Math" w:hAnsi="Cambria Math"/>
                    </w:rPr>
                    <m:t>,</m:t>
                  </m:r>
                  <m:r>
                    <w:rPr>
                      <w:rFonts w:ascii="Cambria Math" w:hAnsi="Cambria Math"/>
                    </w:rPr>
                    <m:t>0</m:t>
                  </m:r>
                </m:sub>
              </m:sSub>
            </m:e>
          </m:nary>
          <m:r>
            <m:rPr>
              <m:sty m:val="p"/>
            </m:rPr>
            <w:rPr>
              <w:rFonts w:ascii="Cambria Math" w:hAnsi="Cambria Math"/>
            </w:rPr>
            <m:t>.</m:t>
          </m:r>
        </m:oMath>
      </m:oMathPara>
    </w:p>
    <w:p w14:paraId="1359F28E" w14:textId="77777777" w:rsidR="00C51312" w:rsidRDefault="00C51312" w:rsidP="00C51312">
      <w:pPr>
        <w:pStyle w:val="FirstParagraph"/>
      </w:pPr>
      <w:r>
        <w:t>Here, I with subscript g,0 is the initial inventory activity for group g, and A with subscript i,0 is the initial activity of isotope i. In the simplest implementation, the group inventory may be specified directly. In a more detailed implementation, group inventories may be derived from reactor power, burnup, decay time, or an external depletion calculation.</w:t>
      </w:r>
    </w:p>
    <w:p w14:paraId="7CBB002F" w14:textId="77777777" w:rsidR="00C51312" w:rsidRDefault="00C51312" w:rsidP="00C51312">
      <w:pPr>
        <w:pStyle w:val="BodyText"/>
      </w:pPr>
      <w:r>
        <w:t>The use of group inventories reduces dimensionality and makes the consequence calculation robust for automated batch execution. The cost of this reduction is that isotope-specific decay, daughter ingrowth, energy spectra, and chemical speciation are replaced by group-effective parameters.</w:t>
      </w:r>
    </w:p>
    <w:p w14:paraId="2D02F9AB" w14:textId="77777777" w:rsidR="00C51312" w:rsidRDefault="00C51312" w:rsidP="00C51312">
      <w:pPr>
        <w:pStyle w:val="Heading2"/>
      </w:pPr>
      <w:bookmarkStart w:id="78" w:name="_Toc231232923"/>
      <w:r>
        <w:t>9.4 Release-Fraction Library and Source-Term Options</w:t>
      </w:r>
      <w:bookmarkEnd w:id="78"/>
    </w:p>
    <w:p w14:paraId="6630F2DB" w14:textId="77777777" w:rsidR="00C51312" w:rsidRDefault="00C51312" w:rsidP="00C51312">
      <w:pPr>
        <w:pStyle w:val="FirstParagraph"/>
      </w:pPr>
      <w:r>
        <w:t>The released activity for each group is determined by multiplying the group inventory by a release fraction. For a release category c, such as gap release, early in-vessel release, or severe-event escalation, the released group inventory is</w:t>
      </w:r>
    </w:p>
    <w:p w14:paraId="7EE19E5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30834C57" w14:textId="77777777" w:rsidR="00C51312" w:rsidRDefault="00C51312" w:rsidP="00C51312">
      <w:pPr>
        <w:pStyle w:val="FirstParagraph"/>
      </w:pPr>
      <w:r>
        <w:t>where R with subscripts g,c is the release fraction for radionuclide group g and release category c. When multiple release categories are active, NOTBADTRAD adds the category contributions subject to a cap on total release:</w:t>
      </w:r>
    </w:p>
    <w:p w14:paraId="38146106"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m:t>
                      </m:r>
                      <m:r>
                        <w:rPr>
                          <w:rFonts w:ascii="Cambria Math" w:hAnsi="Cambria Math"/>
                        </w:rPr>
                        <m:t>c</m:t>
                      </m:r>
                    </m:sub>
                  </m:sSub>
                </m:e>
              </m:nary>
            </m:e>
          </m:d>
          <m:r>
            <m:rPr>
              <m:sty m:val="p"/>
            </m:rPr>
            <w:rPr>
              <w:rFonts w:ascii="Cambria Math" w:hAnsi="Cambria Math"/>
            </w:rPr>
            <m:t>.</m:t>
          </m:r>
        </m:oMath>
      </m:oMathPara>
    </w:p>
    <w:p w14:paraId="00DAFE99" w14:textId="77777777" w:rsidR="00C51312" w:rsidRDefault="00C51312" w:rsidP="00C51312">
      <w:pPr>
        <w:pStyle w:val="FirstParagraph"/>
      </w:pPr>
      <w:r>
        <w:t>For design-basis screening, the release fractions are selected to approximate the applicable alternate source term category. For events with no fuel damage, the release may be limited to coolant activity or iodine-spike assumptions. For events with gap release, the noble-gas and halogen groups dominate. For events with high-temperature core damage, less volatile aerosol and refractory groups may be released according to the severe-event escalation model.</w:t>
      </w:r>
    </w:p>
    <w:p w14:paraId="6C65D7C5" w14:textId="77777777" w:rsidR="00C51312" w:rsidRDefault="00C51312" w:rsidP="00C51312">
      <w:pPr>
        <w:pStyle w:val="BodyText"/>
      </w:pPr>
      <w:r>
        <w:t>When FLARE rod-state results are available, the DBA source term may be scaled by the calculated rod-state failure fractions. The general implementation is</w:t>
      </w:r>
    </w:p>
    <w:p w14:paraId="1A139682"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sSub>
                <m:sSubPr>
                  <m:ctrlPr>
                    <w:rPr>
                      <w:rFonts w:ascii="Cambria Math" w:hAnsi="Cambria Math"/>
                    </w:rPr>
                  </m:ctrlPr>
                </m:sSubPr>
                <m:e>
                  <m:r>
                    <w:rPr>
                      <w:rFonts w:ascii="Cambria Math" w:hAnsi="Cambria Math"/>
                    </w:rPr>
                    <m:t>f</m:t>
                  </m:r>
                </m:e>
                <m:sub>
                  <m:r>
                    <m:rPr>
                      <m:sty m:val="p"/>
                    </m:rPr>
                    <w:rPr>
                      <w:rFonts w:ascii="Cambria Math" w:hAnsi="Cambria Math"/>
                    </w:rPr>
                    <m:t>EIV</m:t>
                  </m:r>
                </m:sub>
              </m:sSub>
              <m:d>
                <m:dPr>
                  <m:ctrlPr>
                    <w:rPr>
                      <w:rFonts w:ascii="Cambria Math" w:hAnsi="Cambria Math"/>
                    </w:rPr>
                  </m:ctrlPr>
                </m:dPr>
                <m:e>
                  <m:r>
                    <w:rPr>
                      <w:rFonts w:ascii="Cambria Math" w:hAnsi="Cambria Math"/>
                    </w:rPr>
                    <m:t>t</m:t>
                  </m:r>
                </m:e>
              </m:d>
            </m:e>
          </m:d>
          <m:r>
            <m:rPr>
              <m:sty m:val="p"/>
            </m:rPr>
            <w:rPr>
              <w:rFonts w:ascii="Cambria Math" w:hAnsi="Cambria Math"/>
            </w:rPr>
            <m:t>.</m:t>
          </m:r>
        </m:oMath>
      </m:oMathPara>
    </w:p>
    <w:p w14:paraId="7C81B47E" w14:textId="77777777" w:rsidR="00C51312" w:rsidRDefault="00C51312" w:rsidP="00C51312">
      <w:pPr>
        <w:pStyle w:val="FirstParagraph"/>
      </w:pPr>
      <w:r>
        <w:t>Here, f with subscript gap is the latched gap-release rod fraction, f with subscript EIV is the latched early-in-vessel release rod fraction, and R with subscripts g,gap and g,EIV are the group release fractions assigned to the gap and early-in-vessel phases. For a conservative DBA screening case in which complete applicability of the AST release is assumed, both rod-state fractions may be set to unity for the applicable phase.</w:t>
      </w:r>
    </w:p>
    <w:p w14:paraId="16F6399E" w14:textId="77777777" w:rsidR="00C51312" w:rsidRDefault="00C51312" w:rsidP="00C51312">
      <w:pPr>
        <w:pStyle w:val="Heading2"/>
      </w:pPr>
      <w:bookmarkStart w:id="79" w:name="_Toc231232924"/>
      <w:r>
        <w:t>9.5 DBA Release Fractions Based on RG 1.183 and NUREG-1465</w:t>
      </w:r>
      <w:bookmarkEnd w:id="79"/>
    </w:p>
    <w:p w14:paraId="7F0D0EFA" w14:textId="77777777" w:rsidR="00C51312" w:rsidRDefault="00C51312" w:rsidP="00C51312">
      <w:pPr>
        <w:pStyle w:val="FirstParagraph"/>
      </w:pPr>
      <w:r>
        <w:t>For LOCA-type design-basis accident screening, FLARE uses a reduced table consistent with the PWR alternate source term release groups and release magnitudes in RG 1.183, which is based on the NUREG-1465 severe-accident source term framework adapted for design-basis accident dose analysis. The NOTBADTRAD table is intentionally a group-level table rather than an isotope-level table. It preserves the relative volatility hierarchy of the AST source term while keeping the model simple enough for rapid event comparisons.</w:t>
      </w:r>
    </w:p>
    <w:p w14:paraId="33048FF2" w14:textId="77777777" w:rsidR="00C51312" w:rsidRDefault="00C51312" w:rsidP="00C51312">
      <w:pPr>
        <w:pStyle w:val="BodyText"/>
      </w:pPr>
      <w:r>
        <w:t>Table 9-2 gives the default DBA release-fraction library used by FLARE for PWR LOCA-type source-term screening.</w:t>
      </w:r>
    </w:p>
    <w:p w14:paraId="51130BF5" w14:textId="77777777" w:rsidR="00C51312" w:rsidRDefault="00C51312" w:rsidP="00C51312">
      <w:pPr>
        <w:pStyle w:val="BodyText"/>
      </w:pPr>
      <w:r>
        <w:t>Table 9-2. FLARE DBA source-term release fractions aligned with RG 1.183 / NUREG-1465 PWR AST practice.</w:t>
      </w:r>
    </w:p>
    <w:tbl>
      <w:tblPr>
        <w:tblStyle w:val="Table"/>
        <w:tblW w:w="5000" w:type="pct"/>
        <w:tblLayout w:type="fixed"/>
        <w:tblLook w:val="0020" w:firstRow="1" w:lastRow="0" w:firstColumn="0" w:lastColumn="0" w:noHBand="0" w:noVBand="0"/>
      </w:tblPr>
      <w:tblGrid>
        <w:gridCol w:w="1580"/>
        <w:gridCol w:w="2107"/>
        <w:gridCol w:w="2107"/>
        <w:gridCol w:w="2107"/>
        <w:gridCol w:w="2107"/>
      </w:tblGrid>
      <w:tr w:rsidR="00C51312" w14:paraId="4F61713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250" w:type="dxa"/>
          </w:tcPr>
          <w:p w14:paraId="62BE960F" w14:textId="77777777" w:rsidR="00C51312" w:rsidRDefault="00C51312" w:rsidP="00104431">
            <w:pPr>
              <w:pStyle w:val="Compact"/>
            </w:pPr>
            <w:r>
              <w:rPr>
                <w:sz w:val="18"/>
              </w:rPr>
              <w:t>NOTBADTRAD group</w:t>
            </w:r>
          </w:p>
        </w:tc>
        <w:tc>
          <w:tcPr>
            <w:tcW w:w="1667" w:type="dxa"/>
          </w:tcPr>
          <w:p w14:paraId="448FB868" w14:textId="77777777" w:rsidR="00C51312" w:rsidRDefault="00C51312" w:rsidP="00104431">
            <w:pPr>
              <w:pStyle w:val="Compact"/>
              <w:jc w:val="right"/>
            </w:pPr>
            <w:r>
              <w:rPr>
                <w:sz w:val="18"/>
              </w:rPr>
              <w:t>Representative elements</w:t>
            </w:r>
          </w:p>
        </w:tc>
        <w:tc>
          <w:tcPr>
            <w:tcW w:w="1667" w:type="dxa"/>
          </w:tcPr>
          <w:p w14:paraId="58A24A64" w14:textId="77777777" w:rsidR="00C51312" w:rsidRDefault="00C51312" w:rsidP="00104431">
            <w:pPr>
              <w:pStyle w:val="Compact"/>
              <w:jc w:val="right"/>
            </w:pPr>
            <w:r>
              <w:rPr>
                <w:sz w:val="18"/>
              </w:rPr>
              <w:t>Gap release fraction</w:t>
            </w:r>
          </w:p>
        </w:tc>
        <w:tc>
          <w:tcPr>
            <w:tcW w:w="1667" w:type="dxa"/>
          </w:tcPr>
          <w:p w14:paraId="650CCBA6" w14:textId="77777777" w:rsidR="00C51312" w:rsidRDefault="00C51312" w:rsidP="00104431">
            <w:pPr>
              <w:pStyle w:val="Compact"/>
              <w:jc w:val="right"/>
            </w:pPr>
            <w:r>
              <w:rPr>
                <w:sz w:val="18"/>
              </w:rPr>
              <w:t>Early in-vessel release fraction</w:t>
            </w:r>
          </w:p>
        </w:tc>
        <w:tc>
          <w:tcPr>
            <w:tcW w:w="1667" w:type="dxa"/>
          </w:tcPr>
          <w:p w14:paraId="36ED79AB" w14:textId="77777777" w:rsidR="00C51312" w:rsidRDefault="00C51312" w:rsidP="00104431">
            <w:pPr>
              <w:pStyle w:val="Compact"/>
              <w:jc w:val="right"/>
            </w:pPr>
            <w:r>
              <w:rPr>
                <w:sz w:val="18"/>
              </w:rPr>
              <w:t>Total release fraction</w:t>
            </w:r>
          </w:p>
        </w:tc>
      </w:tr>
      <w:tr w:rsidR="00C51312" w14:paraId="30BB42E7" w14:textId="77777777" w:rsidTr="00104431">
        <w:trPr>
          <w:cantSplit/>
        </w:trPr>
        <w:tc>
          <w:tcPr>
            <w:tcW w:w="1250" w:type="dxa"/>
          </w:tcPr>
          <w:p w14:paraId="6840E128" w14:textId="77777777" w:rsidR="00C51312" w:rsidRDefault="00C51312" w:rsidP="00104431">
            <w:pPr>
              <w:pStyle w:val="Compact"/>
            </w:pPr>
            <w:r>
              <w:rPr>
                <w:sz w:val="18"/>
              </w:rPr>
              <w:t>Noble gases</w:t>
            </w:r>
          </w:p>
        </w:tc>
        <w:tc>
          <w:tcPr>
            <w:tcW w:w="1667" w:type="dxa"/>
          </w:tcPr>
          <w:p w14:paraId="1C0AB2BF" w14:textId="77777777" w:rsidR="00C51312" w:rsidRDefault="00C51312" w:rsidP="00104431">
            <w:pPr>
              <w:pStyle w:val="Compact"/>
              <w:jc w:val="right"/>
            </w:pPr>
            <w:r>
              <w:rPr>
                <w:sz w:val="18"/>
              </w:rPr>
              <w:t>Xe, Kr</w:t>
            </w:r>
          </w:p>
        </w:tc>
        <w:tc>
          <w:tcPr>
            <w:tcW w:w="1667" w:type="dxa"/>
          </w:tcPr>
          <w:p w14:paraId="6177FC7C" w14:textId="77777777" w:rsidR="00C51312" w:rsidRDefault="00C51312" w:rsidP="00104431">
            <w:pPr>
              <w:pStyle w:val="Compact"/>
              <w:jc w:val="right"/>
            </w:pPr>
            <w:r>
              <w:rPr>
                <w:sz w:val="18"/>
              </w:rPr>
              <w:t>0.05</w:t>
            </w:r>
          </w:p>
        </w:tc>
        <w:tc>
          <w:tcPr>
            <w:tcW w:w="1667" w:type="dxa"/>
          </w:tcPr>
          <w:p w14:paraId="531E1C9A" w14:textId="77777777" w:rsidR="00C51312" w:rsidRDefault="00C51312" w:rsidP="00104431">
            <w:pPr>
              <w:pStyle w:val="Compact"/>
              <w:jc w:val="right"/>
            </w:pPr>
            <w:r>
              <w:rPr>
                <w:sz w:val="18"/>
              </w:rPr>
              <w:t>0.95</w:t>
            </w:r>
          </w:p>
        </w:tc>
        <w:tc>
          <w:tcPr>
            <w:tcW w:w="1667" w:type="dxa"/>
          </w:tcPr>
          <w:p w14:paraId="453C2DF1" w14:textId="77777777" w:rsidR="00C51312" w:rsidRDefault="00C51312" w:rsidP="00104431">
            <w:pPr>
              <w:pStyle w:val="Compact"/>
              <w:jc w:val="right"/>
            </w:pPr>
            <w:r>
              <w:rPr>
                <w:sz w:val="18"/>
              </w:rPr>
              <w:t>1.0000</w:t>
            </w:r>
          </w:p>
        </w:tc>
      </w:tr>
      <w:tr w:rsidR="00C51312" w14:paraId="08CC0636" w14:textId="77777777" w:rsidTr="00104431">
        <w:trPr>
          <w:cantSplit/>
        </w:trPr>
        <w:tc>
          <w:tcPr>
            <w:tcW w:w="1250" w:type="dxa"/>
          </w:tcPr>
          <w:p w14:paraId="1B027548" w14:textId="77777777" w:rsidR="00C51312" w:rsidRDefault="00C51312" w:rsidP="00104431">
            <w:pPr>
              <w:pStyle w:val="Compact"/>
            </w:pPr>
            <w:r>
              <w:rPr>
                <w:sz w:val="18"/>
              </w:rPr>
              <w:t>Halogens</w:t>
            </w:r>
          </w:p>
        </w:tc>
        <w:tc>
          <w:tcPr>
            <w:tcW w:w="1667" w:type="dxa"/>
          </w:tcPr>
          <w:p w14:paraId="485A0B12" w14:textId="77777777" w:rsidR="00C51312" w:rsidRDefault="00C51312" w:rsidP="00104431">
            <w:pPr>
              <w:pStyle w:val="Compact"/>
              <w:jc w:val="right"/>
            </w:pPr>
            <w:r>
              <w:rPr>
                <w:sz w:val="18"/>
              </w:rPr>
              <w:t>I, Br</w:t>
            </w:r>
          </w:p>
        </w:tc>
        <w:tc>
          <w:tcPr>
            <w:tcW w:w="1667" w:type="dxa"/>
          </w:tcPr>
          <w:p w14:paraId="4167890E" w14:textId="77777777" w:rsidR="00C51312" w:rsidRDefault="00C51312" w:rsidP="00104431">
            <w:pPr>
              <w:pStyle w:val="Compact"/>
              <w:jc w:val="right"/>
            </w:pPr>
            <w:r>
              <w:rPr>
                <w:sz w:val="18"/>
              </w:rPr>
              <w:t>0.05</w:t>
            </w:r>
          </w:p>
        </w:tc>
        <w:tc>
          <w:tcPr>
            <w:tcW w:w="1667" w:type="dxa"/>
          </w:tcPr>
          <w:p w14:paraId="3C01BDEB" w14:textId="77777777" w:rsidR="00C51312" w:rsidRDefault="00C51312" w:rsidP="00104431">
            <w:pPr>
              <w:pStyle w:val="Compact"/>
              <w:jc w:val="right"/>
            </w:pPr>
            <w:r>
              <w:rPr>
                <w:sz w:val="18"/>
              </w:rPr>
              <w:t>0.35</w:t>
            </w:r>
          </w:p>
        </w:tc>
        <w:tc>
          <w:tcPr>
            <w:tcW w:w="1667" w:type="dxa"/>
          </w:tcPr>
          <w:p w14:paraId="29DFC66D" w14:textId="77777777" w:rsidR="00C51312" w:rsidRDefault="00C51312" w:rsidP="00104431">
            <w:pPr>
              <w:pStyle w:val="Compact"/>
              <w:jc w:val="right"/>
            </w:pPr>
            <w:r>
              <w:rPr>
                <w:sz w:val="18"/>
              </w:rPr>
              <w:t>0.4000</w:t>
            </w:r>
          </w:p>
        </w:tc>
      </w:tr>
      <w:tr w:rsidR="00C51312" w14:paraId="5FBF182C" w14:textId="77777777" w:rsidTr="00104431">
        <w:trPr>
          <w:cantSplit/>
        </w:trPr>
        <w:tc>
          <w:tcPr>
            <w:tcW w:w="1250" w:type="dxa"/>
          </w:tcPr>
          <w:p w14:paraId="16170B74" w14:textId="77777777" w:rsidR="00C51312" w:rsidRDefault="00C51312" w:rsidP="00104431">
            <w:pPr>
              <w:pStyle w:val="Compact"/>
            </w:pPr>
            <w:r>
              <w:rPr>
                <w:sz w:val="18"/>
              </w:rPr>
              <w:t>Alkali metals</w:t>
            </w:r>
          </w:p>
        </w:tc>
        <w:tc>
          <w:tcPr>
            <w:tcW w:w="1667" w:type="dxa"/>
          </w:tcPr>
          <w:p w14:paraId="0D1F1FB6" w14:textId="77777777" w:rsidR="00C51312" w:rsidRDefault="00C51312" w:rsidP="00104431">
            <w:pPr>
              <w:pStyle w:val="Compact"/>
              <w:jc w:val="right"/>
            </w:pPr>
            <w:r>
              <w:rPr>
                <w:sz w:val="18"/>
              </w:rPr>
              <w:t>Cs, Rb</w:t>
            </w:r>
          </w:p>
        </w:tc>
        <w:tc>
          <w:tcPr>
            <w:tcW w:w="1667" w:type="dxa"/>
          </w:tcPr>
          <w:p w14:paraId="7E102FED" w14:textId="77777777" w:rsidR="00C51312" w:rsidRDefault="00C51312" w:rsidP="00104431">
            <w:pPr>
              <w:pStyle w:val="Compact"/>
              <w:jc w:val="right"/>
            </w:pPr>
            <w:r>
              <w:rPr>
                <w:sz w:val="18"/>
              </w:rPr>
              <w:t>0.05</w:t>
            </w:r>
          </w:p>
        </w:tc>
        <w:tc>
          <w:tcPr>
            <w:tcW w:w="1667" w:type="dxa"/>
          </w:tcPr>
          <w:p w14:paraId="4E0B9ABF" w14:textId="77777777" w:rsidR="00C51312" w:rsidRDefault="00C51312" w:rsidP="00104431">
            <w:pPr>
              <w:pStyle w:val="Compact"/>
              <w:jc w:val="right"/>
            </w:pPr>
            <w:r>
              <w:rPr>
                <w:sz w:val="18"/>
              </w:rPr>
              <w:t>0.25</w:t>
            </w:r>
          </w:p>
        </w:tc>
        <w:tc>
          <w:tcPr>
            <w:tcW w:w="1667" w:type="dxa"/>
          </w:tcPr>
          <w:p w14:paraId="2E3C70C6" w14:textId="77777777" w:rsidR="00C51312" w:rsidRDefault="00C51312" w:rsidP="00104431">
            <w:pPr>
              <w:pStyle w:val="Compact"/>
              <w:jc w:val="right"/>
            </w:pPr>
            <w:r>
              <w:rPr>
                <w:sz w:val="18"/>
              </w:rPr>
              <w:t>0.3000</w:t>
            </w:r>
          </w:p>
        </w:tc>
      </w:tr>
      <w:tr w:rsidR="00C51312" w14:paraId="51CA455D" w14:textId="77777777" w:rsidTr="00104431">
        <w:trPr>
          <w:cantSplit/>
        </w:trPr>
        <w:tc>
          <w:tcPr>
            <w:tcW w:w="1250" w:type="dxa"/>
          </w:tcPr>
          <w:p w14:paraId="410F2B52" w14:textId="77777777" w:rsidR="00C51312" w:rsidRDefault="00C51312" w:rsidP="00104431">
            <w:pPr>
              <w:pStyle w:val="Compact"/>
            </w:pPr>
            <w:r>
              <w:rPr>
                <w:sz w:val="18"/>
              </w:rPr>
              <w:t>Tellurium group</w:t>
            </w:r>
          </w:p>
        </w:tc>
        <w:tc>
          <w:tcPr>
            <w:tcW w:w="1667" w:type="dxa"/>
          </w:tcPr>
          <w:p w14:paraId="7DFDD2BC" w14:textId="77777777" w:rsidR="00C51312" w:rsidRDefault="00C51312" w:rsidP="00104431">
            <w:pPr>
              <w:pStyle w:val="Compact"/>
              <w:jc w:val="right"/>
            </w:pPr>
            <w:r>
              <w:rPr>
                <w:sz w:val="18"/>
              </w:rPr>
              <w:t>Te, Sb, Se</w:t>
            </w:r>
          </w:p>
        </w:tc>
        <w:tc>
          <w:tcPr>
            <w:tcW w:w="1667" w:type="dxa"/>
          </w:tcPr>
          <w:p w14:paraId="0D8A705C" w14:textId="77777777" w:rsidR="00C51312" w:rsidRDefault="00C51312" w:rsidP="00104431">
            <w:pPr>
              <w:pStyle w:val="Compact"/>
              <w:jc w:val="right"/>
            </w:pPr>
            <w:r>
              <w:rPr>
                <w:sz w:val="18"/>
              </w:rPr>
              <w:t>0.00</w:t>
            </w:r>
          </w:p>
        </w:tc>
        <w:tc>
          <w:tcPr>
            <w:tcW w:w="1667" w:type="dxa"/>
          </w:tcPr>
          <w:p w14:paraId="130528DB" w14:textId="77777777" w:rsidR="00C51312" w:rsidRDefault="00C51312" w:rsidP="00104431">
            <w:pPr>
              <w:pStyle w:val="Compact"/>
              <w:jc w:val="right"/>
            </w:pPr>
            <w:r>
              <w:rPr>
                <w:sz w:val="18"/>
              </w:rPr>
              <w:t>0.05</w:t>
            </w:r>
          </w:p>
        </w:tc>
        <w:tc>
          <w:tcPr>
            <w:tcW w:w="1667" w:type="dxa"/>
          </w:tcPr>
          <w:p w14:paraId="47FD0C36" w14:textId="77777777" w:rsidR="00C51312" w:rsidRDefault="00C51312" w:rsidP="00104431">
            <w:pPr>
              <w:pStyle w:val="Compact"/>
              <w:jc w:val="right"/>
            </w:pPr>
            <w:r>
              <w:rPr>
                <w:sz w:val="18"/>
              </w:rPr>
              <w:t>0.0500</w:t>
            </w:r>
          </w:p>
        </w:tc>
      </w:tr>
      <w:tr w:rsidR="00C51312" w14:paraId="148E77DD" w14:textId="77777777" w:rsidTr="00104431">
        <w:trPr>
          <w:cantSplit/>
        </w:trPr>
        <w:tc>
          <w:tcPr>
            <w:tcW w:w="1250" w:type="dxa"/>
          </w:tcPr>
          <w:p w14:paraId="57D3E124" w14:textId="77777777" w:rsidR="00C51312" w:rsidRDefault="00C51312" w:rsidP="00104431">
            <w:pPr>
              <w:pStyle w:val="Compact"/>
            </w:pPr>
            <w:r>
              <w:rPr>
                <w:sz w:val="18"/>
              </w:rPr>
              <w:t>Barium/strontium group</w:t>
            </w:r>
          </w:p>
        </w:tc>
        <w:tc>
          <w:tcPr>
            <w:tcW w:w="1667" w:type="dxa"/>
          </w:tcPr>
          <w:p w14:paraId="7671128B" w14:textId="77777777" w:rsidR="00C51312" w:rsidRDefault="00C51312" w:rsidP="00104431">
            <w:pPr>
              <w:pStyle w:val="Compact"/>
              <w:jc w:val="right"/>
            </w:pPr>
            <w:r>
              <w:rPr>
                <w:sz w:val="18"/>
              </w:rPr>
              <w:t>Ba, Sr</w:t>
            </w:r>
          </w:p>
        </w:tc>
        <w:tc>
          <w:tcPr>
            <w:tcW w:w="1667" w:type="dxa"/>
          </w:tcPr>
          <w:p w14:paraId="6AE150FC" w14:textId="77777777" w:rsidR="00C51312" w:rsidRDefault="00C51312" w:rsidP="00104431">
            <w:pPr>
              <w:pStyle w:val="Compact"/>
              <w:jc w:val="right"/>
            </w:pPr>
            <w:r>
              <w:rPr>
                <w:sz w:val="18"/>
              </w:rPr>
              <w:t>0.00</w:t>
            </w:r>
          </w:p>
        </w:tc>
        <w:tc>
          <w:tcPr>
            <w:tcW w:w="1667" w:type="dxa"/>
          </w:tcPr>
          <w:p w14:paraId="60ECC25D" w14:textId="77777777" w:rsidR="00C51312" w:rsidRDefault="00C51312" w:rsidP="00104431">
            <w:pPr>
              <w:pStyle w:val="Compact"/>
              <w:jc w:val="right"/>
            </w:pPr>
            <w:r>
              <w:rPr>
                <w:sz w:val="18"/>
              </w:rPr>
              <w:t>0.02</w:t>
            </w:r>
          </w:p>
        </w:tc>
        <w:tc>
          <w:tcPr>
            <w:tcW w:w="1667" w:type="dxa"/>
          </w:tcPr>
          <w:p w14:paraId="75E95C7F" w14:textId="77777777" w:rsidR="00C51312" w:rsidRDefault="00C51312" w:rsidP="00104431">
            <w:pPr>
              <w:pStyle w:val="Compact"/>
              <w:jc w:val="right"/>
            </w:pPr>
            <w:r>
              <w:rPr>
                <w:sz w:val="18"/>
              </w:rPr>
              <w:t>0.0200</w:t>
            </w:r>
          </w:p>
        </w:tc>
      </w:tr>
      <w:tr w:rsidR="00C51312" w14:paraId="5B11E1D0" w14:textId="77777777" w:rsidTr="00104431">
        <w:trPr>
          <w:cantSplit/>
        </w:trPr>
        <w:tc>
          <w:tcPr>
            <w:tcW w:w="1250" w:type="dxa"/>
          </w:tcPr>
          <w:p w14:paraId="3899195A" w14:textId="77777777" w:rsidR="00C51312" w:rsidRDefault="00C51312" w:rsidP="00104431">
            <w:pPr>
              <w:pStyle w:val="Compact"/>
            </w:pPr>
            <w:r>
              <w:rPr>
                <w:sz w:val="18"/>
              </w:rPr>
              <w:t>Noble metals</w:t>
            </w:r>
          </w:p>
        </w:tc>
        <w:tc>
          <w:tcPr>
            <w:tcW w:w="1667" w:type="dxa"/>
          </w:tcPr>
          <w:p w14:paraId="646E50C8" w14:textId="77777777" w:rsidR="00C51312" w:rsidRDefault="00C51312" w:rsidP="00104431">
            <w:pPr>
              <w:pStyle w:val="Compact"/>
              <w:jc w:val="right"/>
            </w:pPr>
            <w:r>
              <w:rPr>
                <w:sz w:val="18"/>
              </w:rPr>
              <w:t>Ru, Rh, Pd, Mo, Tc, Co</w:t>
            </w:r>
          </w:p>
        </w:tc>
        <w:tc>
          <w:tcPr>
            <w:tcW w:w="1667" w:type="dxa"/>
          </w:tcPr>
          <w:p w14:paraId="771E069C" w14:textId="77777777" w:rsidR="00C51312" w:rsidRDefault="00C51312" w:rsidP="00104431">
            <w:pPr>
              <w:pStyle w:val="Compact"/>
              <w:jc w:val="right"/>
            </w:pPr>
            <w:r>
              <w:rPr>
                <w:sz w:val="18"/>
              </w:rPr>
              <w:t>0.00</w:t>
            </w:r>
          </w:p>
        </w:tc>
        <w:tc>
          <w:tcPr>
            <w:tcW w:w="1667" w:type="dxa"/>
          </w:tcPr>
          <w:p w14:paraId="55F07579" w14:textId="77777777" w:rsidR="00C51312" w:rsidRDefault="00C51312" w:rsidP="00104431">
            <w:pPr>
              <w:pStyle w:val="Compact"/>
              <w:jc w:val="right"/>
            </w:pPr>
            <w:r>
              <w:rPr>
                <w:sz w:val="18"/>
              </w:rPr>
              <w:t>0.0025</w:t>
            </w:r>
          </w:p>
        </w:tc>
        <w:tc>
          <w:tcPr>
            <w:tcW w:w="1667" w:type="dxa"/>
          </w:tcPr>
          <w:p w14:paraId="04D784E4" w14:textId="77777777" w:rsidR="00C51312" w:rsidRDefault="00C51312" w:rsidP="00104431">
            <w:pPr>
              <w:pStyle w:val="Compact"/>
              <w:jc w:val="right"/>
            </w:pPr>
            <w:r>
              <w:rPr>
                <w:sz w:val="18"/>
              </w:rPr>
              <w:t>0.0025</w:t>
            </w:r>
          </w:p>
        </w:tc>
      </w:tr>
      <w:tr w:rsidR="00C51312" w14:paraId="7BBD51D5" w14:textId="77777777" w:rsidTr="00104431">
        <w:trPr>
          <w:cantSplit/>
        </w:trPr>
        <w:tc>
          <w:tcPr>
            <w:tcW w:w="1250" w:type="dxa"/>
          </w:tcPr>
          <w:p w14:paraId="5810D13C" w14:textId="77777777" w:rsidR="00C51312" w:rsidRDefault="00C51312" w:rsidP="00104431">
            <w:pPr>
              <w:pStyle w:val="Compact"/>
            </w:pPr>
            <w:r>
              <w:rPr>
                <w:sz w:val="18"/>
              </w:rPr>
              <w:t>Cerium group</w:t>
            </w:r>
          </w:p>
        </w:tc>
        <w:tc>
          <w:tcPr>
            <w:tcW w:w="1667" w:type="dxa"/>
          </w:tcPr>
          <w:p w14:paraId="1837E17C" w14:textId="77777777" w:rsidR="00C51312" w:rsidRDefault="00C51312" w:rsidP="00104431">
            <w:pPr>
              <w:pStyle w:val="Compact"/>
              <w:jc w:val="right"/>
            </w:pPr>
            <w:r>
              <w:rPr>
                <w:sz w:val="18"/>
              </w:rPr>
              <w:t>Ce, Pu, Np</w:t>
            </w:r>
          </w:p>
        </w:tc>
        <w:tc>
          <w:tcPr>
            <w:tcW w:w="1667" w:type="dxa"/>
          </w:tcPr>
          <w:p w14:paraId="32D22119" w14:textId="77777777" w:rsidR="00C51312" w:rsidRDefault="00C51312" w:rsidP="00104431">
            <w:pPr>
              <w:pStyle w:val="Compact"/>
              <w:jc w:val="right"/>
            </w:pPr>
            <w:r>
              <w:rPr>
                <w:sz w:val="18"/>
              </w:rPr>
              <w:t>0.00</w:t>
            </w:r>
          </w:p>
        </w:tc>
        <w:tc>
          <w:tcPr>
            <w:tcW w:w="1667" w:type="dxa"/>
          </w:tcPr>
          <w:p w14:paraId="424C87C3" w14:textId="77777777" w:rsidR="00C51312" w:rsidRDefault="00C51312" w:rsidP="00104431">
            <w:pPr>
              <w:pStyle w:val="Compact"/>
              <w:jc w:val="right"/>
            </w:pPr>
            <w:r>
              <w:rPr>
                <w:sz w:val="18"/>
              </w:rPr>
              <w:t>0.0005</w:t>
            </w:r>
          </w:p>
        </w:tc>
        <w:tc>
          <w:tcPr>
            <w:tcW w:w="1667" w:type="dxa"/>
          </w:tcPr>
          <w:p w14:paraId="0D0108DA" w14:textId="77777777" w:rsidR="00C51312" w:rsidRDefault="00C51312" w:rsidP="00104431">
            <w:pPr>
              <w:pStyle w:val="Compact"/>
              <w:jc w:val="right"/>
            </w:pPr>
            <w:r>
              <w:rPr>
                <w:sz w:val="18"/>
              </w:rPr>
              <w:t>0.0005</w:t>
            </w:r>
          </w:p>
        </w:tc>
      </w:tr>
      <w:tr w:rsidR="00C51312" w14:paraId="58583135" w14:textId="77777777" w:rsidTr="00104431">
        <w:trPr>
          <w:cantSplit/>
        </w:trPr>
        <w:tc>
          <w:tcPr>
            <w:tcW w:w="1250" w:type="dxa"/>
          </w:tcPr>
          <w:p w14:paraId="28F952E3" w14:textId="77777777" w:rsidR="00C51312" w:rsidRDefault="00C51312" w:rsidP="00104431">
            <w:pPr>
              <w:pStyle w:val="Compact"/>
            </w:pPr>
            <w:r>
              <w:rPr>
                <w:sz w:val="18"/>
              </w:rPr>
              <w:t>Lanthanides</w:t>
            </w:r>
          </w:p>
        </w:tc>
        <w:tc>
          <w:tcPr>
            <w:tcW w:w="1667" w:type="dxa"/>
          </w:tcPr>
          <w:p w14:paraId="7FEDA7B3" w14:textId="77777777" w:rsidR="00C51312" w:rsidRDefault="00C51312" w:rsidP="00104431">
            <w:pPr>
              <w:pStyle w:val="Compact"/>
              <w:jc w:val="right"/>
            </w:pPr>
            <w:r>
              <w:rPr>
                <w:sz w:val="18"/>
              </w:rPr>
              <w:t>La, Zr, Nd, Eu, Nb, Pm, Pr, Sm, Y, Cm, Am</w:t>
            </w:r>
          </w:p>
        </w:tc>
        <w:tc>
          <w:tcPr>
            <w:tcW w:w="1667" w:type="dxa"/>
          </w:tcPr>
          <w:p w14:paraId="5B478B0B" w14:textId="77777777" w:rsidR="00C51312" w:rsidRDefault="00C51312" w:rsidP="00104431">
            <w:pPr>
              <w:pStyle w:val="Compact"/>
              <w:jc w:val="right"/>
            </w:pPr>
            <w:r>
              <w:rPr>
                <w:sz w:val="18"/>
              </w:rPr>
              <w:t>0.00</w:t>
            </w:r>
          </w:p>
        </w:tc>
        <w:tc>
          <w:tcPr>
            <w:tcW w:w="1667" w:type="dxa"/>
          </w:tcPr>
          <w:p w14:paraId="62ADF924" w14:textId="77777777" w:rsidR="00C51312" w:rsidRDefault="00C51312" w:rsidP="00104431">
            <w:pPr>
              <w:pStyle w:val="Compact"/>
              <w:jc w:val="right"/>
            </w:pPr>
            <w:r>
              <w:rPr>
                <w:sz w:val="18"/>
              </w:rPr>
              <w:t>0.0002</w:t>
            </w:r>
          </w:p>
        </w:tc>
        <w:tc>
          <w:tcPr>
            <w:tcW w:w="1667" w:type="dxa"/>
          </w:tcPr>
          <w:p w14:paraId="473BB33E" w14:textId="77777777" w:rsidR="00C51312" w:rsidRDefault="00C51312" w:rsidP="00104431">
            <w:pPr>
              <w:pStyle w:val="Compact"/>
              <w:jc w:val="right"/>
            </w:pPr>
            <w:r>
              <w:rPr>
                <w:sz w:val="18"/>
              </w:rPr>
              <w:t>0.0002</w:t>
            </w:r>
          </w:p>
        </w:tc>
      </w:tr>
    </w:tbl>
    <w:p w14:paraId="4A64965F" w14:textId="77777777" w:rsidR="00C51312" w:rsidRDefault="00C51312" w:rsidP="00C51312">
      <w:pPr>
        <w:pStyle w:val="BodyText"/>
      </w:pPr>
      <w:r>
        <w:t>The corresponding phase-summed release fraction for group g is</w:t>
      </w:r>
    </w:p>
    <w:p w14:paraId="0FE985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=min</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,gap</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,EIV</m:t>
                  </m:r>
                </m:sub>
              </m:sSub>
            </m:e>
          </m:d>
          <m:r>
            <m:rPr>
              <m:sty m:val="p"/>
            </m:rPr>
            <w:rPr>
              <w:rFonts w:ascii="Cambria Math" w:hAnsi="Cambria Math"/>
            </w:rPr>
            <m:t>.</m:t>
          </m:r>
        </m:oMath>
      </m:oMathPara>
    </w:p>
    <w:p w14:paraId="0CAE2C3C" w14:textId="77777777" w:rsidR="00C51312" w:rsidRDefault="00C51312" w:rsidP="00C51312">
      <w:pPr>
        <w:pStyle w:val="FirstParagraph"/>
      </w:pPr>
      <w:r>
        <w:t>The numerical values in Table 9-2 should be interpreted as the in-containment release fractions from the fuel source term for the simplified NOTBADTRAD group model. They do not by themselves specify environmental release. Environmental release depends on containment holdup, leakage, removal, filtration, and atmospheric dispersion assumptions.</w:t>
      </w:r>
    </w:p>
    <w:p w14:paraId="10E3BF69" w14:textId="77777777" w:rsidR="00C51312" w:rsidRDefault="00C51312" w:rsidP="00C51312">
      <w:pPr>
        <w:pStyle w:val="BodyText"/>
      </w:pPr>
      <w:r>
        <w:t>For applications that explicitly model the fuel gap inventory, NOTBADTRAD may use the RG 1.183-style gap inventory fractions shown in Table 9-3. These values are separate from the phase release fractions in Table 9-2. The gap inventory fraction estimates the portion of the core inventory initially available in the fuel-cladding gap for rapid release if the relevant rods fail.</w:t>
      </w:r>
    </w:p>
    <w:p w14:paraId="0C32C8CF" w14:textId="77777777" w:rsidR="00C51312" w:rsidRDefault="00C51312" w:rsidP="00C51312">
      <w:pPr>
        <w:pStyle w:val="BodyText"/>
      </w:pPr>
      <w:r>
        <w:t>Table 9-3. Optional gap inventory fractions for explicit gap-release calculations.</w:t>
      </w:r>
    </w:p>
    <w:tbl>
      <w:tblPr>
        <w:tblStyle w:val="Table"/>
        <w:tblW w:w="0" w:type="auto"/>
        <w:tblLook w:val="0020" w:firstRow="1" w:lastRow="0" w:firstColumn="0" w:lastColumn="0" w:noHBand="0" w:noVBand="0"/>
      </w:tblPr>
      <w:tblGrid>
        <w:gridCol w:w="1687"/>
        <w:gridCol w:w="1977"/>
      </w:tblGrid>
      <w:tr w:rsidR="00C51312" w14:paraId="24B78625"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4E6061" w14:textId="77777777" w:rsidR="00C51312" w:rsidRDefault="00C51312" w:rsidP="00104431">
            <w:pPr>
              <w:pStyle w:val="Compact"/>
            </w:pPr>
            <w:r>
              <w:rPr>
                <w:sz w:val="18"/>
              </w:rPr>
              <w:t>Quantity</w:t>
            </w:r>
          </w:p>
        </w:tc>
        <w:tc>
          <w:tcPr>
            <w:tcW w:w="0" w:type="auto"/>
          </w:tcPr>
          <w:p w14:paraId="40D41F09" w14:textId="77777777" w:rsidR="00C51312" w:rsidRDefault="00C51312" w:rsidP="00104431">
            <w:pPr>
              <w:pStyle w:val="Compact"/>
              <w:jc w:val="right"/>
            </w:pPr>
            <w:r>
              <w:rPr>
                <w:sz w:val="18"/>
              </w:rPr>
              <w:t>Gap inventory fraction</w:t>
            </w:r>
          </w:p>
        </w:tc>
      </w:tr>
      <w:tr w:rsidR="00C51312" w14:paraId="4CE7758A" w14:textId="77777777" w:rsidTr="00104431">
        <w:trPr>
          <w:cantSplit/>
        </w:trPr>
        <w:tc>
          <w:tcPr>
            <w:tcW w:w="0" w:type="auto"/>
          </w:tcPr>
          <w:p w14:paraId="2FA2062B" w14:textId="77777777" w:rsidR="00C51312" w:rsidRDefault="00C51312" w:rsidP="00104431">
            <w:pPr>
              <w:pStyle w:val="Compact"/>
            </w:pPr>
            <w:r>
              <w:rPr>
                <w:sz w:val="18"/>
              </w:rPr>
              <w:t>I-131</w:t>
            </w:r>
          </w:p>
        </w:tc>
        <w:tc>
          <w:tcPr>
            <w:tcW w:w="0" w:type="auto"/>
          </w:tcPr>
          <w:p w14:paraId="75D37975" w14:textId="77777777" w:rsidR="00C51312" w:rsidRDefault="00C51312" w:rsidP="00104431">
            <w:pPr>
              <w:pStyle w:val="Compact"/>
              <w:jc w:val="right"/>
            </w:pPr>
            <w:r>
              <w:rPr>
                <w:sz w:val="18"/>
              </w:rPr>
              <w:t>0.08</w:t>
            </w:r>
          </w:p>
        </w:tc>
      </w:tr>
      <w:tr w:rsidR="00C51312" w14:paraId="3E25C5D1" w14:textId="77777777" w:rsidTr="00104431">
        <w:trPr>
          <w:cantSplit/>
        </w:trPr>
        <w:tc>
          <w:tcPr>
            <w:tcW w:w="0" w:type="auto"/>
          </w:tcPr>
          <w:p w14:paraId="669508AC" w14:textId="77777777" w:rsidR="00C51312" w:rsidRDefault="00C51312" w:rsidP="00104431">
            <w:pPr>
              <w:pStyle w:val="Compact"/>
            </w:pPr>
            <w:r>
              <w:rPr>
                <w:sz w:val="18"/>
              </w:rPr>
              <w:t>Kr-85</w:t>
            </w:r>
          </w:p>
        </w:tc>
        <w:tc>
          <w:tcPr>
            <w:tcW w:w="0" w:type="auto"/>
          </w:tcPr>
          <w:p w14:paraId="7E7A8AA5" w14:textId="77777777" w:rsidR="00C51312" w:rsidRDefault="00C51312" w:rsidP="00104431">
            <w:pPr>
              <w:pStyle w:val="Compact"/>
              <w:jc w:val="right"/>
            </w:pPr>
            <w:r>
              <w:rPr>
                <w:sz w:val="18"/>
              </w:rPr>
              <w:t>0.10</w:t>
            </w:r>
          </w:p>
        </w:tc>
      </w:tr>
      <w:tr w:rsidR="00C51312" w14:paraId="66D77DC9" w14:textId="77777777" w:rsidTr="00104431">
        <w:trPr>
          <w:cantSplit/>
        </w:trPr>
        <w:tc>
          <w:tcPr>
            <w:tcW w:w="0" w:type="auto"/>
          </w:tcPr>
          <w:p w14:paraId="4A22AFBA" w14:textId="77777777" w:rsidR="00C51312" w:rsidRDefault="00C51312" w:rsidP="00104431">
            <w:pPr>
              <w:pStyle w:val="Compact"/>
            </w:pPr>
            <w:r>
              <w:rPr>
                <w:sz w:val="18"/>
              </w:rPr>
              <w:t>Other noble gases</w:t>
            </w:r>
          </w:p>
        </w:tc>
        <w:tc>
          <w:tcPr>
            <w:tcW w:w="0" w:type="auto"/>
          </w:tcPr>
          <w:p w14:paraId="2FBC5361" w14:textId="77777777" w:rsidR="00C51312" w:rsidRDefault="00C51312" w:rsidP="00104431">
            <w:pPr>
              <w:pStyle w:val="Compact"/>
              <w:jc w:val="right"/>
            </w:pPr>
            <w:r>
              <w:rPr>
                <w:sz w:val="18"/>
              </w:rPr>
              <w:t>0.05</w:t>
            </w:r>
          </w:p>
        </w:tc>
      </w:tr>
      <w:tr w:rsidR="00C51312" w14:paraId="5DDB2CCF" w14:textId="77777777" w:rsidTr="00104431">
        <w:trPr>
          <w:cantSplit/>
        </w:trPr>
        <w:tc>
          <w:tcPr>
            <w:tcW w:w="0" w:type="auto"/>
          </w:tcPr>
          <w:p w14:paraId="74018825" w14:textId="77777777" w:rsidR="00C51312" w:rsidRDefault="00C51312" w:rsidP="00104431">
            <w:pPr>
              <w:pStyle w:val="Compact"/>
            </w:pPr>
            <w:r>
              <w:rPr>
                <w:sz w:val="18"/>
              </w:rPr>
              <w:t>Other halogens</w:t>
            </w:r>
          </w:p>
        </w:tc>
        <w:tc>
          <w:tcPr>
            <w:tcW w:w="0" w:type="auto"/>
          </w:tcPr>
          <w:p w14:paraId="79D0E481" w14:textId="77777777" w:rsidR="00C51312" w:rsidRDefault="00C51312" w:rsidP="00104431">
            <w:pPr>
              <w:pStyle w:val="Compact"/>
              <w:jc w:val="right"/>
            </w:pPr>
            <w:r>
              <w:rPr>
                <w:sz w:val="18"/>
              </w:rPr>
              <w:t>0.05</w:t>
            </w:r>
          </w:p>
        </w:tc>
      </w:tr>
      <w:tr w:rsidR="00C51312" w14:paraId="1BBB64F7" w14:textId="77777777" w:rsidTr="00104431">
        <w:trPr>
          <w:cantSplit/>
        </w:trPr>
        <w:tc>
          <w:tcPr>
            <w:tcW w:w="0" w:type="auto"/>
          </w:tcPr>
          <w:p w14:paraId="3C52FC75" w14:textId="77777777" w:rsidR="00C51312" w:rsidRDefault="00C51312" w:rsidP="00104431">
            <w:pPr>
              <w:pStyle w:val="Compact"/>
            </w:pPr>
            <w:r>
              <w:rPr>
                <w:sz w:val="18"/>
              </w:rPr>
              <w:t>Alkali metals</w:t>
            </w:r>
          </w:p>
        </w:tc>
        <w:tc>
          <w:tcPr>
            <w:tcW w:w="0" w:type="auto"/>
          </w:tcPr>
          <w:p w14:paraId="56ABE6A0" w14:textId="77777777" w:rsidR="00C51312" w:rsidRDefault="00C51312" w:rsidP="00104431">
            <w:pPr>
              <w:pStyle w:val="Compact"/>
              <w:jc w:val="right"/>
            </w:pPr>
            <w:r>
              <w:rPr>
                <w:sz w:val="18"/>
              </w:rPr>
              <w:t>0.12</w:t>
            </w:r>
          </w:p>
        </w:tc>
      </w:tr>
    </w:tbl>
    <w:p w14:paraId="7F1D0D3A" w14:textId="77777777" w:rsidR="00C51312" w:rsidRDefault="00C51312" w:rsidP="00C51312">
      <w:pPr>
        <w:pStyle w:val="BodyText"/>
      </w:pPr>
      <w:r>
        <w:t>When isotope-specific gap inventories are not available, NOTBADTRAD uses the group-level Table 9-2 fractions directly. When isotope-specific or group-specific gap inventories are available, the gap-release source may be constructed as</w:t>
      </w:r>
    </w:p>
    <w:p w14:paraId="18915E7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,gap</m:t>
              </m:r>
            </m:sub>
            <m:sup>
              <m:r>
                <m:rPr>
                  <m:sty m:val="p"/>
                </m:rPr>
                <w:rPr>
                  <w:rFonts w:ascii="Cambria Math" w:hAnsi="Cambria Math"/>
                </w:rPr>
                <m:t>rel</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w:rPr>
              <w:rFonts w:ascii="Cambria Math" w:hAnsi="Cambria Math"/>
            </w:rPr>
            <m:t> </m:t>
          </m:r>
          <m:sSub>
            <m:sSubPr>
              <m:ctrlPr>
                <w:rPr>
                  <w:rFonts w:ascii="Cambria Math" w:hAnsi="Cambria Math"/>
                </w:rPr>
              </m:ctrlPr>
            </m:sSubPr>
            <m:e>
              <m:r>
                <w:rPr>
                  <w:rFonts w:ascii="Cambria Math" w:hAnsi="Cambria Math"/>
                </w:rPr>
                <m:t>G</m:t>
              </m:r>
            </m:e>
            <m:sub>
              <m:r>
                <w:rPr>
                  <w:rFonts w:ascii="Cambria Math" w:hAnsi="Cambria Math"/>
                </w:rPr>
                <m:t>g</m:t>
              </m:r>
            </m:sub>
          </m:sSub>
          <m:r>
            <w:rPr>
              <w:rFonts w:ascii="Cambria Math" w:hAnsi="Cambria Math"/>
            </w:rPr>
            <m:t> </m:t>
          </m:r>
          <m:sSub>
            <m:sSubPr>
              <m:ctrlPr>
                <w:rPr>
                  <w:rFonts w:ascii="Cambria Math" w:hAnsi="Cambria Math"/>
                </w:rPr>
              </m:ctrlPr>
            </m:sSubPr>
            <m:e>
              <m:r>
                <w:rPr>
                  <w:rFonts w:ascii="Cambria Math" w:hAnsi="Cambria Math"/>
                </w:rPr>
                <m:t>f</m:t>
              </m:r>
            </m:e>
            <m:sub>
              <m:r>
                <m:rPr>
                  <m:sty m:val="p"/>
                </m:rPr>
                <w:rPr>
                  <w:rFonts w:ascii="Cambria Math" w:hAnsi="Cambria Math"/>
                </w:rPr>
                <m:t>gap</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1BE0A59D" w14:textId="77777777" w:rsidR="00C51312" w:rsidRDefault="00C51312" w:rsidP="00C51312">
      <w:pPr>
        <w:pStyle w:val="FirstParagraph"/>
      </w:pPr>
      <w:r>
        <w:t>where G with subscript g is the applicable gap inventory fraction. This option is most useful for intact-fuel or limited-fuel-damage events where the gap inventory, rather than full early-in-vessel release, controls the source term.</w:t>
      </w:r>
    </w:p>
    <w:p w14:paraId="143E30FC" w14:textId="77777777" w:rsidR="00C51312" w:rsidRDefault="00C51312" w:rsidP="00C51312">
      <w:pPr>
        <w:pStyle w:val="Heading2"/>
      </w:pPr>
      <w:bookmarkStart w:id="80" w:name="_Toc231232925"/>
      <w:r>
        <w:t>9.6 Severe Core-Melt Release Fractions Used in FLARE</w:t>
      </w:r>
      <w:bookmarkEnd w:id="80"/>
    </w:p>
    <w:p w14:paraId="30E9E8D2" w14:textId="77777777" w:rsidR="00C51312" w:rsidRDefault="00C51312" w:rsidP="00C51312">
      <w:pPr>
        <w:pStyle w:val="FirstParagraph"/>
      </w:pPr>
      <w:r>
        <w:t>For beyond-design-basis and severe-event screening, FLARE includes an original NUREG-1465-like severe core-melt release-fraction table. The purpose of this table is not to reproduce a complete NUREG-1465 phased severe-accident source term. NUREG-1465 separates releases into phases such as gap release, early in-vessel release, ex-vessel release, and late in-vessel release, with timing and transport assumptions that depend on accident progression. NOTBADTRAD instead requires a compact target release fraction for each reduced radionuclide group so that severe-event consequences can be compared consistently with design-basis cases in the FLARE framework.</w:t>
      </w:r>
    </w:p>
    <w:p w14:paraId="18959FC0" w14:textId="77777777" w:rsidR="00C51312" w:rsidRDefault="00C51312" w:rsidP="00C51312">
      <w:pPr>
        <w:pStyle w:val="BodyText"/>
      </w:pPr>
      <w:r>
        <w:t>The severe-event table is therefore a screening construct. It preserves three intended features of the NUREG-1465 severe-accident source-term logic. First, noble gases are essentially completely released from damaged fuel. Second, volatile and semi-volatile groups, especially halogens and alkali metals, can be released at fractions substantially above the DBA AST values. Third, refractory groups remain much less volatile, but their releases are allowed to increase relative to the DBA table when high-temperature oxidation is calculated.</w:t>
      </w:r>
    </w:p>
    <w:p w14:paraId="3F1E4BF6" w14:textId="77777777" w:rsidR="00C51312" w:rsidRDefault="00C51312" w:rsidP="00C51312">
      <w:pPr>
        <w:pStyle w:val="BodyText"/>
      </w:pPr>
      <w:r>
        <w:t>Table 9-4 gives the severe-event target release fractions used by FLARE.</w:t>
      </w:r>
    </w:p>
    <w:p w14:paraId="0854F396" w14:textId="77777777" w:rsidR="00C51312" w:rsidRDefault="00C51312" w:rsidP="00C51312">
      <w:pPr>
        <w:pStyle w:val="BodyText"/>
      </w:pPr>
      <w:r>
        <w:t>Table 9-4. FLARE severe core-melt target release fractions for NOTBADTRAD.</w:t>
      </w:r>
    </w:p>
    <w:tbl>
      <w:tblPr>
        <w:tblStyle w:val="Table"/>
        <w:tblW w:w="5000" w:type="pct"/>
        <w:tblLayout w:type="fixed"/>
        <w:tblLook w:val="0020" w:firstRow="1" w:lastRow="0" w:firstColumn="0" w:lastColumn="0" w:noHBand="0" w:noVBand="0"/>
      </w:tblPr>
      <w:tblGrid>
        <w:gridCol w:w="2001"/>
        <w:gridCol w:w="2669"/>
        <w:gridCol w:w="2669"/>
        <w:gridCol w:w="2669"/>
      </w:tblGrid>
      <w:tr w:rsidR="00C51312" w14:paraId="5FDDAA58" w14:textId="77777777" w:rsidTr="00104431">
        <w:trPr>
          <w:cnfStyle w:val="100000000000" w:firstRow="1" w:lastRow="0" w:firstColumn="0" w:lastColumn="0" w:oddVBand="0" w:evenVBand="0" w:oddHBand="0" w:evenHBand="0" w:firstRowFirstColumn="0" w:firstRowLastColumn="0" w:lastRowFirstColumn="0" w:lastRowLastColumn="0"/>
          <w:cantSplit/>
          <w:tblHeader/>
        </w:trPr>
        <w:tc>
          <w:tcPr>
            <w:tcW w:w="1584" w:type="dxa"/>
          </w:tcPr>
          <w:p w14:paraId="3E118574" w14:textId="77777777" w:rsidR="00C51312" w:rsidRDefault="00C51312" w:rsidP="00104431">
            <w:pPr>
              <w:pStyle w:val="Compact"/>
            </w:pPr>
            <w:r>
              <w:rPr>
                <w:sz w:val="18"/>
              </w:rPr>
              <w:t>NOTBADTRAD group</w:t>
            </w:r>
          </w:p>
        </w:tc>
        <w:tc>
          <w:tcPr>
            <w:tcW w:w="2112" w:type="dxa"/>
          </w:tcPr>
          <w:p w14:paraId="41398350" w14:textId="77777777" w:rsidR="00C51312" w:rsidRDefault="00C51312" w:rsidP="00104431">
            <w:pPr>
              <w:pStyle w:val="Compact"/>
              <w:jc w:val="right"/>
            </w:pPr>
            <w:r>
              <w:rPr>
                <w:sz w:val="18"/>
              </w:rPr>
              <w:t>Representative elements</w:t>
            </w:r>
          </w:p>
        </w:tc>
        <w:tc>
          <w:tcPr>
            <w:tcW w:w="2112" w:type="dxa"/>
          </w:tcPr>
          <w:p w14:paraId="566F7B8A" w14:textId="77777777" w:rsidR="00C51312" w:rsidRDefault="00C51312" w:rsidP="00104431">
            <w:pPr>
              <w:pStyle w:val="Compact"/>
              <w:jc w:val="right"/>
            </w:pPr>
            <w:r>
              <w:rPr>
                <w:sz w:val="18"/>
              </w:rPr>
              <w:t>DBA total from Table 9-2</w:t>
            </w:r>
          </w:p>
        </w:tc>
        <w:tc>
          <w:tcPr>
            <w:tcW w:w="2112" w:type="dxa"/>
          </w:tcPr>
          <w:p w14:paraId="0DE3310E" w14:textId="77777777" w:rsidR="00C51312" w:rsidRDefault="00C51312" w:rsidP="00104431">
            <w:pPr>
              <w:pStyle w:val="Compact"/>
              <w:jc w:val="right"/>
            </w:pPr>
            <w:r>
              <w:rPr>
                <w:sz w:val="18"/>
              </w:rPr>
              <w:t>Severe core-melt target fraction</w:t>
            </w:r>
          </w:p>
        </w:tc>
      </w:tr>
      <w:tr w:rsidR="00C51312" w14:paraId="23A36A5D" w14:textId="77777777" w:rsidTr="00104431">
        <w:trPr>
          <w:cantSplit/>
        </w:trPr>
        <w:tc>
          <w:tcPr>
            <w:tcW w:w="1584" w:type="dxa"/>
          </w:tcPr>
          <w:p w14:paraId="55DCDE04" w14:textId="77777777" w:rsidR="00C51312" w:rsidRDefault="00C51312" w:rsidP="00104431">
            <w:pPr>
              <w:pStyle w:val="Compact"/>
            </w:pPr>
            <w:r>
              <w:rPr>
                <w:sz w:val="18"/>
              </w:rPr>
              <w:t>Noble gases</w:t>
            </w:r>
          </w:p>
        </w:tc>
        <w:tc>
          <w:tcPr>
            <w:tcW w:w="2112" w:type="dxa"/>
          </w:tcPr>
          <w:p w14:paraId="153E1673" w14:textId="77777777" w:rsidR="00C51312" w:rsidRDefault="00C51312" w:rsidP="00104431">
            <w:pPr>
              <w:pStyle w:val="Compact"/>
              <w:jc w:val="right"/>
            </w:pPr>
            <w:r>
              <w:rPr>
                <w:sz w:val="18"/>
              </w:rPr>
              <w:t>Xe, Kr</w:t>
            </w:r>
          </w:p>
        </w:tc>
        <w:tc>
          <w:tcPr>
            <w:tcW w:w="2112" w:type="dxa"/>
          </w:tcPr>
          <w:p w14:paraId="09EFE8D6" w14:textId="77777777" w:rsidR="00C51312" w:rsidRDefault="00C51312" w:rsidP="00104431">
            <w:pPr>
              <w:pStyle w:val="Compact"/>
              <w:jc w:val="right"/>
            </w:pPr>
            <w:r>
              <w:rPr>
                <w:sz w:val="18"/>
              </w:rPr>
              <w:t>1.0000</w:t>
            </w:r>
          </w:p>
        </w:tc>
        <w:tc>
          <w:tcPr>
            <w:tcW w:w="2112" w:type="dxa"/>
          </w:tcPr>
          <w:p w14:paraId="53C40FEA" w14:textId="77777777" w:rsidR="00C51312" w:rsidRDefault="00C51312" w:rsidP="00104431">
            <w:pPr>
              <w:pStyle w:val="Compact"/>
              <w:jc w:val="right"/>
            </w:pPr>
            <w:r>
              <w:rPr>
                <w:sz w:val="18"/>
              </w:rPr>
              <w:t>1.000</w:t>
            </w:r>
          </w:p>
        </w:tc>
      </w:tr>
      <w:tr w:rsidR="00C51312" w14:paraId="71B8D846" w14:textId="77777777" w:rsidTr="00104431">
        <w:trPr>
          <w:cantSplit/>
        </w:trPr>
        <w:tc>
          <w:tcPr>
            <w:tcW w:w="1584" w:type="dxa"/>
          </w:tcPr>
          <w:p w14:paraId="4F3429E8" w14:textId="77777777" w:rsidR="00C51312" w:rsidRDefault="00C51312" w:rsidP="00104431">
            <w:pPr>
              <w:pStyle w:val="Compact"/>
            </w:pPr>
            <w:r>
              <w:rPr>
                <w:sz w:val="18"/>
              </w:rPr>
              <w:t>Halogens</w:t>
            </w:r>
          </w:p>
        </w:tc>
        <w:tc>
          <w:tcPr>
            <w:tcW w:w="2112" w:type="dxa"/>
          </w:tcPr>
          <w:p w14:paraId="1F3884FF" w14:textId="77777777" w:rsidR="00C51312" w:rsidRDefault="00C51312" w:rsidP="00104431">
            <w:pPr>
              <w:pStyle w:val="Compact"/>
              <w:jc w:val="right"/>
            </w:pPr>
            <w:r>
              <w:rPr>
                <w:sz w:val="18"/>
              </w:rPr>
              <w:t>I, Br</w:t>
            </w:r>
          </w:p>
        </w:tc>
        <w:tc>
          <w:tcPr>
            <w:tcW w:w="2112" w:type="dxa"/>
          </w:tcPr>
          <w:p w14:paraId="5652EAB3" w14:textId="77777777" w:rsidR="00C51312" w:rsidRDefault="00C51312" w:rsidP="00104431">
            <w:pPr>
              <w:pStyle w:val="Compact"/>
              <w:jc w:val="right"/>
            </w:pPr>
            <w:r>
              <w:rPr>
                <w:sz w:val="18"/>
              </w:rPr>
              <w:t>0.4000</w:t>
            </w:r>
          </w:p>
        </w:tc>
        <w:tc>
          <w:tcPr>
            <w:tcW w:w="2112" w:type="dxa"/>
          </w:tcPr>
          <w:p w14:paraId="4602BA7B" w14:textId="77777777" w:rsidR="00C51312" w:rsidRDefault="00C51312" w:rsidP="00104431">
            <w:pPr>
              <w:pStyle w:val="Compact"/>
              <w:jc w:val="right"/>
            </w:pPr>
            <w:r>
              <w:rPr>
                <w:sz w:val="18"/>
              </w:rPr>
              <w:t>0.750</w:t>
            </w:r>
          </w:p>
        </w:tc>
      </w:tr>
      <w:tr w:rsidR="00C51312" w14:paraId="7710D3F0" w14:textId="77777777" w:rsidTr="00104431">
        <w:trPr>
          <w:cantSplit/>
        </w:trPr>
        <w:tc>
          <w:tcPr>
            <w:tcW w:w="1584" w:type="dxa"/>
          </w:tcPr>
          <w:p w14:paraId="5B4DDC3B" w14:textId="77777777" w:rsidR="00C51312" w:rsidRDefault="00C51312" w:rsidP="00104431">
            <w:pPr>
              <w:pStyle w:val="Compact"/>
            </w:pPr>
            <w:r>
              <w:rPr>
                <w:sz w:val="18"/>
              </w:rPr>
              <w:t>Alkali metals</w:t>
            </w:r>
          </w:p>
        </w:tc>
        <w:tc>
          <w:tcPr>
            <w:tcW w:w="2112" w:type="dxa"/>
          </w:tcPr>
          <w:p w14:paraId="5506A55D" w14:textId="77777777" w:rsidR="00C51312" w:rsidRDefault="00C51312" w:rsidP="00104431">
            <w:pPr>
              <w:pStyle w:val="Compact"/>
              <w:jc w:val="right"/>
            </w:pPr>
            <w:r>
              <w:rPr>
                <w:sz w:val="18"/>
              </w:rPr>
              <w:t>Cs, Rb</w:t>
            </w:r>
          </w:p>
        </w:tc>
        <w:tc>
          <w:tcPr>
            <w:tcW w:w="2112" w:type="dxa"/>
          </w:tcPr>
          <w:p w14:paraId="7B02CA22" w14:textId="77777777" w:rsidR="00C51312" w:rsidRDefault="00C51312" w:rsidP="00104431">
            <w:pPr>
              <w:pStyle w:val="Compact"/>
              <w:jc w:val="right"/>
            </w:pPr>
            <w:r>
              <w:rPr>
                <w:sz w:val="18"/>
              </w:rPr>
              <w:t>0.3000</w:t>
            </w:r>
          </w:p>
        </w:tc>
        <w:tc>
          <w:tcPr>
            <w:tcW w:w="2112" w:type="dxa"/>
          </w:tcPr>
          <w:p w14:paraId="35116307" w14:textId="77777777" w:rsidR="00C51312" w:rsidRDefault="00C51312" w:rsidP="00104431">
            <w:pPr>
              <w:pStyle w:val="Compact"/>
              <w:jc w:val="right"/>
            </w:pPr>
            <w:r>
              <w:rPr>
                <w:sz w:val="18"/>
              </w:rPr>
              <w:t>0.750</w:t>
            </w:r>
          </w:p>
        </w:tc>
      </w:tr>
      <w:tr w:rsidR="00C51312" w14:paraId="32D3F285" w14:textId="77777777" w:rsidTr="00104431">
        <w:trPr>
          <w:cantSplit/>
        </w:trPr>
        <w:tc>
          <w:tcPr>
            <w:tcW w:w="1584" w:type="dxa"/>
          </w:tcPr>
          <w:p w14:paraId="5B9F9A91" w14:textId="77777777" w:rsidR="00C51312" w:rsidRDefault="00C51312" w:rsidP="00104431">
            <w:pPr>
              <w:pStyle w:val="Compact"/>
            </w:pPr>
            <w:r>
              <w:rPr>
                <w:sz w:val="18"/>
              </w:rPr>
              <w:lastRenderedPageBreak/>
              <w:t>Tellurium group</w:t>
            </w:r>
          </w:p>
        </w:tc>
        <w:tc>
          <w:tcPr>
            <w:tcW w:w="2112" w:type="dxa"/>
          </w:tcPr>
          <w:p w14:paraId="14F99A99" w14:textId="77777777" w:rsidR="00C51312" w:rsidRDefault="00C51312" w:rsidP="00104431">
            <w:pPr>
              <w:pStyle w:val="Compact"/>
              <w:jc w:val="right"/>
            </w:pPr>
            <w:r>
              <w:rPr>
                <w:sz w:val="18"/>
              </w:rPr>
              <w:t>Te, Sb, Se</w:t>
            </w:r>
          </w:p>
        </w:tc>
        <w:tc>
          <w:tcPr>
            <w:tcW w:w="2112" w:type="dxa"/>
          </w:tcPr>
          <w:p w14:paraId="46ACA4F7" w14:textId="77777777" w:rsidR="00C51312" w:rsidRDefault="00C51312" w:rsidP="00104431">
            <w:pPr>
              <w:pStyle w:val="Compact"/>
              <w:jc w:val="right"/>
            </w:pPr>
            <w:r>
              <w:rPr>
                <w:sz w:val="18"/>
              </w:rPr>
              <w:t>0.0500</w:t>
            </w:r>
          </w:p>
        </w:tc>
        <w:tc>
          <w:tcPr>
            <w:tcW w:w="2112" w:type="dxa"/>
          </w:tcPr>
          <w:p w14:paraId="68417936" w14:textId="77777777" w:rsidR="00C51312" w:rsidRDefault="00C51312" w:rsidP="00104431">
            <w:pPr>
              <w:pStyle w:val="Compact"/>
              <w:jc w:val="right"/>
            </w:pPr>
            <w:r>
              <w:rPr>
                <w:sz w:val="18"/>
              </w:rPr>
              <w:t>0.300</w:t>
            </w:r>
          </w:p>
        </w:tc>
      </w:tr>
      <w:tr w:rsidR="00C51312" w14:paraId="699C4F41" w14:textId="77777777" w:rsidTr="00104431">
        <w:trPr>
          <w:cantSplit/>
        </w:trPr>
        <w:tc>
          <w:tcPr>
            <w:tcW w:w="1584" w:type="dxa"/>
          </w:tcPr>
          <w:p w14:paraId="080BB35C" w14:textId="77777777" w:rsidR="00C51312" w:rsidRDefault="00C51312" w:rsidP="00104431">
            <w:pPr>
              <w:pStyle w:val="Compact"/>
            </w:pPr>
            <w:r>
              <w:rPr>
                <w:sz w:val="18"/>
              </w:rPr>
              <w:t>Barium/strontium group</w:t>
            </w:r>
          </w:p>
        </w:tc>
        <w:tc>
          <w:tcPr>
            <w:tcW w:w="2112" w:type="dxa"/>
          </w:tcPr>
          <w:p w14:paraId="43EC7822" w14:textId="77777777" w:rsidR="00C51312" w:rsidRDefault="00C51312" w:rsidP="00104431">
            <w:pPr>
              <w:pStyle w:val="Compact"/>
              <w:jc w:val="right"/>
            </w:pPr>
            <w:r>
              <w:rPr>
                <w:sz w:val="18"/>
              </w:rPr>
              <w:t>Ba, Sr</w:t>
            </w:r>
          </w:p>
        </w:tc>
        <w:tc>
          <w:tcPr>
            <w:tcW w:w="2112" w:type="dxa"/>
          </w:tcPr>
          <w:p w14:paraId="61C99487" w14:textId="77777777" w:rsidR="00C51312" w:rsidRDefault="00C51312" w:rsidP="00104431">
            <w:pPr>
              <w:pStyle w:val="Compact"/>
              <w:jc w:val="right"/>
            </w:pPr>
            <w:r>
              <w:rPr>
                <w:sz w:val="18"/>
              </w:rPr>
              <w:t>0.0200</w:t>
            </w:r>
          </w:p>
        </w:tc>
        <w:tc>
          <w:tcPr>
            <w:tcW w:w="2112" w:type="dxa"/>
          </w:tcPr>
          <w:p w14:paraId="0D53F9A1" w14:textId="77777777" w:rsidR="00C51312" w:rsidRDefault="00C51312" w:rsidP="00104431">
            <w:pPr>
              <w:pStyle w:val="Compact"/>
              <w:jc w:val="right"/>
            </w:pPr>
            <w:r>
              <w:rPr>
                <w:sz w:val="18"/>
              </w:rPr>
              <w:t>0.120</w:t>
            </w:r>
          </w:p>
        </w:tc>
      </w:tr>
      <w:tr w:rsidR="00C51312" w14:paraId="7910D9CF" w14:textId="77777777" w:rsidTr="00104431">
        <w:trPr>
          <w:cantSplit/>
        </w:trPr>
        <w:tc>
          <w:tcPr>
            <w:tcW w:w="1584" w:type="dxa"/>
          </w:tcPr>
          <w:p w14:paraId="2C99728A" w14:textId="77777777" w:rsidR="00C51312" w:rsidRDefault="00C51312" w:rsidP="00104431">
            <w:pPr>
              <w:pStyle w:val="Compact"/>
            </w:pPr>
            <w:r>
              <w:rPr>
                <w:sz w:val="18"/>
              </w:rPr>
              <w:t>Noble metals</w:t>
            </w:r>
          </w:p>
        </w:tc>
        <w:tc>
          <w:tcPr>
            <w:tcW w:w="2112" w:type="dxa"/>
          </w:tcPr>
          <w:p w14:paraId="15CBF0A0" w14:textId="77777777" w:rsidR="00C51312" w:rsidRDefault="00C51312" w:rsidP="00104431">
            <w:pPr>
              <w:pStyle w:val="Compact"/>
              <w:jc w:val="right"/>
            </w:pPr>
            <w:r>
              <w:rPr>
                <w:sz w:val="18"/>
              </w:rPr>
              <w:t>Ru, Rh, Pd, Mo, Tc, Co</w:t>
            </w:r>
          </w:p>
        </w:tc>
        <w:tc>
          <w:tcPr>
            <w:tcW w:w="2112" w:type="dxa"/>
          </w:tcPr>
          <w:p w14:paraId="4BDAF175" w14:textId="77777777" w:rsidR="00C51312" w:rsidRDefault="00C51312" w:rsidP="00104431">
            <w:pPr>
              <w:pStyle w:val="Compact"/>
              <w:jc w:val="right"/>
            </w:pPr>
            <w:r>
              <w:rPr>
                <w:sz w:val="18"/>
              </w:rPr>
              <w:t>0.0025</w:t>
            </w:r>
          </w:p>
        </w:tc>
        <w:tc>
          <w:tcPr>
            <w:tcW w:w="2112" w:type="dxa"/>
          </w:tcPr>
          <w:p w14:paraId="296DEC59" w14:textId="77777777" w:rsidR="00C51312" w:rsidRDefault="00C51312" w:rsidP="00104431">
            <w:pPr>
              <w:pStyle w:val="Compact"/>
              <w:jc w:val="right"/>
            </w:pPr>
            <w:r>
              <w:rPr>
                <w:sz w:val="18"/>
              </w:rPr>
              <w:t>0.005</w:t>
            </w:r>
          </w:p>
        </w:tc>
      </w:tr>
      <w:tr w:rsidR="00C51312" w14:paraId="4ACD31F0" w14:textId="77777777" w:rsidTr="00104431">
        <w:trPr>
          <w:cantSplit/>
        </w:trPr>
        <w:tc>
          <w:tcPr>
            <w:tcW w:w="1584" w:type="dxa"/>
          </w:tcPr>
          <w:p w14:paraId="1680E558" w14:textId="77777777" w:rsidR="00C51312" w:rsidRDefault="00C51312" w:rsidP="00104431">
            <w:pPr>
              <w:pStyle w:val="Compact"/>
            </w:pPr>
            <w:r>
              <w:rPr>
                <w:sz w:val="18"/>
              </w:rPr>
              <w:t>Cerium group</w:t>
            </w:r>
          </w:p>
        </w:tc>
        <w:tc>
          <w:tcPr>
            <w:tcW w:w="2112" w:type="dxa"/>
          </w:tcPr>
          <w:p w14:paraId="69EB2048" w14:textId="77777777" w:rsidR="00C51312" w:rsidRDefault="00C51312" w:rsidP="00104431">
            <w:pPr>
              <w:pStyle w:val="Compact"/>
              <w:jc w:val="right"/>
            </w:pPr>
            <w:r>
              <w:rPr>
                <w:sz w:val="18"/>
              </w:rPr>
              <w:t>Ce, Pu, Np</w:t>
            </w:r>
          </w:p>
        </w:tc>
        <w:tc>
          <w:tcPr>
            <w:tcW w:w="2112" w:type="dxa"/>
          </w:tcPr>
          <w:p w14:paraId="7C4256A6" w14:textId="77777777" w:rsidR="00C51312" w:rsidRDefault="00C51312" w:rsidP="00104431">
            <w:pPr>
              <w:pStyle w:val="Compact"/>
              <w:jc w:val="right"/>
            </w:pPr>
            <w:r>
              <w:rPr>
                <w:sz w:val="18"/>
              </w:rPr>
              <w:t>0.0005</w:t>
            </w:r>
          </w:p>
        </w:tc>
        <w:tc>
          <w:tcPr>
            <w:tcW w:w="2112" w:type="dxa"/>
          </w:tcPr>
          <w:p w14:paraId="18031F1C" w14:textId="77777777" w:rsidR="00C51312" w:rsidRDefault="00C51312" w:rsidP="00104431">
            <w:pPr>
              <w:pStyle w:val="Compact"/>
              <w:jc w:val="right"/>
            </w:pPr>
            <w:r>
              <w:rPr>
                <w:sz w:val="18"/>
              </w:rPr>
              <w:t>0.005</w:t>
            </w:r>
          </w:p>
        </w:tc>
      </w:tr>
      <w:tr w:rsidR="00C51312" w14:paraId="1F80E729" w14:textId="77777777" w:rsidTr="00104431">
        <w:trPr>
          <w:cantSplit/>
        </w:trPr>
        <w:tc>
          <w:tcPr>
            <w:tcW w:w="1584" w:type="dxa"/>
          </w:tcPr>
          <w:p w14:paraId="3D01A9F1" w14:textId="77777777" w:rsidR="00C51312" w:rsidRDefault="00C51312" w:rsidP="00104431">
            <w:pPr>
              <w:pStyle w:val="Compact"/>
            </w:pPr>
            <w:r>
              <w:rPr>
                <w:sz w:val="18"/>
              </w:rPr>
              <w:t>Lanthanides</w:t>
            </w:r>
          </w:p>
        </w:tc>
        <w:tc>
          <w:tcPr>
            <w:tcW w:w="2112" w:type="dxa"/>
          </w:tcPr>
          <w:p w14:paraId="03E14FA8" w14:textId="77777777" w:rsidR="00C51312" w:rsidRDefault="00C51312" w:rsidP="00104431">
            <w:pPr>
              <w:pStyle w:val="Compact"/>
              <w:jc w:val="right"/>
            </w:pPr>
            <w:r>
              <w:rPr>
                <w:sz w:val="18"/>
              </w:rPr>
              <w:t>La, Zr, Nd, Eu, Nb, Pm, Pr, Sm, Y, Cm, Am</w:t>
            </w:r>
          </w:p>
        </w:tc>
        <w:tc>
          <w:tcPr>
            <w:tcW w:w="2112" w:type="dxa"/>
          </w:tcPr>
          <w:p w14:paraId="75B98FFB" w14:textId="77777777" w:rsidR="00C51312" w:rsidRDefault="00C51312" w:rsidP="00104431">
            <w:pPr>
              <w:pStyle w:val="Compact"/>
              <w:jc w:val="right"/>
            </w:pPr>
            <w:r>
              <w:rPr>
                <w:sz w:val="18"/>
              </w:rPr>
              <w:t>0.0002</w:t>
            </w:r>
          </w:p>
        </w:tc>
        <w:tc>
          <w:tcPr>
            <w:tcW w:w="2112" w:type="dxa"/>
          </w:tcPr>
          <w:p w14:paraId="6AD599F9" w14:textId="77777777" w:rsidR="00C51312" w:rsidRDefault="00C51312" w:rsidP="00104431">
            <w:pPr>
              <w:pStyle w:val="Compact"/>
              <w:jc w:val="right"/>
            </w:pPr>
            <w:r>
              <w:rPr>
                <w:sz w:val="18"/>
              </w:rPr>
              <w:t>0.005</w:t>
            </w:r>
          </w:p>
        </w:tc>
      </w:tr>
      <w:tr w:rsidR="00C51312" w14:paraId="60D79FD4" w14:textId="77777777" w:rsidTr="00104431">
        <w:trPr>
          <w:cantSplit/>
        </w:trPr>
        <w:tc>
          <w:tcPr>
            <w:tcW w:w="1584" w:type="dxa"/>
          </w:tcPr>
          <w:p w14:paraId="2F30D38E" w14:textId="77777777" w:rsidR="00C51312" w:rsidRDefault="00C51312" w:rsidP="00104431">
            <w:pPr>
              <w:pStyle w:val="Compact"/>
            </w:pPr>
            <w:r>
              <w:rPr>
                <w:sz w:val="18"/>
              </w:rPr>
              <w:t>Uranium/actinides</w:t>
            </w:r>
          </w:p>
        </w:tc>
        <w:tc>
          <w:tcPr>
            <w:tcW w:w="2112" w:type="dxa"/>
          </w:tcPr>
          <w:p w14:paraId="7F30C93F" w14:textId="77777777" w:rsidR="00C51312" w:rsidRDefault="00C51312" w:rsidP="00104431">
            <w:pPr>
              <w:pStyle w:val="Compact"/>
              <w:jc w:val="right"/>
            </w:pPr>
            <w:r>
              <w:rPr>
                <w:sz w:val="18"/>
              </w:rPr>
              <w:t>U and heavy actinides</w:t>
            </w:r>
          </w:p>
        </w:tc>
        <w:tc>
          <w:tcPr>
            <w:tcW w:w="2112" w:type="dxa"/>
          </w:tcPr>
          <w:p w14:paraId="0DA56DDA" w14:textId="77777777" w:rsidR="00C51312" w:rsidRDefault="00C51312" w:rsidP="00104431">
            <w:pPr>
              <w:pStyle w:val="Compact"/>
              <w:jc w:val="right"/>
            </w:pPr>
            <w:r>
              <w:rPr>
                <w:sz w:val="18"/>
              </w:rPr>
              <w:t>—</w:t>
            </w:r>
          </w:p>
        </w:tc>
        <w:tc>
          <w:tcPr>
            <w:tcW w:w="2112" w:type="dxa"/>
          </w:tcPr>
          <w:p w14:paraId="1E73F055" w14:textId="77777777" w:rsidR="00C51312" w:rsidRDefault="00C51312" w:rsidP="00104431">
            <w:pPr>
              <w:pStyle w:val="Compact"/>
              <w:jc w:val="right"/>
            </w:pPr>
            <w:r>
              <w:rPr>
                <w:sz w:val="18"/>
              </w:rPr>
              <w:t>0.001</w:t>
            </w:r>
          </w:p>
        </w:tc>
      </w:tr>
    </w:tbl>
    <w:p w14:paraId="4B1B75A3" w14:textId="77777777" w:rsidR="00C51312" w:rsidRDefault="00C51312" w:rsidP="00C51312">
      <w:pPr>
        <w:pStyle w:val="BodyText"/>
      </w:pPr>
      <w:r>
        <w:t>The basis for the severe-event table is intentionally simple. Noble gases are assigned complete release. Halogens and alkali metals are treated as highly volatile groups and are assigned target fractions substantially above the DBA AST totals. The tellurium group is treated as semi-volatile, with a target below the halogen and alkali-metal targets but substantially above the DBA value. Barium/strontium is treated as a lower-volatility aerosol group that increases during severe high-temperature degradation. Noble metals, cerium-group nuclides, and lanthanides are treated as refractory or low-volatility groups and are assigned small but nonzero severe-event increases.</w:t>
      </w:r>
    </w:p>
    <w:p w14:paraId="777CBE16" w14:textId="77777777" w:rsidR="00C51312" w:rsidRDefault="00C51312" w:rsidP="00C51312">
      <w:pPr>
        <w:pStyle w:val="BodyText"/>
      </w:pPr>
      <w:r>
        <w:t>The uranium/actinide row is an extension beyond the reduced DBA AST table because the design-basis source term normally does not require an explicit uranium/actinide release fraction for NOTBADTRAD screening. It is included for severe-event comparisons in which very small releases of heavy refractory material may be useful as a marker of core-melt severity. The selected value is deliberately small and should be treated as a scoping parameter, not as a licensing-grade mechanistic estimate.</w:t>
      </w:r>
    </w:p>
    <w:p w14:paraId="079543F6" w14:textId="77777777" w:rsidR="00C51312" w:rsidRDefault="00C51312" w:rsidP="00C51312">
      <w:pPr>
        <w:pStyle w:val="BodyText"/>
      </w:pPr>
      <w:r>
        <w:t>The severe source term is not applied as an abrupt replacement for the DBA source term. Instead, FLARE interpolates between the DBA release fraction and the severe-event target using the maximum mean oxidizing rod ECR from the statistical rod-state model. For group g,</w:t>
      </w:r>
    </w:p>
    <w:p w14:paraId="045CF27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r>
                <m:rPr>
                  <m:sty m:val="p"/>
                </m:rPr>
                <w:rPr>
                  <w:rFonts w:ascii="Cambria Math" w:hAnsi="Cambria Math"/>
                </w:rPr>
                <m:t>+</m:t>
              </m:r>
              <m:sSub>
                <m:sSubPr>
                  <m:ctrlPr>
                    <w:rPr>
                      <w:rFonts w:ascii="Cambria Math" w:hAnsi="Cambria Math"/>
                    </w:rPr>
                  </m:ctrlPr>
                </m:sSubPr>
                <m:e>
                  <m:r>
                    <w:rPr>
                      <w:rFonts w:ascii="Cambria Math" w:hAnsi="Cambria Math"/>
                    </w:rPr>
                    <m:t>E</m:t>
                  </m:r>
                </m:e>
                <m:sub>
                  <m:r>
                    <m:rPr>
                      <m:sty m:val="p"/>
                    </m:rPr>
                    <w:rPr>
                      <w:rFonts w:ascii="Cambria Math" w:hAnsi="Cambria Math"/>
                    </w:rPr>
                    <m:t>mean</m:t>
                  </m:r>
                </m:sub>
              </m:sSub>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,BDBE</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,DBA</m:t>
                      </m:r>
                    </m:sub>
                  </m:sSub>
                </m:e>
              </m:d>
            </m:e>
          </m:d>
          <m:r>
            <m:rPr>
              <m:sty m:val="p"/>
            </m:rPr>
            <w:rPr>
              <w:rFonts w:ascii="Cambria Math" w:hAnsi="Cambria Math"/>
            </w:rPr>
            <m:t>.</m:t>
          </m:r>
        </m:oMath>
      </m:oMathPara>
    </w:p>
    <w:p w14:paraId="7CCF48C6" w14:textId="77777777" w:rsidR="00C51312" w:rsidRDefault="00C51312" w:rsidP="00C51312">
      <w:pPr>
        <w:pStyle w:val="FirstParagraph"/>
      </w:pPr>
      <w:r>
        <w:t>where R with subscript g,BDBE is the severe core-melt target fraction in Table 9-4 and E with subscript mean is the maximum mean oxidizing rod ECR expressed as a fraction rather than percent. The released group inventory is then</w:t>
      </w:r>
    </w:p>
    <w:p w14:paraId="3727C9F1"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rel</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g</m:t>
              </m:r>
              <m:r>
                <m:rPr>
                  <m:sty m:val="p"/>
                </m:rPr>
                <w:rPr>
                  <w:rFonts w:ascii="Cambria Math" w:hAnsi="Cambria Math"/>
                </w:rPr>
                <m:t>,severe</m:t>
              </m:r>
            </m:sub>
          </m:sSub>
          <m:sSub>
            <m:sSubPr>
              <m:ctrlPr>
                <w:rPr>
                  <w:rFonts w:ascii="Cambria Math" w:hAnsi="Cambria Math"/>
                </w:rPr>
              </m:ctrlPr>
            </m:sSub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0</m:t>
              </m:r>
            </m:sub>
          </m:sSub>
          <m:r>
            <m:rPr>
              <m:sty m:val="p"/>
            </m:rPr>
            <w:rPr>
              <w:rFonts w:ascii="Cambria Math" w:hAnsi="Cambria Math"/>
            </w:rPr>
            <m:t>.</m:t>
          </m:r>
        </m:oMath>
      </m:oMathPara>
    </w:p>
    <w:p w14:paraId="0C7AFFB1" w14:textId="77777777" w:rsidR="00C51312" w:rsidRDefault="00C51312" w:rsidP="00C51312">
      <w:pPr>
        <w:pStyle w:val="FirstParagraph"/>
      </w:pPr>
      <w:r>
        <w:t>This formulation makes the severe-event source term responsive to the calculated fuel-damage state without requiring a full severe-accident progression model. It also preserves the distinction between the hot pin and the mean oxidizing rod. The hot pin is used for limiting local fuel figures-of-merit such as peak cladding temperature and maximum local oxidation. The mean oxidizing rod is used for source-term escalation because it is a population-representative measure of the rods participating in high-temperature oxidation.</w:t>
      </w:r>
    </w:p>
    <w:p w14:paraId="65AFD44F" w14:textId="77777777" w:rsidR="00C51312" w:rsidRDefault="00C51312" w:rsidP="00C51312">
      <w:pPr>
        <w:pStyle w:val="Heading2"/>
      </w:pPr>
      <w:bookmarkStart w:id="81" w:name="_Toc231232926"/>
      <w:r>
        <w:t>9.7 Time-Dependent Release Shape</w:t>
      </w:r>
      <w:bookmarkEnd w:id="81"/>
    </w:p>
    <w:p w14:paraId="2570BE95" w14:textId="77777777" w:rsidR="00C51312" w:rsidRDefault="00C51312" w:rsidP="00C51312">
      <w:pPr>
        <w:pStyle w:val="FirstParagraph"/>
      </w:pPr>
      <w:r>
        <w:t>NOTBADTRAD separates the total released inventory from the timing of the release. A normalized release-shape function assigned to release category c satisfies</w:t>
      </w:r>
    </w:p>
    <w:p w14:paraId="714C1279" w14:textId="77777777" w:rsidR="00C51312" w:rsidRDefault="00000000" w:rsidP="00C51312">
      <w:pPr>
        <w:pStyle w:val="BodyText"/>
      </w:pPr>
      <m:oMathPara>
        <m:oMathParaPr>
          <m:jc m:val="center"/>
        </m:oMathParaPr>
        <m:oMath>
          <m:nary>
            <m:naryPr>
              <m:limLoc m:val="subSup"/>
              <m:ctrlPr>
                <w:rPr>
                  <w:rFonts w:ascii="Cambria Math" w:hAnsi="Cambria Math"/>
                </w:rPr>
              </m:ctrlPr>
            </m:naryPr>
            <m:sub>
              <m:r>
                <w:rPr>
                  <w:rFonts w:ascii="Cambria Math" w:hAnsi="Cambria Math"/>
                </w:rPr>
                <m:t>0</m:t>
              </m:r>
            </m:sub>
            <m:sup>
              <m:r>
                <m:rPr>
                  <m:sty m:val="p"/>
                </m:rPr>
                <w:rPr>
                  <w:rFonts w:ascii="Cambria Math" w:hAnsi="Cambria Math"/>
                </w:rPr>
                <m:t>∞</m:t>
              </m:r>
            </m:sup>
            <m:e>
              <m:sSub>
                <m:sSubPr>
                  <m:ctrlPr>
                    <w:rPr>
                      <w:rFonts w:ascii="Cambria Math" w:hAnsi="Cambria Math"/>
                    </w:rPr>
                  </m:ctrlPr>
                </m:sSubPr>
                <m:e>
                  <m:r>
                    <w:rPr>
                      <w:rFonts w:ascii="Cambria Math" w:hAnsi="Cambria Math"/>
                    </w:rPr>
                    <m:t>s</m:t>
                  </m:r>
                </m:e>
                <m:sub>
                  <m:r>
                    <w:rPr>
                      <w:rFonts w:ascii="Cambria Math" w:hAnsi="Cambria Math"/>
                    </w:rPr>
                    <m:t>c</m:t>
                  </m:r>
                </m:sub>
              </m:sSub>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r>
            <w:rPr>
              <w:rFonts w:ascii="Cambria Math" w:hAnsi="Cambria Math"/>
            </w:rPr>
            <m:t>1</m:t>
          </m:r>
          <m:r>
            <m:rPr>
              <m:sty m:val="p"/>
            </m:rPr>
            <w:rPr>
              <w:rFonts w:ascii="Cambria Math" w:hAnsi="Cambria Math"/>
            </w:rPr>
            <m:t>.</m:t>
          </m:r>
        </m:oMath>
      </m:oMathPara>
    </w:p>
    <w:p w14:paraId="0E6D9C94" w14:textId="77777777" w:rsidR="00C51312" w:rsidRDefault="00C51312" w:rsidP="00C51312">
      <w:pPr>
        <w:pStyle w:val="FirstParagraph"/>
      </w:pPr>
      <w:r>
        <w:t>The activity source rate entering the release control volume is then</w:t>
      </w:r>
    </w:p>
    <w:p w14:paraId="1E1C8D8B" w14:textId="77777777" w:rsidR="00C51312" w:rsidRDefault="00000000" w:rsidP="00C51312">
      <w:pPr>
        <w:pStyle w:val="BodyText"/>
      </w:pPr>
      <m:oMathPara>
        <m:oMathParaPr>
          <m:jc m:val="center"/>
        </m:oMathParaPr>
        <m:oMath>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rPr>
                <m:t>​</m:t>
              </m:r>
            </m:sup>
            <m:e>
              <m:sSubSup>
                <m:sSubSupPr>
                  <m:ctrlPr>
                    <w:rPr>
                      <w:rFonts w:ascii="Cambria Math" w:hAnsi="Cambria Math"/>
                    </w:rPr>
                  </m:ctrlPr>
                </m:sSubSupPr>
                <m:e>
                  <m:r>
                    <w:rPr>
                      <w:rFonts w:ascii="Cambria Math" w:hAnsi="Cambria Math"/>
                    </w:rPr>
                    <m:t>I</m:t>
                  </m:r>
                </m:e>
                <m:sub>
                  <m:r>
                    <w:rPr>
                      <w:rFonts w:ascii="Cambria Math" w:hAnsi="Cambria Math"/>
                    </w:rPr>
                    <m:t>g</m:t>
                  </m:r>
                  <m:r>
                    <m:rPr>
                      <m:sty m:val="p"/>
                    </m:rPr>
                    <w:rPr>
                      <w:rFonts w:ascii="Cambria Math" w:hAnsi="Cambria Math"/>
                    </w:rPr>
                    <m:t>,</m:t>
                  </m:r>
                  <m:r>
                    <w:rPr>
                      <w:rFonts w:ascii="Cambria Math" w:hAnsi="Cambria Math"/>
                    </w:rPr>
                    <m:t>c</m:t>
                  </m:r>
                </m:sub>
                <m:sup>
                  <m:r>
                    <m:rPr>
                      <m:sty m:val="p"/>
                    </m:rPr>
                    <w:rPr>
                      <w:rFonts w:ascii="Cambria Math" w:hAnsi="Cambria Math"/>
                    </w:rPr>
                    <m:t>rel</m:t>
                  </m:r>
                </m:sup>
              </m:sSubSup>
            </m:e>
          </m:nary>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86ED4AE" w14:textId="77777777" w:rsidR="00C51312" w:rsidRDefault="00C51312" w:rsidP="00C51312">
      <w:pPr>
        <w:pStyle w:val="FirstParagraph"/>
      </w:pPr>
      <w:r>
        <w:lastRenderedPageBreak/>
        <w:t>For simple screening calculations, the release-shape function may be represented as a square pulse over a specified release duration:</w:t>
      </w:r>
    </w:p>
    <w:p w14:paraId="5EE1E01D"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s</m:t>
              </m:r>
            </m:e>
            <m:sub>
              <m:r>
                <w:rPr>
                  <w:rFonts w:ascii="Cambria Math" w:hAnsi="Cambria Math"/>
                </w:rPr>
                <m:t>c</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f>
                      <m:fPr>
                        <m:ctrlPr>
                          <w:rPr>
                            <w:rFonts w:ascii="Cambria Math" w:hAnsi="Cambria Math"/>
                          </w:rPr>
                        </m:ctrlPr>
                      </m:fPr>
                      <m:num>
                        <m:r>
                          <w:rPr>
                            <w:rFonts w:ascii="Cambria Math" w:hAnsi="Cambria Math"/>
                          </w:rPr>
                          <m:t>1</m:t>
                        </m:r>
                      </m:num>
                      <m:den>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den>
                    </m:f>
                    <m:r>
                      <m:rPr>
                        <m:sty m:val="p"/>
                      </m:rPr>
                      <w:rPr>
                        <w:rFonts w:ascii="Cambria Math" w:hAnsi="Cambria Math"/>
                      </w:rPr>
                      <m:t>,</m:t>
                    </m:r>
                  </m:e>
                  <m:e>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c</m:t>
                        </m:r>
                        <m:r>
                          <m:rPr>
                            <m:sty m:val="p"/>
                          </m:rPr>
                          <w:rPr>
                            <w:rFonts w:ascii="Cambria Math" w:hAnsi="Cambria Math"/>
                          </w:rPr>
                          <m:t>,</m:t>
                        </m:r>
                        <m:r>
                          <w:rPr>
                            <w:rFonts w:ascii="Cambria Math" w:hAnsi="Cambria Math"/>
                          </w:rPr>
                          <m:t>0</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otherwise.</m:t>
                    </m:r>
                  </m:e>
                </m:mr>
              </m:m>
            </m:e>
          </m:d>
        </m:oMath>
      </m:oMathPara>
    </w:p>
    <w:p w14:paraId="1A5FAEA0" w14:textId="77777777" w:rsidR="00C51312" w:rsidRDefault="00C51312" w:rsidP="00C51312">
      <w:pPr>
        <w:pStyle w:val="FirstParagraph"/>
      </w:pPr>
      <w:r>
        <w:t>where t with subscript c,0 is the start time and Delta t with subscript c is the release duration. This formulation is less detailed than RADTRAD’s phased release modeling, but it preserves the key dependency between release timing and dose integration.</w:t>
      </w:r>
    </w:p>
    <w:p w14:paraId="63BAEDCA" w14:textId="77777777" w:rsidR="00C51312" w:rsidRDefault="00C51312" w:rsidP="00C51312">
      <w:pPr>
        <w:pStyle w:val="Heading2"/>
      </w:pPr>
      <w:bookmarkStart w:id="82" w:name="_Toc231232927"/>
      <w:r>
        <w:t>9.8 Single-Compartment Transport and Removal</w:t>
      </w:r>
      <w:bookmarkEnd w:id="82"/>
    </w:p>
    <w:p w14:paraId="15414B08" w14:textId="77777777" w:rsidR="00C51312" w:rsidRDefault="00C51312" w:rsidP="00C51312">
      <w:pPr>
        <w:pStyle w:val="FirstParagraph"/>
      </w:pPr>
      <w:r>
        <w:t>The default NOTBADTRAD transport model treats the airborne source region as a single well-mixed control volume. The airborne activity of group g satisfies</w:t>
      </w:r>
    </w:p>
    <w:p w14:paraId="04E833EC" w14:textId="77777777" w:rsidR="00C51312" w:rsidRDefault="00000000"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A</m:t>
                  </m:r>
                </m:e>
                <m:sub>
                  <m:r>
                    <w:rPr>
                      <w:rFonts w:ascii="Cambria Math" w:hAnsi="Cambria Math"/>
                    </w:rPr>
                    <m:t>g</m:t>
                  </m:r>
                </m:sub>
              </m:sSub>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sup>
              </m:sSubSup>
            </m:e>
          </m:d>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5B1C992F" w14:textId="77777777" w:rsidR="00C51312" w:rsidRDefault="00C51312" w:rsidP="00C51312">
      <w:pPr>
        <w:pStyle w:val="FirstParagraph"/>
      </w:pPr>
      <w:r>
        <w:t>The removal terms are group-dependent. Noble gases are normally assigned no deposition or spray removal credit:</w:t>
      </w:r>
    </w:p>
    <w:p w14:paraId="732D7F9B"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sup>
          </m:sSubSup>
          <m:r>
            <m:rPr>
              <m:sty m:val="p"/>
            </m:rPr>
            <w:rPr>
              <w:rFonts w:ascii="Cambria Math" w:hAnsi="Cambria Math"/>
            </w:rPr>
            <m:t>=</m:t>
          </m:r>
          <m:r>
            <w:rPr>
              <w:rFonts w:ascii="Cambria Math" w:hAnsi="Cambria Math"/>
            </w:rPr>
            <m:t>0 </m:t>
          </m:r>
          <m:r>
            <m:rPr>
              <m:nor/>
            </m:rPr>
            <m:t>for noble gases</m:t>
          </m:r>
          <m:r>
            <m:rPr>
              <m:sty m:val="p"/>
            </m:rPr>
            <w:rPr>
              <w:rFonts w:ascii="Cambria Math" w:hAnsi="Cambria Math"/>
            </w:rPr>
            <m:t>.</m:t>
          </m:r>
        </m:oMath>
      </m:oMathPara>
    </w:p>
    <w:p w14:paraId="33854DDA" w14:textId="77777777" w:rsidR="00C51312" w:rsidRDefault="00C51312" w:rsidP="00C51312">
      <w:pPr>
        <w:pStyle w:val="FirstParagraph"/>
      </w:pPr>
      <w:r>
        <w:t>Aerosol groups may receive deposition or spray removal credit where the user has selected that option. Halogens may receive filtration or deposition credit depending on the assumed chemical form and pathway. In the reduced NOTBADTRAD treatment, these effects are represented by effective first-order removal constants rather than by mechanistic aerosol physics.</w:t>
      </w:r>
    </w:p>
    <w:p w14:paraId="1C087771" w14:textId="77777777" w:rsidR="00C51312" w:rsidRDefault="00C51312" w:rsidP="00C51312">
      <w:pPr>
        <w:pStyle w:val="BodyText"/>
      </w:pPr>
      <w:r>
        <w:t>The leakage source rate to the environment is</w:t>
      </w:r>
    </w:p>
    <w:p w14:paraId="0BDAFC53"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6B0EC08F" w14:textId="77777777" w:rsidR="00C51312" w:rsidRDefault="00C51312" w:rsidP="00C51312">
      <w:pPr>
        <w:pStyle w:val="FirstParagraph"/>
      </w:pPr>
      <w:r>
        <w:t>If the containment leak rate is specified as a fractional leak rate L per unit time, the leakage constant is</w:t>
      </w:r>
    </w:p>
    <w:p w14:paraId="2FFE27E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r>
            <w:rPr>
              <w:rFonts w:ascii="Cambria Math" w:hAnsi="Cambria Math"/>
            </w:rPr>
            <m:t>L</m:t>
          </m:r>
          <m:r>
            <m:rPr>
              <m:sty m:val="p"/>
            </m:rPr>
            <w:rPr>
              <w:rFonts w:ascii="Cambria Math" w:hAnsi="Cambria Math"/>
            </w:rPr>
            <m:t>.</m:t>
          </m:r>
        </m:oMath>
      </m:oMathPara>
    </w:p>
    <w:p w14:paraId="444ECA93" w14:textId="77777777" w:rsidR="00C51312" w:rsidRDefault="00C51312" w:rsidP="00C51312">
      <w:pPr>
        <w:pStyle w:val="FirstParagraph"/>
      </w:pPr>
      <w:r>
        <w:t>If the leak rate is specified as a volumetric flow rate from a well-mixed volume, then</w:t>
      </w:r>
    </w:p>
    <w:p w14:paraId="1DBE3F9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leak</m:t>
                  </m:r>
                </m:sub>
              </m:sSub>
            </m:num>
            <m:den>
              <m:r>
                <w:rPr>
                  <w:rFonts w:ascii="Cambria Math" w:hAnsi="Cambria Math"/>
                </w:rPr>
                <m:t>V</m:t>
              </m:r>
            </m:den>
          </m:f>
          <m:r>
            <m:rPr>
              <m:sty m:val="p"/>
            </m:rPr>
            <w:rPr>
              <w:rFonts w:ascii="Cambria Math" w:hAnsi="Cambria Math"/>
            </w:rPr>
            <m:t>.</m:t>
          </m:r>
        </m:oMath>
      </m:oMathPara>
    </w:p>
    <w:p w14:paraId="26999989" w14:textId="77777777" w:rsidR="00C51312" w:rsidRDefault="00C51312" w:rsidP="00C51312">
      <w:pPr>
        <w:pStyle w:val="FirstParagraph"/>
      </w:pPr>
      <w:r>
        <w:t>For direct-to-environment releases, the compartment holdup model can be bypassed and the environmental release rate is set equal to the source rate:</w:t>
      </w:r>
    </w:p>
    <w:p w14:paraId="6DA3D9E9" w14:textId="77777777" w:rsidR="00C51312" w:rsidRDefault="00000000" w:rsidP="00C51312">
      <w:pPr>
        <w:pStyle w:val="BodyText"/>
      </w:pPr>
      <m:oMathPara>
        <m:oMathParaPr>
          <m:jc m:val="center"/>
        </m:oMathParaP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g</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1EBA1E0" w14:textId="77777777" w:rsidR="00C51312" w:rsidRDefault="00C51312" w:rsidP="00C51312">
      <w:pPr>
        <w:pStyle w:val="Heading2"/>
      </w:pPr>
      <w:bookmarkStart w:id="83" w:name="_Toc231232928"/>
      <w:r>
        <w:t>9.9 Atmospheric Dispersion Model</w:t>
      </w:r>
      <w:bookmarkEnd w:id="83"/>
    </w:p>
    <w:p w14:paraId="07ADED50" w14:textId="77777777" w:rsidR="00C51312" w:rsidRDefault="00C51312" w:rsidP="00C51312">
      <w:pPr>
        <w:pStyle w:val="FirstParagraph"/>
      </w:pPr>
      <w:r>
        <w:t>NOTBADTRAD uses receptor-specific atmospheric dispersion factors to convert release rate to airborne concentration. For receptor r,</w:t>
      </w:r>
    </w:p>
    <w:p w14:paraId="3675CEDC"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d>
            <m:dPr>
              <m:ctrlPr>
                <w:rPr>
                  <w:rFonts w:ascii="Cambria Math" w:hAnsi="Cambria Math"/>
                </w:rPr>
              </m:ctrlPr>
            </m:dPr>
            <m:e>
              <m:r>
                <w:rPr>
                  <w:rFonts w:ascii="Cambria Math" w:hAnsi="Cambria Math"/>
                </w:rPr>
                <m:t>t</m:t>
              </m:r>
            </m:e>
          </m:d>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m:rPr>
              <m:sty m:val="p"/>
            </m:rPr>
            <w:rPr>
              <w:rFonts w:ascii="Cambria Math" w:hAnsi="Cambria Math"/>
            </w:rPr>
            <m:t>.</m:t>
          </m:r>
        </m:oMath>
      </m:oMathPara>
    </w:p>
    <w:p w14:paraId="608D9B9F" w14:textId="77777777" w:rsidR="00C51312" w:rsidRDefault="00C51312" w:rsidP="00C51312">
      <w:pPr>
        <w:pStyle w:val="FirstParagraph"/>
      </w:pPr>
      <w:r>
        <w:t>where C with subscripts g,r is the airborne activity concentration and chi over Q is the atmospheric dispersion factor for that receptor. The default receptors are the exclusion area boundary, the low-population zone, and the control room.</w:t>
      </w:r>
    </w:p>
    <w:p w14:paraId="33980A77" w14:textId="77777777" w:rsidR="00C51312" w:rsidRDefault="00C51312" w:rsidP="00C51312">
      <w:pPr>
        <w:pStyle w:val="BodyText"/>
      </w:pPr>
      <w:r>
        <w:lastRenderedPageBreak/>
        <w:t>For simple internal screening, the dispersion factor may be calculated using a centerline Gaussian plume approximation. For a ground-level release and ground-level receptor under centerline conditions,</w:t>
      </w:r>
    </w:p>
    <w:p w14:paraId="6AD639B1" w14:textId="77777777" w:rsidR="00C51312" w:rsidRDefault="00000000" w:rsidP="00C51312">
      <w:pPr>
        <w:pStyle w:val="BodyText"/>
      </w:pPr>
      <m:oMathPara>
        <m:oMathParaPr>
          <m:jc m:val="center"/>
        </m:oMathParaPr>
        <m:oMath>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πu</m:t>
              </m:r>
              <m:sSub>
                <m:sSubPr>
                  <m:ctrlPr>
                    <w:rPr>
                      <w:rFonts w:ascii="Cambria Math" w:hAnsi="Cambria Math"/>
                    </w:rPr>
                  </m:ctrlPr>
                </m:sSubPr>
                <m:e>
                  <m:r>
                    <w:rPr>
                      <w:rFonts w:ascii="Cambria Math" w:hAnsi="Cambria Math"/>
                    </w:rPr>
                    <m:t>σ</m:t>
                  </m:r>
                </m:e>
                <m:sub>
                  <m:r>
                    <w:rPr>
                      <w:rFonts w:ascii="Cambria Math" w:hAnsi="Cambria Math"/>
                    </w:rPr>
                    <m:t>y</m:t>
                  </m:r>
                </m:sub>
              </m:sSub>
              <m:sSub>
                <m:sSubPr>
                  <m:ctrlPr>
                    <w:rPr>
                      <w:rFonts w:ascii="Cambria Math" w:hAnsi="Cambria Math"/>
                    </w:rPr>
                  </m:ctrlPr>
                </m:sSubPr>
                <m:e>
                  <m:r>
                    <w:rPr>
                      <w:rFonts w:ascii="Cambria Math" w:hAnsi="Cambria Math"/>
                    </w:rPr>
                    <m:t>σ</m:t>
                  </m:r>
                </m:e>
                <m:sub>
                  <m:r>
                    <w:rPr>
                      <w:rFonts w:ascii="Cambria Math" w:hAnsi="Cambria Math"/>
                    </w:rPr>
                    <m:t>z</m:t>
                  </m:r>
                </m:sub>
              </m:sSub>
            </m:den>
          </m:f>
          <m:r>
            <m:rPr>
              <m:sty m:val="p"/>
            </m:rPr>
            <w:rPr>
              <w:rFonts w:ascii="Cambria Math" w:hAnsi="Cambria Math"/>
            </w:rPr>
            <m:t>.</m:t>
          </m:r>
        </m:oMath>
      </m:oMathPara>
    </w:p>
    <w:p w14:paraId="37701990" w14:textId="77777777" w:rsidR="00C51312" w:rsidRDefault="00C51312" w:rsidP="00C51312">
      <w:pPr>
        <w:pStyle w:val="FirstParagraph"/>
      </w:pPr>
      <w:r>
        <w:t>where u is wind speed and sigma with subscripts y and z are the lateral and vertical plume dispersion parameters. In most FLARE applications, however, chi over Q is treated as an input so that plant-specific or regulatory dispersion assumptions can be imposed externally.</w:t>
      </w:r>
    </w:p>
    <w:p w14:paraId="62917045" w14:textId="77777777" w:rsidR="00C51312" w:rsidRDefault="00C51312" w:rsidP="00C51312">
      <w:pPr>
        <w:pStyle w:val="BodyText"/>
      </w:pPr>
      <w:r>
        <w:t>This treatment is intentionally simpler than ARCON96-style or site-specific meteorological analyses. NOTBADTRAD assumes that the user-selected chi over Q values already embody the appropriate receptor distance, meteorology, averaging period, and release-mode assumptions for the screening purpose.</w:t>
      </w:r>
    </w:p>
    <w:p w14:paraId="008CE16F" w14:textId="77777777" w:rsidR="00C51312" w:rsidRDefault="00C51312" w:rsidP="00C51312">
      <w:pPr>
        <w:pStyle w:val="Heading2"/>
      </w:pPr>
      <w:bookmarkStart w:id="84" w:name="_Toc231232929"/>
      <w:r>
        <w:t>9.10 Dose Calculation</w:t>
      </w:r>
      <w:bookmarkEnd w:id="84"/>
    </w:p>
    <w:p w14:paraId="37B1150C" w14:textId="77777777" w:rsidR="00C51312" w:rsidRDefault="00C51312" w:rsidP="00C51312">
      <w:pPr>
        <w:pStyle w:val="FirstParagraph"/>
      </w:pPr>
      <w:r>
        <w:t>The dose contribution at receptor r is calculated by integrating the airborne concentration over time and applying group dose conversion factors. For group g,</w:t>
      </w:r>
    </w:p>
    <w:p w14:paraId="1F815045"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m:t>
                  </m:r>
                  <m:r>
                    <w:rPr>
                      <w:rFonts w:ascii="Cambria Math" w:hAnsi="Cambria Math"/>
                    </w:rPr>
                    <m:t>r</m:t>
                  </m:r>
                </m:sub>
              </m:sSub>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 dt</m:t>
          </m:r>
          <m:r>
            <m:rPr>
              <m:sty m:val="p"/>
            </m:rPr>
            <w:rPr>
              <w:rFonts w:ascii="Cambria Math" w:hAnsi="Cambria Math"/>
            </w:rPr>
            <m:t>.</m:t>
          </m:r>
        </m:oMath>
      </m:oMathPara>
    </w:p>
    <w:p w14:paraId="3EF11D04" w14:textId="77777777" w:rsidR="00C51312" w:rsidRDefault="00C51312" w:rsidP="00C51312">
      <w:pPr>
        <w:pStyle w:val="FirstParagraph"/>
      </w:pPr>
      <w:r>
        <w:t>Substituting Eq. 11.19 gives</w:t>
      </w:r>
    </w:p>
    <w:p w14:paraId="42F2F3E6"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r>
            <m:rPr>
              <m:sty m:val="p"/>
            </m:rPr>
            <w:rPr>
              <w:rFonts w:ascii="Cambria Math" w:hAnsi="Cambria Math"/>
            </w:rPr>
            <m:t>=</m:t>
          </m:r>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7D83A966" w14:textId="77777777" w:rsidR="00C51312" w:rsidRDefault="00C51312" w:rsidP="00C51312">
      <w:pPr>
        <w:pStyle w:val="FirstParagraph"/>
      </w:pPr>
      <w:r>
        <w:t>The total dose at receptor r is the sum over all radionuclide groups:</w:t>
      </w:r>
    </w:p>
    <w:p w14:paraId="3F06AF02"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r</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r>
                    <w:rPr>
                      <w:rFonts w:ascii="Cambria Math" w:hAnsi="Cambria Math"/>
                    </w:rPr>
                    <m:t>D</m:t>
                  </m:r>
                </m:e>
                <m:sub>
                  <m:r>
                    <w:rPr>
                      <w:rFonts w:ascii="Cambria Math" w:hAnsi="Cambria Math"/>
                    </w:rPr>
                    <m:t>g</m:t>
                  </m:r>
                  <m:r>
                    <m:rPr>
                      <m:sty m:val="p"/>
                    </m:rPr>
                    <w:rPr>
                      <w:rFonts w:ascii="Cambria Math" w:hAnsi="Cambria Math"/>
                    </w:rPr>
                    <m:t>,</m:t>
                  </m:r>
                  <m:r>
                    <w:rPr>
                      <w:rFonts w:ascii="Cambria Math" w:hAnsi="Cambria Math"/>
                    </w:rPr>
                    <m:t>r</m:t>
                  </m:r>
                </m:sub>
              </m:sSub>
            </m:e>
          </m:nary>
          <m:r>
            <m:rPr>
              <m:sty m:val="p"/>
            </m:rPr>
            <w:rPr>
              <w:rFonts w:ascii="Cambria Math" w:hAnsi="Cambria Math"/>
            </w:rPr>
            <m:t>.</m:t>
          </m:r>
        </m:oMath>
      </m:oMathPara>
    </w:p>
    <w:p w14:paraId="7E74AA6D" w14:textId="77777777" w:rsidR="00C51312" w:rsidRDefault="00C51312" w:rsidP="00C51312">
      <w:pPr>
        <w:pStyle w:val="FirstParagraph"/>
      </w:pPr>
      <w:r>
        <w:t>When the reported quantity is total effective dose equivalent, the dose conversion factor is interpreted as a group-effective TEDE conversion factor. If thyroid dose or organ-specific dose is desired, the same structure can be used with the appropriate organ-specific conversion factor:</w:t>
      </w:r>
    </w:p>
    <w:p w14:paraId="5CBB1B78"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d>
                <m:dPr>
                  <m:ctrlPr>
                    <w:rPr>
                      <w:rFonts w:ascii="Cambria Math" w:hAnsi="Cambria Math"/>
                    </w:rPr>
                  </m:ctrlPr>
                </m:dPr>
                <m:e>
                  <m:r>
                    <w:rPr>
                      <w:rFonts w:ascii="Cambria Math" w:hAnsi="Cambria Math"/>
                    </w:rPr>
                    <m:t>o</m:t>
                  </m:r>
                </m:e>
              </m:d>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Sup>
            <m:sSubSupPr>
              <m:ctrlPr>
                <w:rPr>
                  <w:rFonts w:ascii="Cambria Math" w:hAnsi="Cambria Math"/>
                </w:rPr>
              </m:ctrlPr>
            </m:sSubSup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up>
              <m:d>
                <m:dPr>
                  <m:ctrlPr>
                    <w:rPr>
                      <w:rFonts w:ascii="Cambria Math" w:hAnsi="Cambria Math"/>
                    </w:rPr>
                  </m:ctrlPr>
                </m:dPr>
                <m:e>
                  <m:r>
                    <w:rPr>
                      <w:rFonts w:ascii="Cambria Math" w:hAnsi="Cambria Math"/>
                    </w:rPr>
                    <m:t>o</m:t>
                  </m:r>
                </m:e>
              </m:d>
            </m:sup>
          </m:sSubSup>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1119BED0" w14:textId="77777777" w:rsidR="00C51312" w:rsidRDefault="00C51312" w:rsidP="00C51312">
      <w:pPr>
        <w:pStyle w:val="FirstParagraph"/>
      </w:pPr>
      <w:r>
        <w:t>where o denotes the organ or dose endpoint.</w:t>
      </w:r>
    </w:p>
    <w:p w14:paraId="23B9DA7A" w14:textId="77777777" w:rsidR="00C51312" w:rsidRDefault="00C51312" w:rsidP="00C51312">
      <w:pPr>
        <w:pStyle w:val="Heading2"/>
      </w:pPr>
      <w:bookmarkStart w:id="85" w:name="_Toc231232930"/>
      <w:r>
        <w:t>9.11 Control-Room Dose Approximation</w:t>
      </w:r>
      <w:bookmarkEnd w:id="85"/>
    </w:p>
    <w:p w14:paraId="2BFF348B" w14:textId="77777777" w:rsidR="00C51312" w:rsidRDefault="00C51312" w:rsidP="00C51312">
      <w:pPr>
        <w:pStyle w:val="FirstParagraph"/>
      </w:pPr>
      <w:r>
        <w:t>Control-room dose is treated as a receptor-specific variant of the same concentration-to-dose calculation. The simplest option applies a control-room dispersion factor and occupancy factor directly:</w:t>
      </w:r>
    </w:p>
    <w:p w14:paraId="788F7124"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m:rPr>
                      <m:sty m:val="p"/>
                    </m:rPr>
                    <w:rPr>
                      <w:rFonts w:ascii="Cambria Math" w:hAnsi="Cambria Math"/>
                    </w:rPr>
                    <m:t>CR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nary>
            <m:naryPr>
              <m:limLoc m:val="subSup"/>
              <m:ctrlPr>
                <w:rPr>
                  <w:rFonts w:ascii="Cambria Math" w:hAnsi="Cambria Math"/>
                </w:rPr>
              </m:ctrlPr>
            </m:naryPr>
            <m:sub>
              <m:r>
                <w:rPr>
                  <w:rFonts w:ascii="Cambria Math" w:hAnsi="Cambria Math"/>
                </w:rPr>
                <m:t>0</m:t>
              </m:r>
            </m:sub>
            <m:sup>
              <m:r>
                <w:rPr>
                  <w:rFonts w:ascii="Cambria Math" w:hAnsi="Cambria Math"/>
                </w:rPr>
                <m:t>T</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g</m:t>
                  </m:r>
                </m:sub>
                <m:sup>
                  <m:r>
                    <m:rPr>
                      <m:sty m:val="p"/>
                    </m:rPr>
                    <w:rPr>
                      <w:rFonts w:ascii="Cambria Math" w:hAnsi="Cambria Math"/>
                    </w:rPr>
                    <m:t>env</m:t>
                  </m:r>
                </m:sup>
              </m:sSubSup>
            </m:e>
          </m:nary>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1F45835" w14:textId="77777777" w:rsidR="00C51312" w:rsidRDefault="00C51312" w:rsidP="00C51312">
      <w:pPr>
        <w:pStyle w:val="FirstParagraph"/>
      </w:pPr>
      <w:r>
        <w:t>where OF with subscript CR is the control-room occupancy factor. A more detailed but still reduced-order treatment represents the control-room atmosphere as a first-order intake and cleanup volume:</w:t>
      </w:r>
    </w:p>
    <w:p w14:paraId="05E8B2EA" w14:textId="77777777" w:rsidR="00C51312" w:rsidRDefault="00000000" w:rsidP="00C51312">
      <w:pPr>
        <w:pStyle w:val="BodyText"/>
      </w:pPr>
      <m:oMathPara>
        <m:oMathParaPr>
          <m:jc m:val="center"/>
        </m:oMathParaPr>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,CR</m:t>
                  </m:r>
                </m:sub>
              </m:sSub>
            </m:num>
            <m:den>
              <m:r>
                <w:rPr>
                  <w:rFonts w:ascii="Cambria Math" w:hAnsi="Cambria Math"/>
                </w:rPr>
                <m:t>dt</m:t>
              </m:r>
            </m:den>
          </m:f>
          <m:r>
            <m:rPr>
              <m:sty m:val="p"/>
            </m:rPr>
            <w:rPr>
              <w:rFonts w:ascii="Cambria Math" w:hAnsi="Cambria Math"/>
            </w:rPr>
            <m:t>=</m:t>
          </m:r>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in</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CR</m:t>
                  </m:r>
                </m:sub>
              </m:sSub>
            </m:den>
          </m:f>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,out</m:t>
              </m:r>
            </m:sub>
          </m:sSub>
          <m:d>
            <m:dPr>
              <m:ctrlPr>
                <w:rPr>
                  <w:rFonts w:ascii="Cambria Math" w:hAnsi="Cambria Math"/>
                </w:rPr>
              </m:ctrlPr>
            </m:dPr>
            <m:e>
              <m:r>
                <w:rPr>
                  <w:rFonts w:ascii="Cambria Math" w:hAnsi="Cambria Math"/>
                </w:rPr>
                <m:t>t</m:t>
              </m:r>
            </m:e>
          </m:d>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acc>
                        <m:accPr>
                          <m:chr m:val="̇"/>
                          <m:ctrlPr>
                            <w:rPr>
                              <w:rFonts w:ascii="Cambria Math" w:hAnsi="Cambria Math"/>
                            </w:rPr>
                          </m:ctrlPr>
                        </m:accPr>
                        <m:e>
                          <m:r>
                            <w:rPr>
                              <w:rFonts w:ascii="Cambria Math" w:hAnsi="Cambria Math"/>
                            </w:rPr>
                            <m:t>V</m:t>
                          </m:r>
                        </m:e>
                      </m:acc>
                    </m:e>
                    <m:sub>
                      <m:r>
                        <m:rPr>
                          <m:sty m:val="p"/>
                        </m:rPr>
                        <w:rPr>
                          <w:rFonts w:ascii="Cambria Math" w:hAnsi="Cambria Math"/>
                        </w:rPr>
                        <m:t>out</m:t>
                      </m:r>
                    </m:sub>
                  </m:sSub>
                </m:num>
                <m:den>
                  <m:sSub>
                    <m:sSubPr>
                      <m:ctrlPr>
                        <w:rPr>
                          <w:rFonts w:ascii="Cambria Math" w:hAnsi="Cambria Math"/>
                        </w:rPr>
                      </m:ctrlPr>
                    </m:sSubPr>
                    <m:e>
                      <m:r>
                        <w:rPr>
                          <w:rFonts w:ascii="Cambria Math" w:hAnsi="Cambria Math"/>
                        </w:rPr>
                        <m:t>V</m:t>
                      </m:r>
                    </m:e>
                    <m:sub>
                      <m:r>
                        <m:rPr>
                          <m:sty m:val="p"/>
                        </m:rPr>
                        <w:rPr>
                          <w:rFonts w:ascii="Cambria Math" w:hAnsi="Cambria Math"/>
                        </w:rPr>
                        <m:t>CR</m:t>
                      </m:r>
                    </m:sub>
                  </m:sSub>
                </m:den>
              </m:f>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CR,filter</m:t>
                  </m:r>
                </m:sup>
              </m:sSubSup>
            </m:e>
          </m:d>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,CR</m:t>
              </m:r>
            </m:sub>
          </m:sSub>
          <m:d>
            <m:dPr>
              <m:ctrlPr>
                <w:rPr>
                  <w:rFonts w:ascii="Cambria Math" w:hAnsi="Cambria Math"/>
                </w:rPr>
              </m:ctrlPr>
            </m:dPr>
            <m:e>
              <m:r>
                <w:rPr>
                  <w:rFonts w:ascii="Cambria Math" w:hAnsi="Cambria Math"/>
                </w:rPr>
                <m:t>t</m:t>
              </m:r>
            </m:e>
          </m:d>
          <m:r>
            <m:rPr>
              <m:sty m:val="p"/>
            </m:rPr>
            <w:rPr>
              <w:rFonts w:ascii="Cambria Math" w:hAnsi="Cambria Math"/>
            </w:rPr>
            <m:t>.</m:t>
          </m:r>
        </m:oMath>
      </m:oMathPara>
    </w:p>
    <w:p w14:paraId="4B245D53" w14:textId="77777777" w:rsidR="00C51312" w:rsidRDefault="00C51312" w:rsidP="00C51312">
      <w:pPr>
        <w:pStyle w:val="FirstParagraph"/>
      </w:pPr>
      <w:r>
        <w:lastRenderedPageBreak/>
        <w:t>The corresponding control-room dose is</w:t>
      </w:r>
    </w:p>
    <w:p w14:paraId="4D1D1A55"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CR</m:t>
              </m:r>
            </m:sub>
          </m:sSub>
          <m:r>
            <m:rPr>
              <m:sty m:val="p"/>
            </m:rPr>
            <w:rPr>
              <w:rFonts w:ascii="Cambria Math" w:hAnsi="Cambria Math"/>
            </w:rPr>
            <m:t>=</m:t>
          </m:r>
          <m:r>
            <w:rPr>
              <w:rFonts w:ascii="Cambria Math" w:hAnsi="Cambria Math"/>
            </w:rPr>
            <m:t>O</m:t>
          </m:r>
          <m:sSub>
            <m:sSubPr>
              <m:ctrlPr>
                <w:rPr>
                  <w:rFonts w:ascii="Cambria Math" w:hAnsi="Cambria Math"/>
                </w:rPr>
              </m:ctrlPr>
            </m:sSubPr>
            <m:e>
              <m:r>
                <w:rPr>
                  <w:rFonts w:ascii="Cambria Math" w:hAnsi="Cambria Math"/>
                </w:rPr>
                <m:t>F</m:t>
              </m:r>
            </m:e>
            <m:sub>
              <m:r>
                <m:rPr>
                  <m:sty m:val="p"/>
                </m:rPr>
                <w:rPr>
                  <w:rFonts w:ascii="Cambria Math" w:hAnsi="Cambria Math"/>
                </w:rPr>
                <m:t>CR</m:t>
              </m:r>
            </m:sub>
          </m:sSub>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nary>
                <m:naryPr>
                  <m:limLoc m:val="subSup"/>
                  <m:ctrlPr>
                    <w:rPr>
                      <w:rFonts w:ascii="Cambria Math" w:hAnsi="Cambria Math"/>
                    </w:rPr>
                  </m:ctrlPr>
                </m:naryPr>
                <m:sub>
                  <m:r>
                    <w:rPr>
                      <w:rFonts w:ascii="Cambria Math" w:hAnsi="Cambria Math"/>
                    </w:rPr>
                    <m:t>0</m:t>
                  </m:r>
                </m:sub>
                <m:sup>
                  <m:r>
                    <w:rPr>
                      <w:rFonts w:ascii="Cambria Math" w:hAnsi="Cambria Math"/>
                    </w:rPr>
                    <m:t>T</m:t>
                  </m:r>
                </m:sup>
                <m:e>
                  <m:sSub>
                    <m:sSubPr>
                      <m:ctrlPr>
                        <w:rPr>
                          <w:rFonts w:ascii="Cambria Math" w:hAnsi="Cambria Math"/>
                        </w:rPr>
                      </m:ctrlPr>
                    </m:sSubPr>
                    <m:e>
                      <m:r>
                        <w:rPr>
                          <w:rFonts w:ascii="Cambria Math" w:hAnsi="Cambria Math"/>
                        </w:rPr>
                        <m:t>C</m:t>
                      </m:r>
                    </m:e>
                    <m:sub>
                      <m:r>
                        <w:rPr>
                          <w:rFonts w:ascii="Cambria Math" w:hAnsi="Cambria Math"/>
                        </w:rPr>
                        <m:t>g</m:t>
                      </m:r>
                      <m:r>
                        <m:rPr>
                          <m:sty m:val="p"/>
                        </m:rPr>
                        <w:rPr>
                          <w:rFonts w:ascii="Cambria Math" w:hAnsi="Cambria Math"/>
                        </w:rPr>
                        <m:t>,CR</m:t>
                      </m:r>
                    </m:sub>
                  </m:sSub>
                </m:e>
              </m:nary>
            </m:e>
          </m:nary>
          <m:d>
            <m:dPr>
              <m:ctrlPr>
                <w:rPr>
                  <w:rFonts w:ascii="Cambria Math" w:hAnsi="Cambria Math"/>
                </w:rPr>
              </m:ctrlPr>
            </m:dPr>
            <m:e>
              <m:r>
                <w:rPr>
                  <w:rFonts w:ascii="Cambria Math" w:hAnsi="Cambria Math"/>
                </w:rPr>
                <m:t>t</m:t>
              </m:r>
            </m:e>
          </m:d>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,CR</m:t>
              </m:r>
            </m:sub>
          </m:sSub>
          <m:r>
            <w:rPr>
              <w:rFonts w:ascii="Cambria Math" w:hAnsi="Cambria Math"/>
            </w:rPr>
            <m:t> dt</m:t>
          </m:r>
          <m:r>
            <m:rPr>
              <m:sty m:val="p"/>
            </m:rPr>
            <w:rPr>
              <w:rFonts w:ascii="Cambria Math" w:hAnsi="Cambria Math"/>
            </w:rPr>
            <m:t>.</m:t>
          </m:r>
        </m:oMath>
      </m:oMathPara>
    </w:p>
    <w:p w14:paraId="70881F45" w14:textId="77777777" w:rsidR="00C51312" w:rsidRDefault="00C51312" w:rsidP="00C51312">
      <w:pPr>
        <w:pStyle w:val="FirstParagraph"/>
      </w:pPr>
      <w:r>
        <w:t>This representation captures the first-order effects of intake, dilution, filtration, and occupancy but does not replace a detailed control-room habitability analysis.</w:t>
      </w:r>
    </w:p>
    <w:p w14:paraId="31248597" w14:textId="77777777" w:rsidR="00C51312" w:rsidRDefault="00C51312" w:rsidP="00C51312">
      <w:pPr>
        <w:pStyle w:val="Heading2"/>
      </w:pPr>
      <w:bookmarkStart w:id="86" w:name="_Toc231232931"/>
      <w:r>
        <w:t>9.12 Iodine Spike and Coolant-Activity Contributions</w:t>
      </w:r>
      <w:bookmarkEnd w:id="86"/>
    </w:p>
    <w:p w14:paraId="6125BE81" w14:textId="77777777" w:rsidR="00C51312" w:rsidRDefault="00C51312" w:rsidP="00C51312">
      <w:pPr>
        <w:pStyle w:val="FirstParagraph"/>
      </w:pPr>
      <w:r>
        <w:t>For non-LOCA events and some intact-fuel design-basis accidents, the dominant radiological contribution may come from coolant activity or an assumed iodine spike rather than from failed fuel. NOTBADTRAD allows these contributions to be calculated separately and added to the accident source-term dose.</w:t>
      </w:r>
    </w:p>
    <w:p w14:paraId="000A541A" w14:textId="77777777" w:rsidR="00C51312" w:rsidRDefault="00C51312" w:rsidP="00C51312">
      <w:pPr>
        <w:pStyle w:val="BodyText"/>
      </w:pPr>
      <w:r>
        <w:t>The iodine-spike source is represented as an equivalent released iodine inventory:</w:t>
      </w:r>
    </w:p>
    <w:p w14:paraId="274918E0"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I</m:t>
              </m:r>
            </m:e>
            <m:sub>
              <m:r>
                <w:rPr>
                  <w:rFonts w:ascii="Cambria Math" w:hAnsi="Cambria Math"/>
                </w:rPr>
                <m:t>I</m:t>
              </m:r>
            </m:sub>
            <m:sup>
              <m:r>
                <m:rPr>
                  <m:sty m:val="p"/>
                </m:rPr>
                <w:rPr>
                  <w:rFonts w:ascii="Cambria Math" w:hAnsi="Cambria Math"/>
                </w:rPr>
                <m:t>spike</m:t>
              </m:r>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spike</m:t>
              </m:r>
            </m:sup>
          </m:sSubSup>
          <m:sSub>
            <m:sSubPr>
              <m:ctrlPr>
                <w:rPr>
                  <w:rFonts w:ascii="Cambria Math" w:hAnsi="Cambria Math"/>
                </w:rPr>
              </m:ctrlPr>
            </m:sSubPr>
            <m:e>
              <m:r>
                <w:rPr>
                  <w:rFonts w:ascii="Cambria Math" w:hAnsi="Cambria Math"/>
                </w:rPr>
                <m:t>M</m:t>
              </m:r>
            </m:e>
            <m:sub>
              <m:r>
                <m:rPr>
                  <m:sty m:val="p"/>
                </m:rPr>
                <w:rPr>
                  <w:rFonts w:ascii="Cambria Math" w:hAnsi="Cambria Math"/>
                </w:rPr>
                <m:t>coolant</m:t>
              </m:r>
            </m:sub>
          </m:sSub>
          <m:sSubSup>
            <m:sSubSupPr>
              <m:ctrlPr>
                <w:rPr>
                  <w:rFonts w:ascii="Cambria Math" w:hAnsi="Cambria Math"/>
                </w:rPr>
              </m:ctrlPr>
            </m:sSubSupPr>
            <m:e>
              <m:r>
                <w:rPr>
                  <w:rFonts w:ascii="Cambria Math" w:hAnsi="Cambria Math"/>
                </w:rPr>
                <m:t>f</m:t>
              </m:r>
            </m:e>
            <m:sub>
              <m:r>
                <m:rPr>
                  <m:sty m:val="p"/>
                </m:rPr>
                <w:rPr>
                  <w:rFonts w:ascii="Cambria Math" w:hAnsi="Cambria Math"/>
                </w:rPr>
                <m:t>release</m:t>
              </m:r>
            </m:sub>
            <m:sup>
              <m:r>
                <m:rPr>
                  <m:sty m:val="p"/>
                </m:rPr>
                <w:rPr>
                  <w:rFonts w:ascii="Cambria Math" w:hAnsi="Cambria Math"/>
                </w:rPr>
                <m:t>coolant</m:t>
              </m:r>
            </m:sup>
          </m:sSubSup>
          <m:r>
            <m:rPr>
              <m:sty m:val="p"/>
            </m:rPr>
            <w:rPr>
              <w:rFonts w:ascii="Cambria Math" w:hAnsi="Cambria Math"/>
            </w:rPr>
            <m:t>.</m:t>
          </m:r>
        </m:oMath>
      </m:oMathPara>
    </w:p>
    <w:p w14:paraId="3A4C2264" w14:textId="77777777" w:rsidR="00C51312" w:rsidRDefault="00C51312" w:rsidP="00C51312">
      <w:pPr>
        <w:pStyle w:val="FirstParagraph"/>
      </w:pPr>
      <w:r>
        <w:t>where C with subscript I is the assumed iodine activity concentration in coolant, M with subscript coolant is the relevant coolant mass, and f with superscript coolant is the fraction of that coolant activity released to the modeled pathway.</w:t>
      </w:r>
    </w:p>
    <w:p w14:paraId="15D035B7" w14:textId="77777777" w:rsidR="00C51312" w:rsidRDefault="00C51312" w:rsidP="00C51312">
      <w:pPr>
        <w:pStyle w:val="BodyText"/>
      </w:pPr>
      <w:r>
        <w:t>For frequency-consequence plotting in the FLARE Risk Tool, the consequence ordinate is based on the sum of accident source-term dose and iodine-spike dose:</w:t>
      </w:r>
    </w:p>
    <w:p w14:paraId="6FA969B8"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D</m:t>
              </m:r>
            </m:e>
            <m:sub>
              <m:r>
                <m:rPr>
                  <m:sty m:val="p"/>
                </m:rPr>
                <w:rPr>
                  <w:rFonts w:ascii="Cambria Math" w:hAnsi="Cambria Math"/>
                </w:rPr>
                <m:t>total,</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accident,</m:t>
              </m:r>
              <m:r>
                <w:rPr>
                  <w:rFonts w:ascii="Cambria Math" w:hAnsi="Cambria Math"/>
                </w:rPr>
                <m:t>r</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iodine spike,</m:t>
              </m:r>
              <m:r>
                <w:rPr>
                  <w:rFonts w:ascii="Cambria Math" w:hAnsi="Cambria Math"/>
                </w:rPr>
                <m:t>r</m:t>
              </m:r>
            </m:sub>
          </m:sSub>
          <m:r>
            <m:rPr>
              <m:sty m:val="p"/>
            </m:rPr>
            <w:rPr>
              <w:rFonts w:ascii="Cambria Math" w:hAnsi="Cambria Math"/>
            </w:rPr>
            <m:t>.</m:t>
          </m:r>
        </m:oMath>
      </m:oMathPara>
    </w:p>
    <w:p w14:paraId="5149B98B" w14:textId="77777777" w:rsidR="00C51312" w:rsidRDefault="00C51312" w:rsidP="00C51312">
      <w:pPr>
        <w:pStyle w:val="FirstParagraph"/>
      </w:pPr>
      <w:r>
        <w:t>This separation is useful because iodine-spike assumptions are often regulatory constructs rather than direct consequences of high-temperature fuel damage.</w:t>
      </w:r>
    </w:p>
    <w:p w14:paraId="145FF386" w14:textId="77777777" w:rsidR="00C51312" w:rsidRDefault="00C51312" w:rsidP="00C51312">
      <w:pPr>
        <w:pStyle w:val="Heading2"/>
      </w:pPr>
      <w:bookmarkStart w:id="87" w:name="_Toc231232932"/>
      <w:r>
        <w:t>9.13 Numerical Integration</w:t>
      </w:r>
      <w:bookmarkEnd w:id="87"/>
    </w:p>
    <w:p w14:paraId="400E0FFB" w14:textId="77777777" w:rsidR="00C51312" w:rsidRDefault="00C51312" w:rsidP="00C51312">
      <w:pPr>
        <w:pStyle w:val="FirstParagraph"/>
      </w:pPr>
      <w:r>
        <w:t>NOTBADTRAD is advanced on the same or a compatible time grid as the FLARE output. For a time step from t_n to t_{n+1}, with time step Delta t_n, the airborne activity equation may be integrated explicitly as</w:t>
      </w:r>
    </w:p>
    <w:p w14:paraId="7687E1C7"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d>
            <m:dPr>
              <m:begChr m:val="["/>
              <m:endChr m:val="]"/>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e>
          </m:d>
          <m:r>
            <m:rPr>
              <m:sty m:val="p"/>
            </m:rPr>
            <w:rPr>
              <w:rFonts w:ascii="Cambria Math" w:hAnsi="Cambria Math"/>
            </w:rPr>
            <m:t>.</m:t>
          </m:r>
        </m:oMath>
      </m:oMathPara>
    </w:p>
    <w:p w14:paraId="55ED8814" w14:textId="77777777" w:rsidR="00C51312" w:rsidRDefault="00C51312" w:rsidP="00C51312">
      <w:pPr>
        <w:pStyle w:val="FirstParagraph"/>
      </w:pPr>
      <w:r>
        <w:t>where</w:t>
      </w:r>
    </w:p>
    <w:p w14:paraId="148A399D"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decay,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dep,</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spray,</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filter,</m:t>
              </m:r>
              <m:r>
                <w:rPr>
                  <w:rFonts w:ascii="Cambria Math" w:hAnsi="Cambria Math"/>
                </w:rPr>
                <m:t>n</m:t>
              </m:r>
            </m:sup>
          </m:sSubSup>
          <m:r>
            <m:rPr>
              <m:sty m:val="p"/>
            </m:rPr>
            <w:rPr>
              <w:rFonts w:ascii="Cambria Math" w:hAnsi="Cambria Math"/>
            </w:rPr>
            <m:t>.</m:t>
          </m:r>
        </m:oMath>
      </m:oMathPara>
    </w:p>
    <w:p w14:paraId="15D1076A" w14:textId="77777777" w:rsidR="00C51312" w:rsidRDefault="00C51312" w:rsidP="00C51312">
      <w:pPr>
        <w:pStyle w:val="FirstParagraph"/>
      </w:pPr>
      <w:r>
        <w:t>For larger removal constants or longer time steps, an exponential update is preferred:</w:t>
      </w:r>
    </w:p>
    <w:p w14:paraId="0F163D03"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r>
            <m:rPr>
              <m:sty m:val="p"/>
            </m:rPr>
            <w:rPr>
              <w:rFonts w:ascii="Cambria Math" w:hAnsi="Cambria Math"/>
            </w:rPr>
            <m:t>+</m:t>
          </m:r>
          <m:f>
            <m:fPr>
              <m:ctrlPr>
                <w:rPr>
                  <w:rFonts w:ascii="Cambria Math" w:hAnsi="Cambria Math"/>
                </w:rPr>
              </m:ctrlPr>
            </m:fPr>
            <m:num>
              <m:sSubSup>
                <m:sSubSupPr>
                  <m:ctrlPr>
                    <w:rPr>
                      <w:rFonts w:ascii="Cambria Math" w:hAnsi="Cambria Math"/>
                    </w:rPr>
                  </m:ctrlPr>
                </m:sSubSupPr>
                <m:e>
                  <m:acc>
                    <m:accPr>
                      <m:chr m:val="̇"/>
                      <m:ctrlPr>
                        <w:rPr>
                          <w:rFonts w:ascii="Cambria Math" w:hAnsi="Cambria Math"/>
                        </w:rPr>
                      </m:ctrlPr>
                    </m:accPr>
                    <m:e>
                      <m:r>
                        <w:rPr>
                          <w:rFonts w:ascii="Cambria Math" w:hAnsi="Cambria Math"/>
                        </w:rPr>
                        <m:t>S</m:t>
                      </m:r>
                    </m:e>
                  </m:acc>
                </m:e>
                <m:sub>
                  <m:r>
                    <w:rPr>
                      <w:rFonts w:ascii="Cambria Math" w:hAnsi="Cambria Math"/>
                    </w:rPr>
                    <m:t>g</m:t>
                  </m:r>
                </m:sub>
                <m:sup>
                  <m:r>
                    <w:rPr>
                      <w:rFonts w:ascii="Cambria Math" w:hAnsi="Cambria Math"/>
                    </w:rPr>
                    <m:t>n</m:t>
                  </m:r>
                </m:sup>
              </m:sSubSup>
            </m:num>
            <m:den>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den>
          </m:f>
          <m:d>
            <m:dPr>
              <m:ctrlPr>
                <w:rPr>
                  <w:rFonts w:ascii="Cambria Math" w:hAnsi="Cambria Math"/>
                </w:rPr>
              </m:ctrlPr>
            </m:dPr>
            <m:e>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sup>
              </m:sSup>
            </m:e>
          </m:d>
          <m:r>
            <m:rPr>
              <m:sty m:val="p"/>
            </m:rPr>
            <w:rPr>
              <w:rFonts w:ascii="Cambria Math" w:hAnsi="Cambria Math"/>
            </w:rPr>
            <m:t>.</m:t>
          </m:r>
        </m:oMath>
      </m:oMathPara>
    </w:p>
    <w:p w14:paraId="632F44D9" w14:textId="77777777" w:rsidR="00C51312" w:rsidRDefault="00C51312" w:rsidP="00C51312">
      <w:pPr>
        <w:pStyle w:val="FirstParagraph"/>
      </w:pPr>
      <w:r>
        <w:t>The integrated environmental release over the time step is</w:t>
      </w:r>
    </w:p>
    <w:p w14:paraId="277131D8"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r>
                    <m:rPr>
                      <m:sty m:val="p"/>
                    </m:rPr>
                    <w:rPr>
                      <w:rFonts w:ascii="Cambria Math" w:hAnsi="Cambria Math"/>
                    </w:rPr>
                    <m:t>+</m:t>
                  </m:r>
                  <m:r>
                    <w:rPr>
                      <w:rFonts w:ascii="Cambria Math" w:hAnsi="Cambria Math"/>
                    </w:rPr>
                    <m:t>1</m:t>
                  </m:r>
                </m:sub>
              </m:sSub>
            </m:sup>
            <m:e>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sup>
              </m:sSubSup>
            </m:e>
          </m:nary>
          <m:sSub>
            <m:sSubPr>
              <m:ctrlPr>
                <w:rPr>
                  <w:rFonts w:ascii="Cambria Math" w:hAnsi="Cambria Math"/>
                </w:rPr>
              </m:ctrlPr>
            </m:sSubPr>
            <m:e>
              <m:r>
                <w:rPr>
                  <w:rFonts w:ascii="Cambria Math" w:hAnsi="Cambria Math"/>
                </w:rPr>
                <m:t>A</m:t>
              </m:r>
            </m:e>
            <m:sub>
              <m:r>
                <w:rPr>
                  <w:rFonts w:ascii="Cambria Math" w:hAnsi="Cambria Math"/>
                </w:rPr>
                <m:t>g</m:t>
              </m:r>
            </m:sub>
          </m:sSub>
          <m:d>
            <m:dPr>
              <m:ctrlPr>
                <w:rPr>
                  <w:rFonts w:ascii="Cambria Math" w:hAnsi="Cambria Math"/>
                </w:rPr>
              </m:ctrlPr>
            </m:dPr>
            <m:e>
              <m:r>
                <w:rPr>
                  <w:rFonts w:ascii="Cambria Math" w:hAnsi="Cambria Math"/>
                </w:rPr>
                <m:t>t</m:t>
              </m:r>
            </m:e>
          </m:d>
          <m:r>
            <w:rPr>
              <w:rFonts w:ascii="Cambria Math" w:hAnsi="Cambria Math"/>
            </w:rPr>
            <m:t> dt</m:t>
          </m:r>
          <m:r>
            <m:rPr>
              <m:sty m:val="p"/>
            </m:rPr>
            <w:rPr>
              <w:rFonts w:ascii="Cambria Math" w:hAnsi="Cambria Math"/>
            </w:rPr>
            <m:t>.</m:t>
          </m:r>
        </m:oMath>
      </m:oMathPara>
    </w:p>
    <w:p w14:paraId="3C91EC5B" w14:textId="77777777" w:rsidR="00C51312" w:rsidRDefault="00C51312" w:rsidP="00C51312">
      <w:pPr>
        <w:pStyle w:val="FirstParagraph"/>
      </w:pPr>
      <w:r>
        <w:t>In the explicit approximation,</w:t>
      </w:r>
    </w:p>
    <w:p w14:paraId="45254470" w14:textId="77777777" w:rsidR="00C51312" w:rsidRDefault="00C51312" w:rsidP="00C51312">
      <w:pPr>
        <w:pStyle w:val="BodyText"/>
      </w:pPr>
      <m:oMathPara>
        <m:oMathParaPr>
          <m:jc m:val="center"/>
        </m:oMathParaPr>
        <m:oMath>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sSubSup>
            <m:sSubSupPr>
              <m:ctrlPr>
                <w:rPr>
                  <w:rFonts w:ascii="Cambria Math" w:hAnsi="Cambria Math"/>
                </w:rPr>
              </m:ctrlPr>
            </m:sSubSupPr>
            <m:e>
              <m:r>
                <w:rPr>
                  <w:rFonts w:ascii="Cambria Math" w:hAnsi="Cambria Math"/>
                </w:rPr>
                <m:t>λ</m:t>
              </m:r>
            </m:e>
            <m:sub>
              <m:r>
                <w:rPr>
                  <w:rFonts w:ascii="Cambria Math" w:hAnsi="Cambria Math"/>
                </w:rPr>
                <m:t>g</m:t>
              </m:r>
            </m:sub>
            <m:sup>
              <m:r>
                <m:rPr>
                  <m:sty m:val="p"/>
                </m:rPr>
                <w:rPr>
                  <w:rFonts w:ascii="Cambria Math" w:hAnsi="Cambria Math"/>
                </w:rPr>
                <m:t>leak,</m:t>
              </m:r>
              <m:r>
                <w:rPr>
                  <w:rFonts w:ascii="Cambria Math" w:hAnsi="Cambria Math"/>
                </w:rPr>
                <m:t>n</m:t>
              </m:r>
            </m:sup>
          </m:sSubSup>
          <m:sSubSup>
            <m:sSubSupPr>
              <m:ctrlPr>
                <w:rPr>
                  <w:rFonts w:ascii="Cambria Math" w:hAnsi="Cambria Math"/>
                </w:rPr>
              </m:ctrlPr>
            </m:sSubSupPr>
            <m:e>
              <m:r>
                <w:rPr>
                  <w:rFonts w:ascii="Cambria Math" w:hAnsi="Cambria Math"/>
                </w:rPr>
                <m:t>A</m:t>
              </m:r>
            </m:e>
            <m:sub>
              <m:r>
                <w:rPr>
                  <w:rFonts w:ascii="Cambria Math" w:hAnsi="Cambria Math"/>
                </w:rPr>
                <m:t>g</m:t>
              </m:r>
            </m:sub>
            <m:sup>
              <m:r>
                <w:rPr>
                  <w:rFonts w:ascii="Cambria Math" w:hAnsi="Cambria Math"/>
                </w:rPr>
                <m:t>n</m:t>
              </m:r>
            </m:sup>
          </m:sSubSup>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oMath>
      </m:oMathPara>
    </w:p>
    <w:p w14:paraId="41BF4D50" w14:textId="77777777" w:rsidR="00C51312" w:rsidRDefault="00C51312" w:rsidP="00C51312">
      <w:pPr>
        <w:pStyle w:val="FirstParagraph"/>
      </w:pPr>
      <w:r>
        <w:t>The accumulated receptor dose is then</w:t>
      </w:r>
    </w:p>
    <w:p w14:paraId="6305BA9F" w14:textId="77777777" w:rsidR="00C51312" w:rsidRDefault="00000000" w:rsidP="00C51312">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r>
                <m:rPr>
                  <m:sty m:val="p"/>
                </m:rPr>
                <w:rPr>
                  <w:rFonts w:ascii="Cambria Math" w:hAnsi="Cambria Math"/>
                </w:rPr>
                <m:t>+</m:t>
              </m:r>
              <m:r>
                <w:rPr>
                  <w:rFonts w:ascii="Cambria Math" w:hAnsi="Cambria Math"/>
                </w:rPr>
                <m:t>1</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r</m:t>
              </m:r>
            </m:sub>
            <m:sup>
              <m:r>
                <w:rPr>
                  <w:rFonts w:ascii="Cambria Math" w:hAnsi="Cambria Math"/>
                </w:rPr>
                <m:t>n</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g</m:t>
              </m:r>
            </m:sub>
            <m:sup>
              <m:r>
                <w:rPr>
                  <w:rFonts w:ascii="Cambria Math" w:hAnsi="Cambria Math"/>
                </w:rPr>
                <m:t>​</m:t>
              </m:r>
            </m:sup>
            <m:e>
              <m:sSub>
                <m:sSubPr>
                  <m:ctrlPr>
                    <w:rPr>
                      <w:rFonts w:ascii="Cambria Math" w:hAnsi="Cambria Math"/>
                    </w:rPr>
                  </m:ctrlPr>
                </m:sSubPr>
                <m:e>
                  <m:d>
                    <m:dPr>
                      <m:ctrlPr>
                        <w:rPr>
                          <w:rFonts w:ascii="Cambria Math" w:hAnsi="Cambria Math"/>
                        </w:rPr>
                      </m:ctrlPr>
                    </m:dPr>
                    <m:e>
                      <m:f>
                        <m:fPr>
                          <m:ctrlPr>
                            <w:rPr>
                              <w:rFonts w:ascii="Cambria Math" w:hAnsi="Cambria Math"/>
                            </w:rPr>
                          </m:ctrlPr>
                        </m:fPr>
                        <m:num>
                          <m:r>
                            <w:rPr>
                              <w:rFonts w:ascii="Cambria Math" w:hAnsi="Cambria Math"/>
                            </w:rPr>
                            <m:t>χ</m:t>
                          </m:r>
                        </m:num>
                        <m:den>
                          <m:r>
                            <w:rPr>
                              <w:rFonts w:ascii="Cambria Math" w:hAnsi="Cambria Math"/>
                            </w:rPr>
                            <m:t>Q</m:t>
                          </m:r>
                        </m:den>
                      </m:f>
                    </m:e>
                  </m:d>
                </m:e>
                <m:sub>
                  <m:r>
                    <w:rPr>
                      <w:rFonts w:ascii="Cambria Math" w:hAnsi="Cambria Math"/>
                    </w:rPr>
                    <m:t>r</m:t>
                  </m:r>
                </m:sub>
              </m:sSub>
            </m:e>
          </m:nary>
          <m:r>
            <w:rPr>
              <w:rFonts w:ascii="Cambria Math" w:hAnsi="Cambria Math"/>
            </w:rPr>
            <m:t>DC</m:t>
          </m:r>
          <m:sSub>
            <m:sSubPr>
              <m:ctrlPr>
                <w:rPr>
                  <w:rFonts w:ascii="Cambria Math" w:hAnsi="Cambria Math"/>
                </w:rPr>
              </m:ctrlPr>
            </m:sSubPr>
            <m:e>
              <m:r>
                <w:rPr>
                  <w:rFonts w:ascii="Cambria Math" w:hAnsi="Cambria Math"/>
                </w:rPr>
                <m:t>F</m:t>
              </m:r>
            </m:e>
            <m:sub>
              <m:r>
                <w:rPr>
                  <w:rFonts w:ascii="Cambria Math" w:hAnsi="Cambria Math"/>
                </w:rPr>
                <m:t>g</m:t>
              </m:r>
              <m:r>
                <m:rPr>
                  <m:sty m:val="p"/>
                </m:rPr>
                <w:rPr>
                  <w:rFonts w:ascii="Cambria Math" w:hAnsi="Cambria Math"/>
                </w:rPr>
                <m:t>,</m:t>
              </m:r>
              <m:r>
                <w:rPr>
                  <w:rFonts w:ascii="Cambria Math" w:hAnsi="Cambria Math"/>
                </w:rPr>
                <m:t>r</m:t>
              </m:r>
            </m:sub>
          </m:sSub>
          <m: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g</m:t>
              </m:r>
            </m:sub>
            <m:sup>
              <m:r>
                <m:rPr>
                  <m:sty m:val="p"/>
                </m:rPr>
                <w:rPr>
                  <w:rFonts w:ascii="Cambria Math" w:hAnsi="Cambria Math"/>
                </w:rPr>
                <m:t>env,</m:t>
              </m:r>
              <m:r>
                <w:rPr>
                  <w:rFonts w:ascii="Cambria Math" w:hAnsi="Cambria Math"/>
                </w:rPr>
                <m:t>n</m:t>
              </m:r>
            </m:sup>
          </m:sSubSup>
          <m:r>
            <m:rPr>
              <m:sty m:val="p"/>
            </m:rPr>
            <w:rPr>
              <w:rFonts w:ascii="Cambria Math" w:hAnsi="Cambria Math"/>
            </w:rPr>
            <m:t>.</m:t>
          </m:r>
        </m:oMath>
      </m:oMathPara>
    </w:p>
    <w:p w14:paraId="6DD54751" w14:textId="77777777" w:rsidR="00C51312" w:rsidRDefault="00C51312" w:rsidP="00C51312">
      <w:pPr>
        <w:pStyle w:val="Heading2"/>
      </w:pPr>
      <w:bookmarkStart w:id="88" w:name="_Toc231232933"/>
      <w:r>
        <w:t>9.14 Output Quantities</w:t>
      </w:r>
      <w:bookmarkEnd w:id="88"/>
    </w:p>
    <w:p w14:paraId="2A1DDB4C" w14:textId="77777777" w:rsidR="00C51312" w:rsidRDefault="00C51312" w:rsidP="00C51312">
      <w:pPr>
        <w:pStyle w:val="FirstParagraph"/>
      </w:pPr>
      <w:r>
        <w:t>NOTBADTRAD reports group release and dose quantities suitable for FLARE event narratives, risk plotting, and report generation. Typical outputs include released inventory by group, airborne inventory by group, environmental release by group, EAB dose, LPZ dose, control-room dose, iodine-spike dose, total dose, and the dominant contributing radionuclide groups.</w:t>
      </w:r>
    </w:p>
    <w:p w14:paraId="5672C99A" w14:textId="77777777" w:rsidR="00C51312" w:rsidRDefault="00C51312" w:rsidP="00C51312">
      <w:pPr>
        <w:pStyle w:val="BodyText"/>
      </w:pPr>
      <w:r>
        <w:t>For the Risk Tool, the most important scalar is the total consequence at the selected receptor:</w:t>
      </w:r>
    </w:p>
    <w:p w14:paraId="0CACEE5E" w14:textId="77777777" w:rsidR="00C51312" w:rsidRDefault="00000000" w:rsidP="00C51312">
      <w:pPr>
        <w:pStyle w:val="BodyText"/>
      </w:pPr>
      <m:oMathPara>
        <m:oMathParaPr>
          <m:jc m:val="center"/>
        </m:oMathParaPr>
        <m:oMath>
          <m:sSub>
            <m:sSubPr>
              <m:ctrlPr>
                <w:rPr>
                  <w:rFonts w:ascii="Cambria Math" w:hAnsi="Cambria Math"/>
                </w:rPr>
              </m:ctrlPr>
            </m:sSubPr>
            <m:e>
              <m:r>
                <w:rPr>
                  <w:rFonts w:ascii="Cambria Math" w:hAnsi="Cambria Math"/>
                </w:rPr>
                <m:t>C</m:t>
              </m:r>
            </m:e>
            <m:sub>
              <m:r>
                <m:rPr>
                  <m:sty m:val="p"/>
                </m:rPr>
                <w:rPr>
                  <w:rFonts w:ascii="Cambria Math" w:hAnsi="Cambria Math"/>
                </w:rPr>
                <m:t>risk</m:t>
              </m:r>
            </m:sub>
          </m:sSub>
          <m:r>
            <m:rPr>
              <m:sty m:val="p"/>
            </m:rPr>
            <w:rPr>
              <w:rFonts w:ascii="Cambria Math" w:hAnsi="Cambria Math"/>
            </w:rPr>
            <m:t>=</m:t>
          </m:r>
          <m:sSub>
            <m:sSubPr>
              <m:ctrlPr>
                <w:rPr>
                  <w:rFonts w:ascii="Cambria Math" w:hAnsi="Cambria Math"/>
                </w:rPr>
              </m:ctrlPr>
            </m:sSubPr>
            <m:e>
              <m:r>
                <w:rPr>
                  <w:rFonts w:ascii="Cambria Math" w:hAnsi="Cambria Math"/>
                </w:rPr>
                <m:t>D</m:t>
              </m:r>
            </m:e>
            <m:sub>
              <m:r>
                <m:rPr>
                  <m:sty m:val="p"/>
                </m:rPr>
                <w:rPr>
                  <w:rFonts w:ascii="Cambria Math" w:hAnsi="Cambria Math"/>
                </w:rPr>
                <m:t>total,EAB</m:t>
              </m:r>
            </m:sub>
          </m:sSub>
          <m:r>
            <m:rPr>
              <m:sty m:val="p"/>
            </m:rPr>
            <w:rPr>
              <w:rFonts w:ascii="Cambria Math" w:hAnsi="Cambria Math"/>
            </w:rPr>
            <m:t>.</m:t>
          </m:r>
        </m:oMath>
      </m:oMathPara>
    </w:p>
    <w:p w14:paraId="61414252" w14:textId="77777777" w:rsidR="00C51312" w:rsidRDefault="00C51312" w:rsidP="00C51312">
      <w:pPr>
        <w:pStyle w:val="FirstParagraph"/>
      </w:pPr>
      <w:r>
        <w:t>where D with subscript total,EAB is normally expressed as TEDE. The same framework can be applied to LPZ or control-room consequences if those endpoints are selected for a particular study.</w:t>
      </w:r>
    </w:p>
    <w:p w14:paraId="1F9A2A25" w14:textId="77777777" w:rsidR="00C51312" w:rsidRDefault="00C51312" w:rsidP="00C51312">
      <w:pPr>
        <w:pStyle w:val="Heading2"/>
      </w:pPr>
      <w:bookmarkStart w:id="89" w:name="_Toc231232934"/>
      <w:r>
        <w:t>9.15 Principal Assumptions and Limitations</w:t>
      </w:r>
      <w:bookmarkEnd w:id="89"/>
    </w:p>
    <w:p w14:paraId="784F858F" w14:textId="77777777" w:rsidR="00C51312" w:rsidRDefault="00C51312" w:rsidP="00C51312">
      <w:pPr>
        <w:pStyle w:val="FirstParagraph"/>
      </w:pPr>
      <w:r>
        <w:t>NOTBADTRAD is based on the following principal assumptions.</w:t>
      </w:r>
    </w:p>
    <w:p w14:paraId="1DC3C107" w14:textId="77777777" w:rsidR="00C51312" w:rsidRDefault="00C51312" w:rsidP="00C51312">
      <w:pPr>
        <w:pStyle w:val="BodyText"/>
      </w:pPr>
      <w:r>
        <w:t>First, radionuclides are treated as group inventories rather than as individual isotopes. This makes the model fast and transparent but removes detailed isotope-specific decay, daughter ingrowth, and energy-spectrum treatment.</w:t>
      </w:r>
    </w:p>
    <w:p w14:paraId="79D0E99A" w14:textId="77777777" w:rsidR="00C51312" w:rsidRDefault="00C51312" w:rsidP="00C51312">
      <w:pPr>
        <w:pStyle w:val="BodyText"/>
      </w:pPr>
      <w:r>
        <w:t>Second, source-term release fractions are represented using compact group tables. The DBA table is aligned with RG 1.183 / NUREG-1465 alternate source term practice; the severe-event table is an original FLARE screening construct. The severe-event table should be used for event comparison and consequence screening, not as a substitute for an NRC-approved severe-accident source term.</w:t>
      </w:r>
    </w:p>
    <w:p w14:paraId="5E9EC4C3" w14:textId="77777777" w:rsidR="00C51312" w:rsidRDefault="00C51312" w:rsidP="00C51312">
      <w:pPr>
        <w:pStyle w:val="BodyText"/>
      </w:pPr>
      <w:r>
        <w:t>Third, transport is represented using one or a small number of well-mixed control volumes. Detailed compartment-to-compartment transport, pathway holdup, leakage sequencing, and engineered safety-feature logic are outside the default model scope.</w:t>
      </w:r>
    </w:p>
    <w:p w14:paraId="0BEF4496" w14:textId="77777777" w:rsidR="00C51312" w:rsidRDefault="00C51312" w:rsidP="00C51312">
      <w:pPr>
        <w:pStyle w:val="BodyText"/>
      </w:pPr>
      <w:r>
        <w:t>Fourth, removal mechanisms are represented by effective first-order constants. Aerosol deposition, spray removal, filtration, and plateout are not mechanistically resolved unless represented externally through selected effective parameters.</w:t>
      </w:r>
    </w:p>
    <w:p w14:paraId="7526D680" w14:textId="77777777" w:rsidR="00C51312" w:rsidRDefault="00C51312" w:rsidP="00C51312">
      <w:pPr>
        <w:pStyle w:val="BodyText"/>
      </w:pPr>
      <w:r>
        <w:t>Fifth, atmospheric dispersion is represented by receptor-specific chi-over-Q values or by a simple Gaussian plume approximation. Site-specific meteorology, terrain effects, building-wake effects, and time-varying meteorological conditions are not modeled internally.</w:t>
      </w:r>
    </w:p>
    <w:p w14:paraId="6DFFEC8D" w14:textId="77777777" w:rsidR="00C51312" w:rsidRDefault="00C51312" w:rsidP="00C51312">
      <w:pPr>
        <w:pStyle w:val="BodyText"/>
      </w:pPr>
      <w:r>
        <w:t>Sixth, dose conversion is performed at the group level. The resulting dose is appropriate for screening comparisons but should not be interpreted as a substitute for isotope-specific licensing dose calculations.</w:t>
      </w:r>
    </w:p>
    <w:p w14:paraId="0E22C766" w14:textId="77777777" w:rsidR="00C51312" w:rsidRDefault="00C51312" w:rsidP="00C51312">
      <w:pPr>
        <w:pStyle w:val="BodyText"/>
      </w:pPr>
      <w:r>
        <w:t>Finally, NOTBADTRAD is one-way coupled to the FLARE thermal-hydraulic and fuel-response calculations. The radiological release does not feed back into thermal-hydraulic behavior, containment pressure, operator actions, or equipment performance.</w:t>
      </w:r>
    </w:p>
    <w:p w14:paraId="6748565D" w14:textId="77777777" w:rsidR="00C51312" w:rsidRDefault="00C51312" w:rsidP="00C51312">
      <w:pPr>
        <w:pStyle w:val="BodyText"/>
      </w:pPr>
      <w:r>
        <w:t>These limitations are consistent with the purpose of the module. NOTBADTRAD provides a transparent consequence estimate that can be applied rapidly and consistently across many FLARE cases. For licensing applications, its results should be treated as screening information unless supported by a separate validation, benchmarking, and uncertainty basis appropriate to the regulatory decision being made.</w:t>
      </w:r>
    </w:p>
    <w:p w14:paraId="219006AD" w14:textId="77777777" w:rsidR="000F504F" w:rsidRDefault="00000000">
      <w:pPr>
        <w:pStyle w:val="Heading1"/>
      </w:pPr>
      <w:bookmarkStart w:id="90" w:name="_Toc231232935"/>
      <w:r>
        <w:lastRenderedPageBreak/>
        <w:t>Chapter 10 — Risk Assessment Tool Theory</w:t>
      </w:r>
      <w:bookmarkEnd w:id="90"/>
    </w:p>
    <w:p w14:paraId="2D5CE9C0" w14:textId="77777777" w:rsidR="000F504F" w:rsidRDefault="00000000">
      <w:pPr>
        <w:pStyle w:val="Heading2"/>
      </w:pPr>
      <w:bookmarkStart w:id="91" w:name="_Toc231232936"/>
      <w:r>
        <w:t>10.1 Purpose and Scope</w:t>
      </w:r>
      <w:bookmarkEnd w:id="91"/>
    </w:p>
    <w:p w14:paraId="6080287D" w14:textId="77777777" w:rsidR="000F504F" w:rsidRDefault="00000000">
      <w:pPr>
        <w:pStyle w:val="FirstParagraph"/>
      </w:pPr>
      <w:r>
        <w:t>The FLARE Risk Tool provides a frequency-consequence screening framework for organizing accident-analysis results in a risk-informed format. The tool is not a plant probabilistic risk assessment (PRA), and it does not calculate initiating-event frequencies from fault trees, event trees, common-cause models, or human-reliability models. Instead, it allows the analyst to assign representative event frequencies to FLARE cases, import the calculated consequences from the thermal-hydraulic and radiological modules, and display the resulting event points on a frequency-consequence (F-C) chart.</w:t>
      </w:r>
    </w:p>
    <w:p w14:paraId="2F9E3707" w14:textId="77777777" w:rsidR="000F504F" w:rsidRDefault="00000000">
      <w:pPr>
        <w:pStyle w:val="BodyText"/>
      </w:pPr>
      <w:r>
        <w:t>The conceptual basis is the Farmer Curve and its modern descendants. A Farmer Curve expresses a risk acceptance or design-objective boundary in terms of accident frequency and accident consequence. In a simple form, events with larger consequences are expected to have lower frequencies. This is the same organizing principle used in frequency-consequence diagrams in risk-informed licensing frameworks. NEI 18-04 Rev. 1 applies this concept in the Licensing Modernization Project (LMP) methodology for selection of licensing-basis events, classification of structures, systems, and components, and assessment of defense-in-depth adequacy for non-light-water reactors. FLARE adapts the same style of presentation as a screening and communication tool for light-water-reactor accident sequences.</w:t>
      </w:r>
    </w:p>
    <w:p w14:paraId="63B1C56F" w14:textId="77777777" w:rsidR="000F504F" w:rsidRDefault="00000000">
      <w:pPr>
        <w:pStyle w:val="Heading2"/>
      </w:pPr>
      <w:bookmarkStart w:id="92" w:name="_Toc231232937"/>
      <w:r>
        <w:t>10.2 Farmer Curve Concept</w:t>
      </w:r>
      <w:bookmarkEnd w:id="92"/>
    </w:p>
    <w:p w14:paraId="35F00E83" w14:textId="77777777" w:rsidR="000F504F" w:rsidRDefault="00000000">
      <w:pPr>
        <w:pStyle w:val="FirstParagraph"/>
      </w:pPr>
      <w:r>
        <w:t xml:space="preserve">Let </w:t>
      </w:r>
      <m:oMath>
        <m:r>
          <w:rPr>
            <w:rFonts w:ascii="Cambria Math" w:hAnsi="Cambria Math"/>
          </w:rPr>
          <m:t>C</m:t>
        </m:r>
      </m:oMath>
      <w:r>
        <w:t xml:space="preserve"> denote an accident consequence measure and </w:t>
      </w:r>
      <m:oMath>
        <m:r>
          <w:rPr>
            <w:rFonts w:ascii="Cambria Math" w:hAnsi="Cambria Math"/>
          </w:rPr>
          <m:t>F</m:t>
        </m:r>
      </m:oMath>
      <w:r>
        <w:t xml:space="preserve"> denote the mean frequency of the event or event sequence. A generic Farmer-type criterion can be written as</w:t>
      </w:r>
    </w:p>
    <w:p w14:paraId="5569939A" w14:textId="77777777" w:rsidR="000F504F" w:rsidRDefault="00000000">
      <w:pPr>
        <w:pStyle w:val="BodyText"/>
      </w:pPr>
      <m:oMathPara>
        <m:oMathParaPr>
          <m:jc m:val="center"/>
        </m:oMathParaP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m:t>
              </m:r>
            </m:e>
          </m:d>
        </m:oMath>
      </m:oMathPara>
    </w:p>
    <w:p w14:paraId="4E5056E2" w14:textId="77777777" w:rsidR="000F504F" w:rsidRDefault="00000000">
      <w:pPr>
        <w:pStyle w:val="FirstParagraph"/>
      </w:pPr>
      <w:r>
        <w:t xml:space="preserve">The limiting curve </w:t>
      </w: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oMath>
      <w:r>
        <w:t xml:space="preserve"> is a decreasing function of consequence. In its simplest power-law representation,</w:t>
      </w:r>
    </w:p>
    <w:p w14:paraId="7B21F111"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r>
            <w:rPr>
              <w:rFonts w:ascii="Cambria Math" w:hAnsi="Cambria Math"/>
            </w:rPr>
            <m:t>K</m:t>
          </m:r>
          <m:sSup>
            <m:sSupPr>
              <m:ctrlPr>
                <w:rPr>
                  <w:rFonts w:ascii="Cambria Math" w:hAnsi="Cambria Math"/>
                </w:rPr>
              </m:ctrlPr>
            </m:sSupPr>
            <m:e>
              <m:r>
                <w:rPr>
                  <w:rFonts w:ascii="Cambria Math" w:hAnsi="Cambria Math"/>
                </w:rPr>
                <m:t>C</m:t>
              </m:r>
            </m:e>
            <m:sup>
              <m:r>
                <m:rPr>
                  <m:sty m:val="p"/>
                </m:rPr>
                <w:rPr>
                  <w:rFonts w:ascii="Cambria Math" w:hAnsi="Cambria Math"/>
                </w:rPr>
                <m:t>-</m:t>
              </m:r>
              <m:r>
                <w:rPr>
                  <w:rFonts w:ascii="Cambria Math" w:hAnsi="Cambria Math"/>
                </w:rPr>
                <m:t>p</m:t>
              </m:r>
            </m:sup>
          </m:sSup>
          <m:r>
            <m:rPr>
              <m:sty m:val="p"/>
            </m:rPr>
            <w:rPr>
              <w:rFonts w:ascii="Cambria Math" w:hAnsi="Cambria Math"/>
            </w:rPr>
            <m:t>,</m:t>
          </m:r>
          <m:r>
            <w:rPr>
              <w:rFonts w:ascii="Cambria Math" w:hAnsi="Cambria Math"/>
            </w:rPr>
            <m:t>  p</m:t>
          </m:r>
          <m:r>
            <m:rPr>
              <m:sty m:val="p"/>
            </m:rPr>
            <w:rPr>
              <w:rFonts w:ascii="Cambria Math" w:hAnsi="Cambria Math"/>
            </w:rPr>
            <m:t>&gt;</m:t>
          </m:r>
          <m:r>
            <w:rPr>
              <w:rFonts w:ascii="Cambria Math" w:hAnsi="Cambria Math"/>
            </w:rPr>
            <m:t>0</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m:t>
              </m:r>
            </m:e>
          </m:d>
        </m:oMath>
      </m:oMathPara>
    </w:p>
    <w:p w14:paraId="602A18A1" w14:textId="77777777" w:rsidR="000F504F" w:rsidRDefault="00000000">
      <w:pPr>
        <w:pStyle w:val="FirstParagraph"/>
      </w:pPr>
      <w:r>
        <w:t xml:space="preserve">where </w:t>
      </w:r>
      <m:oMath>
        <m:r>
          <w:rPr>
            <w:rFonts w:ascii="Cambria Math" w:hAnsi="Cambria Math"/>
          </w:rPr>
          <m:t>K</m:t>
        </m:r>
      </m:oMath>
      <w:r>
        <w:t xml:space="preserve"> is a normalization constant and </w:t>
      </w:r>
      <m:oMath>
        <m:r>
          <w:rPr>
            <w:rFonts w:ascii="Cambria Math" w:hAnsi="Cambria Math"/>
          </w:rPr>
          <m:t>p</m:t>
        </m:r>
      </m:oMath>
      <w:r>
        <w:t xml:space="preserve"> is the slope parameter. Taking common logarithms gives a straight-line representation on a log-log plot:</w:t>
      </w:r>
    </w:p>
    <w:p w14:paraId="49FFB147"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K</m:t>
          </m:r>
          <m:r>
            <m:rPr>
              <m:sty m:val="p"/>
            </m:rPr>
            <w:rPr>
              <w:rFonts w:ascii="Cambria Math" w:hAnsi="Cambria Math"/>
            </w:rPr>
            <m:t>-</m:t>
          </m:r>
          <m:r>
            <w:rPr>
              <w:rFonts w:ascii="Cambria Math" w:hAnsi="Cambria Math"/>
            </w:rPr>
            <m:t>p</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10.3</m:t>
              </m:r>
            </m:e>
          </m:d>
        </m:oMath>
      </m:oMathPara>
    </w:p>
    <w:p w14:paraId="7140D3FF" w14:textId="77777777" w:rsidR="000F504F" w:rsidRDefault="00000000">
      <w:pPr>
        <w:pStyle w:val="FirstParagraph"/>
      </w:pPr>
      <w:r>
        <w:t xml:space="preserve">This form captures the central intuition of the Farmer Curve: higher-consequence events require lower allowable frequencies. If </w:t>
      </w:r>
      <m:oMath>
        <m:r>
          <w:rPr>
            <w:rFonts w:ascii="Cambria Math" w:hAnsi="Cambria Math"/>
          </w:rPr>
          <m:t>p</m:t>
        </m:r>
        <m:r>
          <m:rPr>
            <m:sty m:val="p"/>
          </m:rPr>
          <w:rPr>
            <w:rFonts w:ascii="Cambria Math" w:hAnsi="Cambria Math"/>
          </w:rPr>
          <m:t>=</m:t>
        </m:r>
        <m:r>
          <w:rPr>
            <w:rFonts w:ascii="Cambria Math" w:hAnsi="Cambria Math"/>
          </w:rPr>
          <m:t>1</m:t>
        </m:r>
      </m:oMath>
      <w:r>
        <w:t>, the curve corresponds to approximately constant frequency-consequence product,</w:t>
      </w:r>
    </w:p>
    <w:p w14:paraId="5F11CA5B" w14:textId="77777777" w:rsidR="000F504F" w:rsidRDefault="00000000">
      <w:pPr>
        <w:pStyle w:val="BodyText"/>
      </w:pPr>
      <m:oMathPara>
        <m:oMathParaPr>
          <m:jc m:val="center"/>
        </m:oMathParaPr>
        <m:oMath>
          <m:r>
            <w:rPr>
              <w:rFonts w:ascii="Cambria Math" w:hAnsi="Cambria Math"/>
            </w:rPr>
            <m:t>FC</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10.4</m:t>
              </m:r>
            </m:e>
          </m:d>
        </m:oMath>
      </m:oMathPara>
    </w:p>
    <w:p w14:paraId="488CF47A" w14:textId="77777777" w:rsidR="000F504F" w:rsidRDefault="00000000">
      <w:pPr>
        <w:pStyle w:val="FirstParagraph"/>
      </w:pPr>
      <w:r>
        <w:t>More generally, the integrated risk associated with a discrete set of event sequences can be approximated by</w:t>
      </w:r>
    </w:p>
    <w:p w14:paraId="628BC9FB" w14:textId="77777777" w:rsidR="000F504F" w:rsidRDefault="00000000">
      <w:pPr>
        <w:pStyle w:val="BodyText"/>
      </w:pPr>
      <m:oMathPara>
        <m:oMathParaPr>
          <m:jc m:val="center"/>
        </m:oMathParaPr>
        <m:oMath>
          <m:r>
            <w:rPr>
              <w:rFonts w:ascii="Cambria Math" w:hAnsi="Cambria Math"/>
            </w:rPr>
            <m:t>R</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m:t>
                  </m:r>
                </m:sub>
              </m:sSub>
            </m:e>
          </m:nary>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10.5</m:t>
              </m:r>
            </m:e>
          </m:d>
        </m:oMath>
      </m:oMathPara>
    </w:p>
    <w:p w14:paraId="27D07DF9"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is the mean frequency of event </w:t>
      </w:r>
      <m:oMath>
        <m:r>
          <w:rPr>
            <w:rFonts w:ascii="Cambria Math" w:hAnsi="Cambria Math"/>
          </w:rPr>
          <m:t>i</m:t>
        </m:r>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is the consequence measure for that event. FLARE’s F-C chart is primarily an event-by-event screening display, not a full integrated-risk calculation. Equation (10.5), however, provides the interpretive basis for understanding why frequency and consequence should be considered together.</w:t>
      </w:r>
    </w:p>
    <w:p w14:paraId="047D807E" w14:textId="77777777" w:rsidR="000F504F" w:rsidRDefault="00000000">
      <w:pPr>
        <w:pStyle w:val="Heading2"/>
      </w:pPr>
      <w:bookmarkStart w:id="93" w:name="_Toc231232938"/>
      <w:r>
        <w:lastRenderedPageBreak/>
        <w:t>10.3 Consequence Metric Used in FLARE</w:t>
      </w:r>
      <w:bookmarkEnd w:id="93"/>
    </w:p>
    <w:p w14:paraId="5DB71CBE" w14:textId="77777777" w:rsidR="000F504F" w:rsidRDefault="00000000">
      <w:pPr>
        <w:pStyle w:val="FirstParagraph"/>
      </w:pPr>
      <w:r>
        <w:t>The consequence axis in the FLARE Risk Tool is based on radiological dose. For each simulated case, the source-term and dose module calculates accident dose at selected receptor locations. For the frequency-consequence chart, FLARE uses the exclusion area boundary (EAB) total dose unless otherwise specified by the user:</w:t>
      </w:r>
    </w:p>
    <w:p w14:paraId="54D67CF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10.6</m:t>
              </m:r>
            </m:e>
          </m:d>
        </m:oMath>
      </m:oMathPara>
    </w:p>
    <w:p w14:paraId="4385D931" w14:textId="77777777" w:rsidR="000F504F" w:rsidRDefault="00000000">
      <w:pPr>
        <w:pStyle w:val="FirstParagraph"/>
      </w:pPr>
      <w:r>
        <w:t>The total plotted EAB dose is calculated as</w:t>
      </w:r>
    </w:p>
    <w:p w14:paraId="00E9FA22"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tot</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r>
            <m:rPr>
              <m:sty m:val="p"/>
            </m:rPr>
            <w:rPr>
              <w:rFonts w:ascii="Cambria Math" w:hAnsi="Cambria Math"/>
            </w:rPr>
            <m:t>+</m:t>
          </m:r>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10.7</m:t>
              </m:r>
            </m:e>
          </m:d>
        </m:oMath>
      </m:oMathPara>
    </w:p>
    <w:p w14:paraId="2B2D88D9" w14:textId="77777777" w:rsidR="000F504F" w:rsidRDefault="00000000">
      <w:pPr>
        <w:pStyle w:val="FirstParagraph"/>
      </w:pPr>
      <w:r>
        <w:t xml:space="preserve">where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acc</m:t>
            </m:r>
          </m:sup>
        </m:sSubSup>
      </m:oMath>
      <w:r>
        <w:t xml:space="preserve"> is the dose associated with the event source term and </w:t>
      </w:r>
      <m:oMath>
        <m:sSubSup>
          <m:sSubSupPr>
            <m:ctrlPr>
              <w:rPr>
                <w:rFonts w:ascii="Cambria Math" w:hAnsi="Cambria Math"/>
              </w:rPr>
            </m:ctrlPr>
          </m:sSubSupPr>
          <m:e>
            <m:r>
              <w:rPr>
                <w:rFonts w:ascii="Cambria Math" w:hAnsi="Cambria Math"/>
              </w:rPr>
              <m:t>D</m:t>
            </m:r>
          </m:e>
          <m:sub>
            <m:r>
              <w:rPr>
                <w:rFonts w:ascii="Cambria Math" w:hAnsi="Cambria Math"/>
              </w:rPr>
              <m:t>EAB</m:t>
            </m:r>
            <m:r>
              <m:rPr>
                <m:sty m:val="p"/>
              </m:rPr>
              <w:rPr>
                <w:rFonts w:ascii="Cambria Math" w:hAnsi="Cambria Math"/>
              </w:rPr>
              <m:t>,</m:t>
            </m:r>
            <m:r>
              <w:rPr>
                <w:rFonts w:ascii="Cambria Math" w:hAnsi="Cambria Math"/>
              </w:rPr>
              <m:t>i</m:t>
            </m:r>
          </m:sub>
          <m:sup>
            <m:r>
              <w:rPr>
                <w:rFonts w:ascii="Cambria Math" w:hAnsi="Cambria Math"/>
              </w:rPr>
              <m:t>IS</m:t>
            </m:r>
          </m:sup>
        </m:sSubSup>
      </m:oMath>
      <w:r>
        <w:t xml:space="preserve"> is the added iodine-spike contribution when that option is active. The dose may be expressed in rem TEDE or another consistent dose unit, provided that the F-C boundary is defined in the same unit.</w:t>
      </w:r>
    </w:p>
    <w:p w14:paraId="0CE7C3E7" w14:textId="77777777" w:rsidR="000F504F" w:rsidRDefault="00000000">
      <w:pPr>
        <w:pStyle w:val="BodyText"/>
      </w:pPr>
      <w:r>
        <w:t>The use of EAB dose is a screening convention. It does not imply that EAB dose is the only relevant consequence metric for risk-informed decision-making. Other consequence measures could be used, including LPZ dose, control-room dose, early-fatality risk, latent-cancer risk, release fraction, or conditional containment failure probability. In all cases, the consequence measure and the F-C boundary must be defined consistently.</w:t>
      </w:r>
    </w:p>
    <w:p w14:paraId="32533672" w14:textId="77777777" w:rsidR="000F504F" w:rsidRDefault="00000000">
      <w:pPr>
        <w:pStyle w:val="Heading2"/>
      </w:pPr>
      <w:bookmarkStart w:id="94" w:name="_Toc231232939"/>
      <w:r>
        <w:t>10.4 Event Frequency Assignment</w:t>
      </w:r>
      <w:bookmarkEnd w:id="94"/>
    </w:p>
    <w:p w14:paraId="3D5C741D" w14:textId="77777777" w:rsidR="000F504F" w:rsidRDefault="00000000">
      <w:pPr>
        <w:pStyle w:val="FirstParagraph"/>
      </w:pPr>
      <w:r>
        <w:t>FLARE does not infer the event frequency from the transient calculation. The user assigns or imports a representative mean frequency for each case:</w:t>
      </w:r>
    </w:p>
    <w:p w14:paraId="1EDF63AD"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i</m:t>
              </m:r>
            </m:sub>
            <m:sup>
              <m:r>
                <w:rPr>
                  <w:rFonts w:ascii="Cambria Math" w:hAnsi="Cambria Math"/>
                </w:rPr>
                <m:t>assigned</m:t>
              </m:r>
            </m:sup>
          </m:sSub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10.8</m:t>
              </m:r>
            </m:e>
          </m:d>
        </m:oMath>
      </m:oMathPara>
    </w:p>
    <w:p w14:paraId="7AFFABA0" w14:textId="77777777" w:rsidR="000F504F" w:rsidRDefault="00000000">
      <w:pPr>
        <w:pStyle w:val="FirstParagraph"/>
      </w:pPr>
      <w:r>
        <w:t>The assigned frequency should correspond to the complete event sequence represented by the FLARE input case. If the case represents a bounding deterministic transient rather than a specific PRA sequence, the analyst should state the mapping basis explicitly. For example, a small-break LOCA case may represent a break-size family rather than a single pipe rupture. An ATWS case may represent a class of anticipated transients with common scram failure. A loss-of-heat-sink case may represent a family of secondary-side failures, not a unique initiating event.</w:t>
      </w:r>
    </w:p>
    <w:p w14:paraId="3D6819C7" w14:textId="77777777" w:rsidR="000F504F" w:rsidRDefault="00000000">
      <w:pPr>
        <w:pStyle w:val="BodyText"/>
      </w:pPr>
      <w:r>
        <w:t>When a frequency is derived from multiple contributing sequences, the appropriate combined frequency is</w:t>
      </w:r>
    </w:p>
    <w:p w14:paraId="5DB1BC7C"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i</m:t>
                  </m:r>
                </m:sub>
              </m:sSub>
            </m:sub>
            <m:sup>
              <m:r>
                <w:rPr>
                  <w:rFonts w:ascii="Cambria Math" w:hAnsi="Cambria Math"/>
                </w:rPr>
                <m:t>​</m:t>
              </m:r>
            </m:sup>
            <m:e>
              <m:sSub>
                <m:sSubPr>
                  <m:ctrlPr>
                    <w:rPr>
                      <w:rFonts w:ascii="Cambria Math" w:hAnsi="Cambria Math"/>
                    </w:rPr>
                  </m:ctrlPr>
                </m:sSubPr>
                <m:e>
                  <m:r>
                    <w:rPr>
                      <w:rFonts w:ascii="Cambria Math" w:hAnsi="Cambria Math"/>
                    </w:rPr>
                    <m:t>F</m:t>
                  </m:r>
                </m:e>
                <m:sub>
                  <m:r>
                    <w:rPr>
                      <w:rFonts w:ascii="Cambria Math" w:hAnsi="Cambria Math"/>
                    </w:rPr>
                    <m:t>ij</m:t>
                  </m:r>
                </m:sub>
              </m:sSub>
            </m:e>
          </m:nary>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10.9</m:t>
              </m:r>
            </m:e>
          </m:d>
        </m:oMath>
      </m:oMathPara>
    </w:p>
    <w:p w14:paraId="0698CF0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Ω</m:t>
            </m:r>
          </m:e>
          <m:sub>
            <m:r>
              <w:rPr>
                <w:rFonts w:ascii="Cambria Math" w:hAnsi="Cambria Math"/>
              </w:rPr>
              <m:t>i</m:t>
            </m:r>
          </m:sub>
        </m:sSub>
      </m:oMath>
      <w:r>
        <w:t xml:space="preserve"> is the set of PRA sequences or event classes mapped to FLARE case </w:t>
      </w:r>
      <m:oMath>
        <m:r>
          <w:rPr>
            <w:rFonts w:ascii="Cambria Math" w:hAnsi="Cambria Math"/>
          </w:rPr>
          <m:t>i</m:t>
        </m:r>
      </m:oMath>
      <w:r>
        <w:t>. If the FLARE case is instead intended to represent one sequence selected from a family, then Equation (10.9) should not be applied unless the consequence is demonstrably bounding for the full family.</w:t>
      </w:r>
    </w:p>
    <w:p w14:paraId="2F4BA559" w14:textId="77777777" w:rsidR="000F504F" w:rsidRDefault="00000000">
      <w:pPr>
        <w:pStyle w:val="Heading2"/>
      </w:pPr>
      <w:bookmarkStart w:id="95" w:name="_Toc231232940"/>
      <w:r>
        <w:t>10.5 Frequency-Consequence Boundary Representation</w:t>
      </w:r>
      <w:bookmarkEnd w:id="95"/>
    </w:p>
    <w:p w14:paraId="041324B2" w14:textId="77777777" w:rsidR="000F504F" w:rsidRDefault="00000000">
      <w:pPr>
        <w:pStyle w:val="FirstParagraph"/>
      </w:pPr>
      <w:r>
        <w:t>The FLARE Risk Tool represents the design-objective boundary as a set of ordered points in log-frequency/log-consequence space:</w:t>
      </w:r>
    </w:p>
    <w:p w14:paraId="6D738093" w14:textId="77777777" w:rsidR="000F504F" w:rsidRDefault="00000000">
      <w:pPr>
        <w:pStyle w:val="BodyText"/>
      </w:pPr>
      <m:oMathPara>
        <m:oMathParaPr>
          <m:jc m:val="center"/>
        </m:oMathParaPr>
        <m:oMath>
          <m:r>
            <m:rPr>
              <m:scr m:val="script"/>
              <m:sty m:val="p"/>
            </m:rPr>
            <w:rPr>
              <w:rFonts w:ascii="Cambria Math" w:hAnsi="Cambria Math"/>
            </w:rPr>
            <m:t>B={</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1</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2</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N</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10.10</m:t>
              </m:r>
            </m:e>
          </m:d>
        </m:oMath>
      </m:oMathPara>
    </w:p>
    <w:p w14:paraId="03188549" w14:textId="77777777" w:rsidR="000F504F" w:rsidRDefault="00000000">
      <w:pPr>
        <w:pStyle w:val="FirstParagraph"/>
      </w:pPr>
      <w:r>
        <w:t xml:space="preserve">For a consequence </w:t>
      </w:r>
      <m:oMath>
        <m:r>
          <w:rPr>
            <w:rFonts w:ascii="Cambria Math" w:hAnsi="Cambria Math"/>
          </w:rPr>
          <m:t>C</m:t>
        </m:r>
      </m:oMath>
      <w:r>
        <w:t xml:space="preserve"> between two tabulated boundary points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and </w:t>
      </w:r>
      <m:oMath>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oMath>
      <w:r>
        <w:t>, the boundary frequency is evaluated by log-log interpolation:</w:t>
      </w:r>
    </w:p>
    <w:p w14:paraId="5EBDFAFD" w14:textId="77777777" w:rsidR="000F504F"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log</m:t>
                  </m:r>
                </m:e>
                <m:sub>
                  <m:r>
                    <w:rPr>
                      <w:rFonts w:ascii="Cambria Math" w:hAnsi="Cambria Math"/>
                    </w:rPr>
                    <m:t>10</m:t>
                  </m:r>
                </m:sub>
              </m:sSub>
              <m:r>
                <w:rPr>
                  <w:rFonts w:ascii="Cambria Math" w:hAnsi="Cambria Math"/>
                </w:rPr>
                <m:t>C</m:t>
              </m:r>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num>
            <m:den>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C</m:t>
                  </m:r>
                </m:e>
                <m:sub>
                  <m:r>
                    <w:rPr>
                      <w:rFonts w:ascii="Cambria Math" w:hAnsi="Cambria Math"/>
                    </w:rPr>
                    <m:t>j</m:t>
                  </m:r>
                </m:sub>
              </m:sSub>
            </m:den>
          </m:f>
          <m:d>
            <m:dPr>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j</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10.11</m:t>
              </m:r>
            </m:e>
          </m:d>
        </m:oMath>
      </m:oMathPara>
    </w:p>
    <w:p w14:paraId="3952A1F7" w14:textId="77777777" w:rsidR="000F504F" w:rsidRDefault="00000000">
      <w:pPr>
        <w:pStyle w:val="FirstParagraph"/>
      </w:pPr>
      <w:r>
        <w:t>Equivalently,</w:t>
      </w:r>
    </w:p>
    <w:p w14:paraId="321C5A59"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r>
            <m:rPr>
              <m:sty m:val="p"/>
            </m:rPr>
            <w:rPr>
              <w:rFonts w:ascii="Cambria Math" w:hAnsi="Cambria Math"/>
            </w:rPr>
            <m:t>=</m:t>
          </m:r>
          <m:sSup>
            <m:sSupPr>
              <m:ctrlPr>
                <w:rPr>
                  <w:rFonts w:ascii="Cambria Math" w:hAnsi="Cambria Math"/>
                </w:rPr>
              </m:ctrlPr>
            </m:sSupPr>
            <m:e>
              <m:r>
                <w:rPr>
                  <w:rFonts w:ascii="Cambria Math" w:hAnsi="Cambria Math"/>
                </w:rPr>
                <m:t>10</m:t>
              </m:r>
            </m:e>
            <m:sup>
              <m:sSub>
                <m:sSubPr>
                  <m:ctrlPr>
                    <w:rPr>
                      <w:rFonts w:ascii="Cambria Math" w:hAnsi="Cambria Math"/>
                    </w:rPr>
                  </m:ctrlPr>
                </m:sSubPr>
                <m:e>
                  <m:r>
                    <m:rPr>
                      <m:sty m:val="p"/>
                    </m:rPr>
                    <w:rPr>
                      <w:rFonts w:ascii="Cambria Math" w:hAnsi="Cambria Math"/>
                    </w:rPr>
                    <m:t>log</m:t>
                  </m:r>
                </m:e>
                <m:sub>
                  <m:r>
                    <w:rPr>
                      <w:rFonts w:ascii="Cambria Math" w:hAnsi="Cambria Math"/>
                    </w:rPr>
                    <m:t>10</m:t>
                  </m:r>
                </m:sub>
              </m:sSub>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r>
                    <w:rPr>
                      <w:rFonts w:ascii="Cambria Math" w:hAnsi="Cambria Math"/>
                    </w:rPr>
                    <m:t>C</m:t>
                  </m:r>
                </m:e>
              </m:d>
            </m:sup>
          </m:sSup>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10.12</m:t>
              </m:r>
            </m:e>
          </m:d>
        </m:oMath>
      </m:oMathPara>
    </w:p>
    <w:p w14:paraId="04C2C51A" w14:textId="77777777" w:rsidR="000F504F" w:rsidRDefault="00000000">
      <w:pPr>
        <w:pStyle w:val="FirstParagraph"/>
      </w:pPr>
      <w:r>
        <w:t>A case is below the boundary if</w:t>
      </w:r>
    </w:p>
    <w:p w14:paraId="3F1035D6"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10.13</m:t>
              </m:r>
            </m:e>
          </m:d>
        </m:oMath>
      </m:oMathPara>
    </w:p>
    <w:p w14:paraId="6BEE1FD7" w14:textId="77777777" w:rsidR="000F504F" w:rsidRDefault="00000000">
      <w:pPr>
        <w:pStyle w:val="FirstParagraph"/>
      </w:pPr>
      <w:r>
        <w:t>The logarithmic distance to the boundary is a useful scalar margin:</w:t>
      </w:r>
    </w:p>
    <w:p w14:paraId="294877CA" w14:textId="77777777" w:rsidR="000F504F" w:rsidRDefault="00000000">
      <w:pPr>
        <w:pStyle w:val="BodyText"/>
      </w:pPr>
      <m:oMathPara>
        <m:oMathParaPr>
          <m:jc m:val="center"/>
        </m:oMathParaP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10.14</m:t>
              </m:r>
            </m:e>
          </m:d>
        </m:oMath>
      </m:oMathPara>
    </w:p>
    <w:p w14:paraId="5C283D73" w14:textId="77777777" w:rsidR="000F504F" w:rsidRDefault="00000000">
      <w:pPr>
        <w:pStyle w:val="FirstParagraph"/>
      </w:pPr>
      <w:r>
        <w:t>Positive margin indicates that the plotted event is below the boundary; negative margin indicates that it is above the boundary. A multiplicative margin may also be reported:</w:t>
      </w:r>
    </w:p>
    <w:p w14:paraId="0ECA400B" w14:textId="77777777" w:rsidR="000F504F" w:rsidRDefault="00000000">
      <w:pPr>
        <w:pStyle w:val="BodyText"/>
      </w:pPr>
      <m:oMathPara>
        <m:oMathParaPr>
          <m:jc m:val="center"/>
        </m:oMathParaPr>
        <m:oMath>
          <m:sSub>
            <m:sSubPr>
              <m:ctrlPr>
                <w:rPr>
                  <w:rFonts w:ascii="Cambria Math" w:hAnsi="Cambria Math"/>
                </w:rPr>
              </m:ctrlPr>
            </m:sSubPr>
            <m:e>
              <m:r>
                <m:rPr>
                  <m:scr m:val="script"/>
                  <m:sty m:val="p"/>
                </m:rPr>
                <w:rPr>
                  <w:rFonts w:ascii="Cambria Math" w:hAnsi="Cambria Math"/>
                </w:rPr>
                <m:t>M</m:t>
              </m:r>
            </m:e>
            <m:sub>
              <m:r>
                <w:rPr>
                  <w:rFonts w:ascii="Cambria Math" w:hAnsi="Cambria Math"/>
                </w:rPr>
                <m:t>i</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num>
            <m:den>
              <m:sSub>
                <m:sSubPr>
                  <m:ctrlPr>
                    <w:rPr>
                      <w:rFonts w:ascii="Cambria Math" w:hAnsi="Cambria Math"/>
                    </w:rPr>
                  </m:ctrlPr>
                </m:sSubPr>
                <m:e>
                  <m:r>
                    <w:rPr>
                      <w:rFonts w:ascii="Cambria Math" w:hAnsi="Cambria Math"/>
                    </w:rPr>
                    <m:t>F</m:t>
                  </m:r>
                </m:e>
                <m:sub>
                  <m:r>
                    <w:rPr>
                      <w:rFonts w:ascii="Cambria Math" w:hAnsi="Cambria Math"/>
                    </w:rPr>
                    <m:t>i</m:t>
                  </m:r>
                </m:sub>
              </m:sSub>
            </m:den>
          </m:f>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10.15</m:t>
              </m:r>
            </m:e>
          </m:d>
        </m:oMath>
      </m:oMathPara>
    </w:p>
    <w:p w14:paraId="0007A29E" w14:textId="77777777" w:rsidR="000F504F" w:rsidRDefault="00000000">
      <w:pPr>
        <w:pStyle w:val="Heading2"/>
      </w:pPr>
      <w:bookmarkStart w:id="96" w:name="_Toc231232941"/>
      <w:r>
        <w:t>10.6 NEI 18-04/LMP Interpretation</w:t>
      </w:r>
      <w:bookmarkEnd w:id="96"/>
    </w:p>
    <w:p w14:paraId="3FF638DA" w14:textId="77777777" w:rsidR="000F504F" w:rsidRDefault="00000000">
      <w:pPr>
        <w:pStyle w:val="FirstParagraph"/>
      </w:pPr>
      <w:r>
        <w:t>NEI 18-04 uses frequency-consequence evaluation as part of a broader risk-informed, performance-based methodology. The F-C chart is not intended to stand alone. It is used together with selection of licensing-basis events, classification of structures, systems, and components, risk-significance determinations, and evaluation of defense-in-depth. In that framework, events are grouped by frequency and consequence to support decisions about which event sequences require formal treatment in the licensing basis and which structures, systems, and components must be credited for prevention or mitigation.</w:t>
      </w:r>
    </w:p>
    <w:p w14:paraId="63EFD88A" w14:textId="77777777" w:rsidR="000F504F" w:rsidRDefault="00000000">
      <w:pPr>
        <w:pStyle w:val="BodyText"/>
      </w:pPr>
      <w:r>
        <w:t>For FLARE, the corresponding interpretation is narrower. A FLARE case plotted on the F-C chart is a screening point:</w:t>
      </w:r>
    </w:p>
    <w:p w14:paraId="03530958" w14:textId="77777777" w:rsidR="000F504F" w:rsidRDefault="00000000">
      <w:pPr>
        <w:pStyle w:val="BodyText"/>
      </w:pPr>
      <m:oMathPara>
        <m:oMathParaPr>
          <m:jc m:val="center"/>
        </m:oMathParaPr>
        <m:oMath>
          <m:r>
            <w:rPr>
              <w:rFonts w:ascii="Cambria Math" w:hAnsi="Cambria Math"/>
            </w:rPr>
            <m:t>i</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10.16</m:t>
              </m:r>
            </m:e>
          </m:d>
        </m:oMath>
      </m:oMathPara>
    </w:p>
    <w:p w14:paraId="239A14F7" w14:textId="77777777" w:rsidR="000F504F" w:rsidRDefault="00000000">
      <w:pPr>
        <w:pStyle w:val="FirstParagraph"/>
      </w:pPr>
      <w:r>
        <w:t>The point communicates whether the assigned event frequency and calculated consequence are small relative to the selected design-objective boundary. It does not, by itself, establish the licensing-basis event set, define safety-related or non-safety-related-with-special-treatment SSCs, demonstrate adequate defense-in-depth, or substitute for a PRA.</w:t>
      </w:r>
    </w:p>
    <w:p w14:paraId="692310B6" w14:textId="77777777" w:rsidR="000F504F" w:rsidRDefault="00000000">
      <w:pPr>
        <w:pStyle w:val="BodyText"/>
      </w:pPr>
      <w:r>
        <w:t>The risk-informed value of the tool is comparative. It allows the analyst to ask questions such as: Which cases dominate the frequency-consequence display? Which events approach the design-objective boundary? Which consequence results are sensitive to source-term assumptions? Which mitigation systems most reduce the location of a point on the F-C chart? These are screening questions, but they are useful for organizing deterministic accident calculations in a risk-informed manner.</w:t>
      </w:r>
    </w:p>
    <w:p w14:paraId="014503D1" w14:textId="77777777" w:rsidR="000F504F" w:rsidRDefault="00000000">
      <w:pPr>
        <w:pStyle w:val="Heading2"/>
      </w:pPr>
      <w:bookmarkStart w:id="97" w:name="_Toc231232942"/>
      <w:r>
        <w:t>10.7 Treatment of Uncertainty</w:t>
      </w:r>
      <w:bookmarkEnd w:id="97"/>
    </w:p>
    <w:p w14:paraId="4FB01967" w14:textId="77777777" w:rsidR="000F504F" w:rsidRDefault="00000000">
      <w:pPr>
        <w:pStyle w:val="FirstParagraph"/>
      </w:pPr>
      <w:r>
        <w:t>A point on the F-C chart is uncertain in both coordinates. The consequence uncertainty arises from thermal-hydraulic model uncertainty, source-term uncertainty, dose-conversion uncertainty, meteorological assumptions, and receptor assumptions. Frequency uncertainty arises from initiating-event frequency, reliability data, human reliability, common-cause assumptions, and event-sequence modeling.</w:t>
      </w:r>
    </w:p>
    <w:p w14:paraId="31CB7244" w14:textId="77777777" w:rsidR="000F504F" w:rsidRDefault="00000000">
      <w:pPr>
        <w:pStyle w:val="BodyText"/>
      </w:pPr>
      <w:r>
        <w:t>A consequence uncertainty factor may be represented as</w:t>
      </w:r>
    </w:p>
    <w:p w14:paraId="64EB6495"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10.17</m:t>
              </m:r>
            </m:e>
          </m:d>
        </m:oMath>
      </m:oMathPara>
    </w:p>
    <w:p w14:paraId="357E85B7"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U</m:t>
            </m:r>
          </m:e>
          <m:sub>
            <m:r>
              <w:rPr>
                <w:rFonts w:ascii="Cambria Math" w:hAnsi="Cambria Math"/>
              </w:rPr>
              <m:t>C</m:t>
            </m:r>
            <m:r>
              <m:rPr>
                <m:sty m:val="p"/>
              </m:rPr>
              <w:rPr>
                <w:rFonts w:ascii="Cambria Math" w:hAnsi="Cambria Math"/>
              </w:rPr>
              <m:t>,</m:t>
            </m:r>
            <m:r>
              <w:rPr>
                <w:rFonts w:ascii="Cambria Math" w:hAnsi="Cambria Math"/>
              </w:rPr>
              <m:t>i</m:t>
            </m:r>
          </m:sub>
        </m:sSub>
      </m:oMath>
      <w:r>
        <w:t xml:space="preserve"> is a sampled or specified multiplicative uncertainty factor. Similarly, frequency uncertainty can be represented as</w:t>
      </w:r>
    </w:p>
    <w:p w14:paraId="51DC924C"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i</m:t>
              </m:r>
            </m:sub>
          </m:sSub>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F</m:t>
              </m:r>
              <m:r>
                <m:rPr>
                  <m:sty m:val="p"/>
                </m:rPr>
                <w:rPr>
                  <w:rFonts w:ascii="Cambria Math" w:hAnsi="Cambria Math"/>
                </w:rPr>
                <m:t>,</m:t>
              </m:r>
              <m:r>
                <w:rPr>
                  <w:rFonts w:ascii="Cambria Math" w:hAnsi="Cambria Math"/>
                </w:rPr>
                <m:t>i</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10.18</m:t>
              </m:r>
            </m:e>
          </m:d>
        </m:oMath>
      </m:oMathPara>
    </w:p>
    <w:p w14:paraId="15E55F21" w14:textId="77777777" w:rsidR="000F504F" w:rsidRDefault="00000000">
      <w:pPr>
        <w:pStyle w:val="FirstParagraph"/>
      </w:pPr>
      <w:r>
        <w:t>The uncertain margin becomes</w:t>
      </w:r>
    </w:p>
    <w:p w14:paraId="1B7F2F96" w14:textId="77777777" w:rsidR="000F504F" w:rsidRDefault="00000000">
      <w:pPr>
        <w:pStyle w:val="BodyText"/>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i</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ty m:val="p"/>
                </m:rPr>
                <w:rPr>
                  <w:rFonts w:ascii="Cambria Math" w:hAnsi="Cambria Math"/>
                </w:rPr>
                <m:t>log</m:t>
              </m:r>
            </m:e>
            <m:sub>
              <m:r>
                <w:rPr>
                  <w:rFonts w:ascii="Cambria Math" w:hAnsi="Cambria Math"/>
                </w:rPr>
                <m:t>10</m:t>
              </m:r>
            </m:sub>
          </m:sSub>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i</m:t>
                          </m:r>
                        </m:sub>
                        <m:sup>
                          <m:r>
                            <m:rPr>
                              <m:sty m:val="p"/>
                            </m:rPr>
                            <w:rPr>
                              <w:rFonts w:ascii="Cambria Math" w:hAnsi="Cambria Math"/>
                            </w:rPr>
                            <m:t>*</m:t>
                          </m:r>
                        </m:sup>
                      </m:sSubSup>
                    </m:e>
                  </m:d>
                </m:num>
                <m:den>
                  <m:sSubSup>
                    <m:sSubSupPr>
                      <m:ctrlPr>
                        <w:rPr>
                          <w:rFonts w:ascii="Cambria Math" w:hAnsi="Cambria Math"/>
                        </w:rPr>
                      </m:ctrlPr>
                    </m:sSubSupPr>
                    <m:e>
                      <m:r>
                        <w:rPr>
                          <w:rFonts w:ascii="Cambria Math" w:hAnsi="Cambria Math"/>
                        </w:rPr>
                        <m:t>F</m:t>
                      </m:r>
                    </m:e>
                    <m:sub>
                      <m:r>
                        <w:rPr>
                          <w:rFonts w:ascii="Cambria Math" w:hAnsi="Cambria Math"/>
                        </w:rPr>
                        <m:t>i</m:t>
                      </m:r>
                    </m:sub>
                    <m:sup>
                      <m:r>
                        <m:rPr>
                          <m:sty m:val="p"/>
                        </m:rPr>
                        <w:rPr>
                          <w:rFonts w:ascii="Cambria Math" w:hAnsi="Cambria Math"/>
                        </w:rPr>
                        <m:t>*</m:t>
                      </m:r>
                    </m:sup>
                  </m:sSubSup>
                </m:den>
              </m:f>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10.19</m:t>
              </m:r>
            </m:e>
          </m:d>
        </m:oMath>
      </m:oMathPara>
    </w:p>
    <w:p w14:paraId="7951429D" w14:textId="77777777" w:rsidR="000F504F" w:rsidRDefault="00000000">
      <w:pPr>
        <w:pStyle w:val="FirstParagraph"/>
      </w:pPr>
      <w:r>
        <w:t xml:space="preserve">FLARE’s current Risk Tool primarily uses deterministic point estimates for </w:t>
      </w:r>
      <m:oMath>
        <m:sSub>
          <m:sSubPr>
            <m:ctrlPr>
              <w:rPr>
                <w:rFonts w:ascii="Cambria Math" w:hAnsi="Cambria Math"/>
              </w:rPr>
            </m:ctrlPr>
          </m:sSubPr>
          <m:e>
            <m:r>
              <w:rPr>
                <w:rFonts w:ascii="Cambria Math" w:hAnsi="Cambria Math"/>
              </w:rPr>
              <m:t>F</m:t>
            </m:r>
          </m:e>
          <m:sub>
            <m:r>
              <w:rPr>
                <w:rFonts w:ascii="Cambria Math" w:hAnsi="Cambria Math"/>
              </w:rPr>
              <m:t>i</m:t>
            </m:r>
          </m:sub>
        </m:sSub>
      </m:oMath>
      <w:r>
        <w:t xml:space="preserve"> and calculated consequences for </w:t>
      </w:r>
      <m:oMath>
        <m:sSub>
          <m:sSubPr>
            <m:ctrlPr>
              <w:rPr>
                <w:rFonts w:ascii="Cambria Math" w:hAnsi="Cambria Math"/>
              </w:rPr>
            </m:ctrlPr>
          </m:sSubPr>
          <m:e>
            <m:r>
              <w:rPr>
                <w:rFonts w:ascii="Cambria Math" w:hAnsi="Cambria Math"/>
              </w:rPr>
              <m:t>C</m:t>
            </m:r>
          </m:e>
          <m:sub>
            <m:r>
              <w:rPr>
                <w:rFonts w:ascii="Cambria Math" w:hAnsi="Cambria Math"/>
              </w:rPr>
              <m:t>i</m:t>
            </m:r>
          </m:sub>
        </m:sSub>
      </m:oMath>
      <w:r>
        <w:t>. When uncertainty-analysis outputs are available, the analyst may use percentile consequence values, bounding source-term assumptions, or sensitivity cases to explore how far a point could move on the F-C chart. A conservative screening application should avoid interpreting a narrowly positive point-estimate margin as robust unless the important uncertainties have been considered.</w:t>
      </w:r>
    </w:p>
    <w:p w14:paraId="3D7578EC" w14:textId="77777777" w:rsidR="000F504F" w:rsidRDefault="00000000">
      <w:pPr>
        <w:pStyle w:val="Heading2"/>
      </w:pPr>
      <w:bookmarkStart w:id="98" w:name="_Toc231232943"/>
      <w:r>
        <w:t>10.8 Relationship to Deterministic Acceptance Criteria</w:t>
      </w:r>
      <w:bookmarkEnd w:id="98"/>
    </w:p>
    <w:p w14:paraId="5EACC130" w14:textId="77777777" w:rsidR="000F504F" w:rsidRDefault="00000000">
      <w:pPr>
        <w:pStyle w:val="FirstParagraph"/>
      </w:pPr>
      <w:r>
        <w:t>The F-C chart is not a replacement for deterministic acceptance criteria. A case may be acceptable on an F-C chart yet still violate a deterministic criterion that applies to the event class. Conversely, a case may satisfy deterministic acceptance limits but plot near a frequency-consequence design objective because of a high assigned frequency or a relatively large dose consequence.</w:t>
      </w:r>
    </w:p>
    <w:p w14:paraId="247C24E8" w14:textId="77777777" w:rsidR="000F504F" w:rsidRDefault="00000000">
      <w:pPr>
        <w:pStyle w:val="BodyText"/>
      </w:pPr>
      <w:r>
        <w:t>The deterministic and risk-informed views can be expressed as separate tests:</w:t>
      </w:r>
    </w:p>
    <w:p w14:paraId="49A0A349" w14:textId="77777777" w:rsidR="000F504F" w:rsidRDefault="00000000">
      <w:pPr>
        <w:pStyle w:val="BodyText"/>
      </w:pPr>
      <m:oMathPara>
        <m:oMathParaPr>
          <m:jc m:val="center"/>
        </m:oMathParaPr>
        <m:oMath>
          <m:r>
            <m:rPr>
              <m:sty m:val="p"/>
            </m:rPr>
            <w:rPr>
              <w:rFonts w:ascii="Cambria Math" w:hAnsi="Cambria Math"/>
            </w:rPr>
            <m:t>Deterministic test:</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lim</m:t>
              </m:r>
            </m:sub>
          </m:sSub>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10.20</m:t>
              </m:r>
            </m:e>
          </m:d>
        </m:oMath>
      </m:oMathPara>
    </w:p>
    <w:p w14:paraId="32A4FA8B" w14:textId="77777777" w:rsidR="000F504F" w:rsidRDefault="00000000">
      <w:pPr>
        <w:pStyle w:val="FirstParagraph"/>
      </w:pPr>
      <m:oMathPara>
        <m:oMathParaPr>
          <m:jc m:val="center"/>
        </m:oMathParaPr>
        <m:oMath>
          <m:r>
            <m:rPr>
              <m:sty m:val="p"/>
            </m:rPr>
            <w:rPr>
              <w:rFonts w:ascii="Cambria Math" w:hAnsi="Cambria Math"/>
            </w:rPr>
            <m:t>Risk</m:t>
          </m:r>
          <m:r>
            <m:rPr>
              <m:nor/>
            </m:rPr>
            <m:t>-</m:t>
          </m:r>
          <m:r>
            <m:rPr>
              <m:sty m:val="p"/>
            </m:rPr>
            <w:rPr>
              <w:rFonts w:ascii="Cambria Math" w:hAnsi="Cambria Math"/>
            </w:rPr>
            <m:t>informed screen:</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lim</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i</m:t>
                  </m:r>
                </m:sub>
              </m:sSub>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10.21</m:t>
              </m:r>
            </m:e>
          </m:d>
        </m:oMath>
      </m:oMathPara>
    </w:p>
    <w:p w14:paraId="7E2C63DC" w14:textId="77777777" w:rsidR="000F504F" w:rsidRDefault="00000000">
      <w:pPr>
        <w:pStyle w:val="FirstParagraph"/>
      </w:pPr>
      <w:r>
        <w:t xml:space="preserve">where </w:t>
      </w:r>
      <m:oMath>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is a deterministic figure of merit such as PCT, ECR, containment pressure, or control-room dose. In a complete safety evaluation, both types of information are considered. The FLARE Risk Tool is intended to make the second test visible and traceable without obscuring the first.</w:t>
      </w:r>
    </w:p>
    <w:p w14:paraId="07FFE610" w14:textId="77777777" w:rsidR="000F504F" w:rsidRDefault="00000000">
      <w:pPr>
        <w:pStyle w:val="Heading2"/>
      </w:pPr>
      <w:bookmarkStart w:id="99" w:name="_Toc231232944"/>
      <w:r>
        <w:t>10.9 Limitations</w:t>
      </w:r>
      <w:bookmarkEnd w:id="99"/>
    </w:p>
    <w:p w14:paraId="7F29A017" w14:textId="77777777" w:rsidR="000F504F" w:rsidRDefault="00000000">
      <w:pPr>
        <w:pStyle w:val="FirstParagraph"/>
      </w:pPr>
      <w:r>
        <w:t>The principal limitation of the Risk Tool is that it is only as credible as the frequency and consequence inputs. A visually favorable point on an F-C chart is not meaningful if the frequency assignment is arbitrary, if the FLARE case is not representative of the event sequence, or if the consequence calculation omits important release or transport pathways. The tool also does not calculate cumulative risk over an entire plant event set unless the user supplies a complete, non-overlapping set of event frequencies and consequences.</w:t>
      </w:r>
    </w:p>
    <w:p w14:paraId="7AEF9FF7" w14:textId="77777777" w:rsidR="000F504F" w:rsidRDefault="00000000">
      <w:pPr>
        <w:pStyle w:val="BodyText"/>
      </w:pPr>
      <w:r>
        <w:t>A second limitation is that the plotted consequence may be a dose-screening result rather than a mechanistic offsite consequence calculation. Simplified atmospheric dispersion, simplified source-term escalation, and conservative dose-conversion assumptions can dominate the result. The user should therefore treat the F-C chart as a decision-support and communication tool, not as a final risk metric independent of the assumptions used to create it.</w:t>
      </w:r>
    </w:p>
    <w:p w14:paraId="55D8D29F" w14:textId="77777777" w:rsidR="000F504F" w:rsidRDefault="00000000">
      <w:pPr>
        <w:pStyle w:val="BodyText"/>
      </w:pPr>
      <w:r>
        <w:t>Finally, NEI 18-04 is a licensing-basis-development methodology, not merely a curve-drawing exercise. The F-C chart provides one important view of the event set, but the broader methodology also requires systematic event selection, SSC classification, evaluation of defense-in-depth, and documentation of the design-specific basis for credited prevention and mitigation functions.</w:t>
      </w:r>
    </w:p>
    <w:p w14:paraId="7F1BB433" w14:textId="77777777" w:rsidR="00447CE9" w:rsidRDefault="00447CE9">
      <w:pPr>
        <w:pStyle w:val="Heading1"/>
      </w:pPr>
      <w:bookmarkStart w:id="100" w:name="appendix-a-nomenclature"/>
      <w:r>
        <w:br w:type="page"/>
      </w:r>
    </w:p>
    <w:p w14:paraId="7723F11F" w14:textId="5604541D" w:rsidR="000F504F" w:rsidRDefault="00000000">
      <w:pPr>
        <w:pStyle w:val="Heading1"/>
      </w:pPr>
      <w:bookmarkStart w:id="101" w:name="_Toc231232945"/>
      <w:r>
        <w:lastRenderedPageBreak/>
        <w:t>Appendix A — Nomenclature</w:t>
      </w:r>
      <w:bookmarkEnd w:id="101"/>
    </w:p>
    <w:tbl>
      <w:tblPr>
        <w:tblStyle w:val="Table"/>
        <w:tblW w:w="5000" w:type="pct"/>
        <w:tblLayout w:type="fixed"/>
        <w:tblLook w:val="0020" w:firstRow="1" w:lastRow="0" w:firstColumn="0" w:lastColumn="0" w:noHBand="0" w:noVBand="0"/>
      </w:tblPr>
      <w:tblGrid>
        <w:gridCol w:w="3336"/>
        <w:gridCol w:w="3336"/>
        <w:gridCol w:w="3336"/>
      </w:tblGrid>
      <w:tr w:rsidR="000F504F" w14:paraId="703A324B"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640" w:type="dxa"/>
          </w:tcPr>
          <w:p w14:paraId="38E63B75" w14:textId="77777777" w:rsidR="000F504F" w:rsidRDefault="00000000">
            <w:pPr>
              <w:pStyle w:val="Compact"/>
            </w:pPr>
            <w:r>
              <w:t>Symbol</w:t>
            </w:r>
          </w:p>
        </w:tc>
        <w:tc>
          <w:tcPr>
            <w:tcW w:w="2640" w:type="dxa"/>
          </w:tcPr>
          <w:p w14:paraId="7383C175" w14:textId="77777777" w:rsidR="000F504F" w:rsidRDefault="00000000">
            <w:pPr>
              <w:pStyle w:val="Compact"/>
            </w:pPr>
            <w:r>
              <w:t>Description</w:t>
            </w:r>
          </w:p>
        </w:tc>
        <w:tc>
          <w:tcPr>
            <w:tcW w:w="2640" w:type="dxa"/>
          </w:tcPr>
          <w:p w14:paraId="20A18A0F" w14:textId="77777777" w:rsidR="000F504F" w:rsidRDefault="00000000">
            <w:pPr>
              <w:pStyle w:val="Compact"/>
            </w:pPr>
            <w:r>
              <w:t>Units</w:t>
            </w:r>
          </w:p>
        </w:tc>
      </w:tr>
      <w:tr w:rsidR="000F504F" w14:paraId="6D215BC3" w14:textId="77777777">
        <w:tc>
          <w:tcPr>
            <w:tcW w:w="2640" w:type="dxa"/>
          </w:tcPr>
          <w:p w14:paraId="03A86714" w14:textId="77777777" w:rsidR="000F504F" w:rsidRDefault="00000000">
            <w:pPr>
              <w:pStyle w:val="Compact"/>
            </w:pPr>
            <m:oMathPara>
              <m:oMath>
                <m:r>
                  <w:rPr>
                    <w:rFonts w:ascii="Cambria Math" w:hAnsi="Cambria Math"/>
                  </w:rPr>
                  <m:t>A</m:t>
                </m:r>
              </m:oMath>
            </m:oMathPara>
          </w:p>
        </w:tc>
        <w:tc>
          <w:tcPr>
            <w:tcW w:w="2640" w:type="dxa"/>
          </w:tcPr>
          <w:p w14:paraId="6E87193E" w14:textId="77777777" w:rsidR="000F504F" w:rsidRDefault="00000000">
            <w:pPr>
              <w:pStyle w:val="Compact"/>
            </w:pPr>
            <w:r>
              <w:t>Area</w:t>
            </w:r>
          </w:p>
        </w:tc>
        <w:tc>
          <w:tcPr>
            <w:tcW w:w="2640" w:type="dxa"/>
          </w:tcPr>
          <w:p w14:paraId="4FE05B74" w14:textId="77777777" w:rsidR="000F504F" w:rsidRDefault="00000000">
            <w:pPr>
              <w:pStyle w:val="Compact"/>
            </w:pPr>
            <w:r>
              <w:t>m²</w:t>
            </w:r>
          </w:p>
        </w:tc>
      </w:tr>
      <w:tr w:rsidR="000F504F" w14:paraId="2BD6C934" w14:textId="77777777">
        <w:tc>
          <w:tcPr>
            <w:tcW w:w="2640" w:type="dxa"/>
          </w:tcPr>
          <w:p w14:paraId="33CA33E3" w14:textId="77777777" w:rsidR="000F504F" w:rsidRDefault="00000000">
            <w:pPr>
              <w:pStyle w:val="Compact"/>
            </w:pPr>
            <m:oMathPara>
              <m:oMath>
                <m:sSub>
                  <m:sSubPr>
                    <m:ctrlPr>
                      <w:rPr>
                        <w:rFonts w:ascii="Cambria Math" w:hAnsi="Cambria Math"/>
                      </w:rPr>
                    </m:ctrlPr>
                  </m:sSubPr>
                  <m:e>
                    <m:r>
                      <w:rPr>
                        <w:rFonts w:ascii="Cambria Math" w:hAnsi="Cambria Math"/>
                      </w:rPr>
                      <m:t>A</m:t>
                    </m:r>
                  </m:e>
                  <m:sub>
                    <m:r>
                      <w:rPr>
                        <w:rFonts w:ascii="Cambria Math" w:hAnsi="Cambria Math"/>
                      </w:rPr>
                      <m:t>b</m:t>
                    </m:r>
                  </m:sub>
                </m:sSub>
              </m:oMath>
            </m:oMathPara>
          </w:p>
        </w:tc>
        <w:tc>
          <w:tcPr>
            <w:tcW w:w="2640" w:type="dxa"/>
          </w:tcPr>
          <w:p w14:paraId="6F35629B" w14:textId="77777777" w:rsidR="000F504F" w:rsidRDefault="00000000">
            <w:pPr>
              <w:pStyle w:val="Compact"/>
            </w:pPr>
            <w:r>
              <w:t>Break area</w:t>
            </w:r>
          </w:p>
        </w:tc>
        <w:tc>
          <w:tcPr>
            <w:tcW w:w="2640" w:type="dxa"/>
          </w:tcPr>
          <w:p w14:paraId="6E14B7A9" w14:textId="77777777" w:rsidR="000F504F" w:rsidRDefault="00000000">
            <w:pPr>
              <w:pStyle w:val="Compact"/>
            </w:pPr>
            <w:r>
              <w:t>m²</w:t>
            </w:r>
          </w:p>
        </w:tc>
      </w:tr>
      <w:tr w:rsidR="000F504F" w14:paraId="75824651" w14:textId="77777777">
        <w:tc>
          <w:tcPr>
            <w:tcW w:w="2640" w:type="dxa"/>
          </w:tcPr>
          <w:p w14:paraId="69F19EA3"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p</m:t>
                    </m:r>
                  </m:sub>
                </m:sSub>
              </m:oMath>
            </m:oMathPara>
          </w:p>
        </w:tc>
        <w:tc>
          <w:tcPr>
            <w:tcW w:w="2640" w:type="dxa"/>
          </w:tcPr>
          <w:p w14:paraId="755FCFBE" w14:textId="77777777" w:rsidR="000F504F" w:rsidRDefault="00000000">
            <w:pPr>
              <w:pStyle w:val="Compact"/>
            </w:pPr>
            <w:r>
              <w:t>Specific heat at constant pressure</w:t>
            </w:r>
          </w:p>
        </w:tc>
        <w:tc>
          <w:tcPr>
            <w:tcW w:w="2640" w:type="dxa"/>
          </w:tcPr>
          <w:p w14:paraId="77B1A7E0" w14:textId="77777777" w:rsidR="000F504F" w:rsidRDefault="00000000">
            <w:pPr>
              <w:pStyle w:val="Compact"/>
            </w:pPr>
            <w:r>
              <w:t>J/kg-K</w:t>
            </w:r>
          </w:p>
        </w:tc>
      </w:tr>
      <w:tr w:rsidR="000F504F" w14:paraId="01C76798" w14:textId="77777777">
        <w:tc>
          <w:tcPr>
            <w:tcW w:w="2640" w:type="dxa"/>
          </w:tcPr>
          <w:p w14:paraId="21D07AB4"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v</m:t>
                    </m:r>
                  </m:sub>
                </m:sSub>
              </m:oMath>
            </m:oMathPara>
          </w:p>
        </w:tc>
        <w:tc>
          <w:tcPr>
            <w:tcW w:w="2640" w:type="dxa"/>
          </w:tcPr>
          <w:p w14:paraId="560006CF" w14:textId="77777777" w:rsidR="000F504F" w:rsidRDefault="00000000">
            <w:pPr>
              <w:pStyle w:val="Compact"/>
            </w:pPr>
            <w:r>
              <w:t>Specific heat at constant volume</w:t>
            </w:r>
          </w:p>
        </w:tc>
        <w:tc>
          <w:tcPr>
            <w:tcW w:w="2640" w:type="dxa"/>
          </w:tcPr>
          <w:p w14:paraId="5A120E9C" w14:textId="77777777" w:rsidR="000F504F" w:rsidRDefault="00000000">
            <w:pPr>
              <w:pStyle w:val="Compact"/>
            </w:pPr>
            <w:r>
              <w:t>J/kg-K</w:t>
            </w:r>
          </w:p>
        </w:tc>
      </w:tr>
      <w:tr w:rsidR="000F504F" w14:paraId="5C475498" w14:textId="77777777">
        <w:tc>
          <w:tcPr>
            <w:tcW w:w="2640" w:type="dxa"/>
          </w:tcPr>
          <w:p w14:paraId="59DDDB6E" w14:textId="77777777" w:rsidR="000F504F" w:rsidRDefault="00000000">
            <w:pPr>
              <w:pStyle w:val="Compact"/>
            </w:pPr>
            <m:oMathPara>
              <m:oMath>
                <m:sSub>
                  <m:sSubPr>
                    <m:ctrlPr>
                      <w:rPr>
                        <w:rFonts w:ascii="Cambria Math" w:hAnsi="Cambria Math"/>
                      </w:rPr>
                    </m:ctrlPr>
                  </m:sSubPr>
                  <m:e>
                    <m:r>
                      <w:rPr>
                        <w:rFonts w:ascii="Cambria Math" w:hAnsi="Cambria Math"/>
                      </w:rPr>
                      <m:t>C</m:t>
                    </m:r>
                  </m:e>
                  <m:sub>
                    <m:r>
                      <w:rPr>
                        <w:rFonts w:ascii="Cambria Math" w:hAnsi="Cambria Math"/>
                      </w:rPr>
                      <m:t>d</m:t>
                    </m:r>
                  </m:sub>
                </m:sSub>
              </m:oMath>
            </m:oMathPara>
          </w:p>
        </w:tc>
        <w:tc>
          <w:tcPr>
            <w:tcW w:w="2640" w:type="dxa"/>
          </w:tcPr>
          <w:p w14:paraId="2F37E10F" w14:textId="77777777" w:rsidR="000F504F" w:rsidRDefault="00000000">
            <w:pPr>
              <w:pStyle w:val="Compact"/>
            </w:pPr>
            <w:r>
              <w:t>Discharge coefficient</w:t>
            </w:r>
          </w:p>
        </w:tc>
        <w:tc>
          <w:tcPr>
            <w:tcW w:w="2640" w:type="dxa"/>
          </w:tcPr>
          <w:p w14:paraId="0DC1BB9E" w14:textId="77777777" w:rsidR="000F504F" w:rsidRDefault="00000000">
            <w:pPr>
              <w:pStyle w:val="Compact"/>
            </w:pPr>
            <w:r>
              <w:t>—</w:t>
            </w:r>
          </w:p>
        </w:tc>
      </w:tr>
      <w:tr w:rsidR="000F504F" w14:paraId="3544A4D2" w14:textId="77777777">
        <w:tc>
          <w:tcPr>
            <w:tcW w:w="2640" w:type="dxa"/>
          </w:tcPr>
          <w:p w14:paraId="37852DE6" w14:textId="77777777" w:rsidR="000F504F" w:rsidRDefault="00000000">
            <w:pPr>
              <w:pStyle w:val="Compact"/>
            </w:pPr>
            <m:oMathPara>
              <m:oMath>
                <m:r>
                  <w:rPr>
                    <w:rFonts w:ascii="Cambria Math" w:hAnsi="Cambria Math"/>
                  </w:rPr>
                  <m:t>C</m:t>
                </m:r>
              </m:oMath>
            </m:oMathPara>
          </w:p>
        </w:tc>
        <w:tc>
          <w:tcPr>
            <w:tcW w:w="2640" w:type="dxa"/>
          </w:tcPr>
          <w:p w14:paraId="0B3EB2DD" w14:textId="77777777" w:rsidR="000F504F" w:rsidRDefault="00000000">
            <w:pPr>
              <w:pStyle w:val="Compact"/>
            </w:pPr>
            <w:r>
              <w:t>Consequence metric for frequency-consequence chart</w:t>
            </w:r>
          </w:p>
        </w:tc>
        <w:tc>
          <w:tcPr>
            <w:tcW w:w="2640" w:type="dxa"/>
          </w:tcPr>
          <w:p w14:paraId="7F6087BF" w14:textId="77777777" w:rsidR="000F504F" w:rsidRDefault="00000000">
            <w:pPr>
              <w:pStyle w:val="Compact"/>
            </w:pPr>
            <w:r>
              <w:t>dose or consequence unit</w:t>
            </w:r>
          </w:p>
        </w:tc>
      </w:tr>
      <w:tr w:rsidR="000F504F" w14:paraId="0C9E2DF9" w14:textId="77777777">
        <w:tc>
          <w:tcPr>
            <w:tcW w:w="2640" w:type="dxa"/>
          </w:tcPr>
          <w:p w14:paraId="2573DEA3" w14:textId="77777777" w:rsidR="000F504F" w:rsidRDefault="00000000">
            <w:pPr>
              <w:pStyle w:val="Compact"/>
            </w:pPr>
            <m:oMathPara>
              <m:oMath>
                <m:r>
                  <w:rPr>
                    <w:rFonts w:ascii="Cambria Math" w:hAnsi="Cambria Math"/>
                  </w:rPr>
                  <m:t>F</m:t>
                </m:r>
              </m:oMath>
            </m:oMathPara>
          </w:p>
        </w:tc>
        <w:tc>
          <w:tcPr>
            <w:tcW w:w="2640" w:type="dxa"/>
          </w:tcPr>
          <w:p w14:paraId="6930DE97" w14:textId="77777777" w:rsidR="000F504F" w:rsidRDefault="00000000">
            <w:pPr>
              <w:pStyle w:val="Compact"/>
            </w:pPr>
            <w:r>
              <w:t>Event or sequence frequency</w:t>
            </w:r>
          </w:p>
        </w:tc>
        <w:tc>
          <w:tcPr>
            <w:tcW w:w="2640" w:type="dxa"/>
          </w:tcPr>
          <w:p w14:paraId="12D83CB9" w14:textId="77777777" w:rsidR="000F504F" w:rsidRDefault="00000000">
            <w:pPr>
              <w:pStyle w:val="Compact"/>
            </w:pPr>
            <w:r>
              <w:t>1/year</w:t>
            </w:r>
          </w:p>
        </w:tc>
      </w:tr>
      <w:tr w:rsidR="000F504F" w14:paraId="37D6B0CE" w14:textId="77777777">
        <w:tc>
          <w:tcPr>
            <w:tcW w:w="2640" w:type="dxa"/>
          </w:tcPr>
          <w:p w14:paraId="2B5655BE" w14:textId="77777777" w:rsidR="000F504F" w:rsidRDefault="00000000">
            <w:pPr>
              <w:pStyle w:val="Compact"/>
            </w:pPr>
            <m:oMathPara>
              <m:oMath>
                <m:sSub>
                  <m:sSubPr>
                    <m:ctrlPr>
                      <w:rPr>
                        <w:rFonts w:ascii="Cambria Math" w:hAnsi="Cambria Math"/>
                      </w:rPr>
                    </m:ctrlPr>
                  </m:sSubPr>
                  <m:e>
                    <m:r>
                      <w:rPr>
                        <w:rFonts w:ascii="Cambria Math" w:hAnsi="Cambria Math"/>
                      </w:rPr>
                      <m:t>F</m:t>
                    </m:r>
                  </m:e>
                  <m:sub>
                    <m:r>
                      <w:rPr>
                        <w:rFonts w:ascii="Cambria Math" w:hAnsi="Cambria Math"/>
                      </w:rPr>
                      <m:t>lim</m:t>
                    </m:r>
                  </m:sub>
                </m:sSub>
              </m:oMath>
            </m:oMathPara>
          </w:p>
        </w:tc>
        <w:tc>
          <w:tcPr>
            <w:tcW w:w="2640" w:type="dxa"/>
          </w:tcPr>
          <w:p w14:paraId="2A241AEA" w14:textId="77777777" w:rsidR="000F504F" w:rsidRDefault="00000000">
            <w:pPr>
              <w:pStyle w:val="Compact"/>
            </w:pPr>
            <w:r>
              <w:t>Frequency-consequence boundary frequency</w:t>
            </w:r>
          </w:p>
        </w:tc>
        <w:tc>
          <w:tcPr>
            <w:tcW w:w="2640" w:type="dxa"/>
          </w:tcPr>
          <w:p w14:paraId="46294206" w14:textId="77777777" w:rsidR="000F504F" w:rsidRDefault="00000000">
            <w:pPr>
              <w:pStyle w:val="Compact"/>
            </w:pPr>
            <w:r>
              <w:t>1/year</w:t>
            </w:r>
          </w:p>
        </w:tc>
      </w:tr>
      <w:tr w:rsidR="000F504F" w14:paraId="2752B565" w14:textId="77777777">
        <w:tc>
          <w:tcPr>
            <w:tcW w:w="2640" w:type="dxa"/>
          </w:tcPr>
          <w:p w14:paraId="42499365" w14:textId="77777777" w:rsidR="000F504F" w:rsidRDefault="00000000">
            <w:pPr>
              <w:pStyle w:val="Compact"/>
            </w:pPr>
            <m:oMathPara>
              <m:oMath>
                <m:sSub>
                  <m:sSubPr>
                    <m:ctrlPr>
                      <w:rPr>
                        <w:rFonts w:ascii="Cambria Math" w:hAnsi="Cambria Math"/>
                      </w:rPr>
                    </m:ctrlPr>
                  </m:sSubPr>
                  <m:e>
                    <m:r>
                      <w:rPr>
                        <w:rFonts w:ascii="Cambria Math" w:hAnsi="Cambria Math"/>
                      </w:rPr>
                      <m:t>D</m:t>
                    </m:r>
                  </m:e>
                  <m:sub>
                    <m:r>
                      <w:rPr>
                        <w:rFonts w:ascii="Cambria Math" w:hAnsi="Cambria Math"/>
                      </w:rPr>
                      <m:t>h</m:t>
                    </m:r>
                  </m:sub>
                </m:sSub>
              </m:oMath>
            </m:oMathPara>
          </w:p>
        </w:tc>
        <w:tc>
          <w:tcPr>
            <w:tcW w:w="2640" w:type="dxa"/>
          </w:tcPr>
          <w:p w14:paraId="1BA86B40" w14:textId="77777777" w:rsidR="000F504F" w:rsidRDefault="00000000">
            <w:pPr>
              <w:pStyle w:val="Compact"/>
            </w:pPr>
            <w:r>
              <w:t>Hydraulic diameter</w:t>
            </w:r>
          </w:p>
        </w:tc>
        <w:tc>
          <w:tcPr>
            <w:tcW w:w="2640" w:type="dxa"/>
          </w:tcPr>
          <w:p w14:paraId="27273CC2" w14:textId="77777777" w:rsidR="000F504F" w:rsidRDefault="00000000">
            <w:pPr>
              <w:pStyle w:val="Compact"/>
            </w:pPr>
            <w:r>
              <w:t>m</w:t>
            </w:r>
          </w:p>
        </w:tc>
      </w:tr>
      <w:tr w:rsidR="000F504F" w14:paraId="4B24906F" w14:textId="77777777">
        <w:tc>
          <w:tcPr>
            <w:tcW w:w="2640" w:type="dxa"/>
          </w:tcPr>
          <w:p w14:paraId="2B05B225" w14:textId="77777777" w:rsidR="000F504F" w:rsidRDefault="00000000">
            <w:pPr>
              <w:pStyle w:val="Compact"/>
            </w:pPr>
            <m:oMathPara>
              <m:oMath>
                <m:r>
                  <w:rPr>
                    <w:rFonts w:ascii="Cambria Math" w:hAnsi="Cambria Math"/>
                  </w:rPr>
                  <m:t>ECR</m:t>
                </m:r>
              </m:oMath>
            </m:oMathPara>
          </w:p>
        </w:tc>
        <w:tc>
          <w:tcPr>
            <w:tcW w:w="2640" w:type="dxa"/>
          </w:tcPr>
          <w:p w14:paraId="148FEFBD" w14:textId="77777777" w:rsidR="000F504F" w:rsidRDefault="00000000">
            <w:pPr>
              <w:pStyle w:val="Compact"/>
            </w:pPr>
            <w:r>
              <w:t>Equivalent cladding reacted</w:t>
            </w:r>
          </w:p>
        </w:tc>
        <w:tc>
          <w:tcPr>
            <w:tcW w:w="2640" w:type="dxa"/>
          </w:tcPr>
          <w:p w14:paraId="70ECE546" w14:textId="77777777" w:rsidR="000F504F" w:rsidRDefault="00000000">
            <w:pPr>
              <w:pStyle w:val="Compact"/>
            </w:pPr>
            <w:r>
              <w:t>%</w:t>
            </w:r>
          </w:p>
        </w:tc>
      </w:tr>
      <w:tr w:rsidR="000F504F" w14:paraId="21970541" w14:textId="77777777">
        <w:tc>
          <w:tcPr>
            <w:tcW w:w="2640" w:type="dxa"/>
          </w:tcPr>
          <w:p w14:paraId="54C5E2A4" w14:textId="77777777" w:rsidR="000F504F" w:rsidRDefault="00000000">
            <w:pPr>
              <w:pStyle w:val="Compact"/>
            </w:pPr>
            <m:oMathPara>
              <m:oMath>
                <m:r>
                  <w:rPr>
                    <w:rFonts w:ascii="Cambria Math" w:hAnsi="Cambria Math"/>
                  </w:rPr>
                  <m:t>G</m:t>
                </m:r>
              </m:oMath>
            </m:oMathPara>
          </w:p>
        </w:tc>
        <w:tc>
          <w:tcPr>
            <w:tcW w:w="2640" w:type="dxa"/>
          </w:tcPr>
          <w:p w14:paraId="46949222" w14:textId="77777777" w:rsidR="000F504F" w:rsidRDefault="00000000">
            <w:pPr>
              <w:pStyle w:val="Compact"/>
            </w:pPr>
            <w:r>
              <w:t>Mass flux</w:t>
            </w:r>
          </w:p>
        </w:tc>
        <w:tc>
          <w:tcPr>
            <w:tcW w:w="2640" w:type="dxa"/>
          </w:tcPr>
          <w:p w14:paraId="4CB6F30D" w14:textId="77777777" w:rsidR="000F504F" w:rsidRDefault="00000000">
            <w:pPr>
              <w:pStyle w:val="Compact"/>
            </w:pPr>
            <w:r>
              <w:t>kg/m²-s</w:t>
            </w:r>
          </w:p>
        </w:tc>
      </w:tr>
      <w:tr w:rsidR="000F504F" w14:paraId="1D8987C9" w14:textId="77777777">
        <w:tc>
          <w:tcPr>
            <w:tcW w:w="2640" w:type="dxa"/>
          </w:tcPr>
          <w:p w14:paraId="39B145B0" w14:textId="77777777" w:rsidR="000F504F" w:rsidRDefault="00000000">
            <w:pPr>
              <w:pStyle w:val="Compact"/>
            </w:pPr>
            <m:oMathPara>
              <m:oMath>
                <m:r>
                  <w:rPr>
                    <w:rFonts w:ascii="Cambria Math" w:hAnsi="Cambria Math"/>
                  </w:rPr>
                  <m:t>h</m:t>
                </m:r>
              </m:oMath>
            </m:oMathPara>
          </w:p>
        </w:tc>
        <w:tc>
          <w:tcPr>
            <w:tcW w:w="2640" w:type="dxa"/>
          </w:tcPr>
          <w:p w14:paraId="60CB37D1" w14:textId="77777777" w:rsidR="000F504F" w:rsidRDefault="00000000">
            <w:pPr>
              <w:pStyle w:val="Compact"/>
            </w:pPr>
            <w:r>
              <w:t>Specific enthalpy</w:t>
            </w:r>
          </w:p>
        </w:tc>
        <w:tc>
          <w:tcPr>
            <w:tcW w:w="2640" w:type="dxa"/>
          </w:tcPr>
          <w:p w14:paraId="6F2946AF" w14:textId="77777777" w:rsidR="000F504F" w:rsidRDefault="00000000">
            <w:pPr>
              <w:pStyle w:val="Compact"/>
            </w:pPr>
            <w:r>
              <w:t>J/kg</w:t>
            </w:r>
          </w:p>
        </w:tc>
      </w:tr>
      <w:tr w:rsidR="000F504F" w14:paraId="16501E9B" w14:textId="77777777">
        <w:tc>
          <w:tcPr>
            <w:tcW w:w="2640" w:type="dxa"/>
          </w:tcPr>
          <w:p w14:paraId="402AE630" w14:textId="77777777" w:rsidR="000F504F" w:rsidRDefault="00000000">
            <w:pPr>
              <w:pStyle w:val="Compact"/>
            </w:pPr>
            <m:oMathPara>
              <m:oMath>
                <m:sSub>
                  <m:sSubPr>
                    <m:ctrlPr>
                      <w:rPr>
                        <w:rFonts w:ascii="Cambria Math" w:hAnsi="Cambria Math"/>
                      </w:rPr>
                    </m:ctrlPr>
                  </m:sSubPr>
                  <m:e>
                    <m:r>
                      <w:rPr>
                        <w:rFonts w:ascii="Cambria Math" w:hAnsi="Cambria Math"/>
                      </w:rPr>
                      <m:t>h</m:t>
                    </m:r>
                  </m:e>
                  <m:sub>
                    <m:r>
                      <w:rPr>
                        <w:rFonts w:ascii="Cambria Math" w:hAnsi="Cambria Math"/>
                      </w:rPr>
                      <m:t>c</m:t>
                    </m:r>
                  </m:sub>
                </m:sSub>
              </m:oMath>
            </m:oMathPara>
          </w:p>
        </w:tc>
        <w:tc>
          <w:tcPr>
            <w:tcW w:w="2640" w:type="dxa"/>
          </w:tcPr>
          <w:p w14:paraId="48CD93CE" w14:textId="77777777" w:rsidR="000F504F" w:rsidRDefault="00000000">
            <w:pPr>
              <w:pStyle w:val="Compact"/>
            </w:pPr>
            <w:r>
              <w:t>Convective heat-transfer coefficient</w:t>
            </w:r>
          </w:p>
        </w:tc>
        <w:tc>
          <w:tcPr>
            <w:tcW w:w="2640" w:type="dxa"/>
          </w:tcPr>
          <w:p w14:paraId="11AC33E9" w14:textId="77777777" w:rsidR="000F504F" w:rsidRDefault="00000000">
            <w:pPr>
              <w:pStyle w:val="Compact"/>
            </w:pPr>
            <w:r>
              <w:t>W/m²-K</w:t>
            </w:r>
          </w:p>
        </w:tc>
      </w:tr>
      <w:tr w:rsidR="000F504F" w14:paraId="7168E4E7" w14:textId="77777777">
        <w:tc>
          <w:tcPr>
            <w:tcW w:w="2640" w:type="dxa"/>
          </w:tcPr>
          <w:p w14:paraId="1AB2D330" w14:textId="77777777" w:rsidR="000F504F" w:rsidRDefault="00000000">
            <w:pPr>
              <w:pStyle w:val="Compact"/>
            </w:pPr>
            <m:oMathPara>
              <m:oMath>
                <m:r>
                  <w:rPr>
                    <w:rFonts w:ascii="Cambria Math" w:hAnsi="Cambria Math"/>
                  </w:rPr>
                  <m:t>k</m:t>
                </m:r>
              </m:oMath>
            </m:oMathPara>
          </w:p>
        </w:tc>
        <w:tc>
          <w:tcPr>
            <w:tcW w:w="2640" w:type="dxa"/>
          </w:tcPr>
          <w:p w14:paraId="595C98BA" w14:textId="77777777" w:rsidR="000F504F" w:rsidRDefault="00000000">
            <w:pPr>
              <w:pStyle w:val="Compact"/>
            </w:pPr>
            <w:r>
              <w:t>Thermal conductivity</w:t>
            </w:r>
          </w:p>
        </w:tc>
        <w:tc>
          <w:tcPr>
            <w:tcW w:w="2640" w:type="dxa"/>
          </w:tcPr>
          <w:p w14:paraId="505BEB90" w14:textId="77777777" w:rsidR="000F504F" w:rsidRDefault="00000000">
            <w:pPr>
              <w:pStyle w:val="Compact"/>
            </w:pPr>
            <w:r>
              <w:t>W/m-K</w:t>
            </w:r>
          </w:p>
        </w:tc>
      </w:tr>
      <w:tr w:rsidR="000F504F" w14:paraId="653F9666" w14:textId="77777777">
        <w:tc>
          <w:tcPr>
            <w:tcW w:w="2640" w:type="dxa"/>
          </w:tcPr>
          <w:p w14:paraId="602259D8" w14:textId="77777777" w:rsidR="000F504F" w:rsidRDefault="00000000">
            <w:pPr>
              <w:pStyle w:val="Compact"/>
            </w:pPr>
            <m:oMathPara>
              <m:oMath>
                <m:r>
                  <w:rPr>
                    <w:rFonts w:ascii="Cambria Math" w:hAnsi="Cambria Math"/>
                  </w:rPr>
                  <m:t>M</m:t>
                </m:r>
              </m:oMath>
            </m:oMathPara>
          </w:p>
        </w:tc>
        <w:tc>
          <w:tcPr>
            <w:tcW w:w="2640" w:type="dxa"/>
          </w:tcPr>
          <w:p w14:paraId="20DD8AEA" w14:textId="77777777" w:rsidR="000F504F" w:rsidRDefault="00000000">
            <w:pPr>
              <w:pStyle w:val="Compact"/>
            </w:pPr>
            <w:r>
              <w:t>Mass</w:t>
            </w:r>
          </w:p>
        </w:tc>
        <w:tc>
          <w:tcPr>
            <w:tcW w:w="2640" w:type="dxa"/>
          </w:tcPr>
          <w:p w14:paraId="6E26E582" w14:textId="77777777" w:rsidR="000F504F" w:rsidRDefault="00000000">
            <w:pPr>
              <w:pStyle w:val="Compact"/>
            </w:pPr>
            <w:r>
              <w:t>kg</w:t>
            </w:r>
          </w:p>
        </w:tc>
      </w:tr>
      <w:tr w:rsidR="000F504F" w14:paraId="6305504B" w14:textId="77777777">
        <w:tc>
          <w:tcPr>
            <w:tcW w:w="2640" w:type="dxa"/>
          </w:tcPr>
          <w:p w14:paraId="5379AFBB" w14:textId="77777777" w:rsidR="000F504F" w:rsidRDefault="00000000">
            <w:pPr>
              <w:pStyle w:val="Compact"/>
            </w:pPr>
            <m:oMathPara>
              <m:oMath>
                <m:r>
                  <w:rPr>
                    <w:rFonts w:ascii="Cambria Math" w:hAnsi="Cambria Math"/>
                  </w:rPr>
                  <m:t>Nu</m:t>
                </m:r>
              </m:oMath>
            </m:oMathPara>
          </w:p>
        </w:tc>
        <w:tc>
          <w:tcPr>
            <w:tcW w:w="2640" w:type="dxa"/>
          </w:tcPr>
          <w:p w14:paraId="7E576941" w14:textId="77777777" w:rsidR="000F504F" w:rsidRDefault="00000000">
            <w:pPr>
              <w:pStyle w:val="Compact"/>
            </w:pPr>
            <w:r>
              <w:t>Nusselt number</w:t>
            </w:r>
          </w:p>
        </w:tc>
        <w:tc>
          <w:tcPr>
            <w:tcW w:w="2640" w:type="dxa"/>
          </w:tcPr>
          <w:p w14:paraId="7A6DD806" w14:textId="77777777" w:rsidR="000F504F" w:rsidRDefault="00000000">
            <w:pPr>
              <w:pStyle w:val="Compact"/>
            </w:pPr>
            <w:r>
              <w:t>—</w:t>
            </w:r>
          </w:p>
        </w:tc>
      </w:tr>
      <w:tr w:rsidR="000F504F" w14:paraId="731DF189" w14:textId="77777777">
        <w:tc>
          <w:tcPr>
            <w:tcW w:w="2640" w:type="dxa"/>
          </w:tcPr>
          <w:p w14:paraId="5DE63FA9" w14:textId="77777777" w:rsidR="000F504F" w:rsidRDefault="00000000">
            <w:pPr>
              <w:pStyle w:val="Compact"/>
            </w:pPr>
            <m:oMathPara>
              <m:oMath>
                <m:r>
                  <w:rPr>
                    <w:rFonts w:ascii="Cambria Math" w:hAnsi="Cambria Math"/>
                  </w:rPr>
                  <m:t>P</m:t>
                </m:r>
              </m:oMath>
            </m:oMathPara>
          </w:p>
        </w:tc>
        <w:tc>
          <w:tcPr>
            <w:tcW w:w="2640" w:type="dxa"/>
          </w:tcPr>
          <w:p w14:paraId="65251E3E" w14:textId="77777777" w:rsidR="000F504F" w:rsidRDefault="00000000">
            <w:pPr>
              <w:pStyle w:val="Compact"/>
            </w:pPr>
            <w:r>
              <w:t>Pressure</w:t>
            </w:r>
          </w:p>
        </w:tc>
        <w:tc>
          <w:tcPr>
            <w:tcW w:w="2640" w:type="dxa"/>
          </w:tcPr>
          <w:p w14:paraId="5C062749" w14:textId="77777777" w:rsidR="000F504F" w:rsidRDefault="00000000">
            <w:pPr>
              <w:pStyle w:val="Compact"/>
            </w:pPr>
            <w:r>
              <w:t>Pa or kPa</w:t>
            </w:r>
          </w:p>
        </w:tc>
      </w:tr>
      <w:tr w:rsidR="000F504F" w14:paraId="3F3D24E1" w14:textId="77777777">
        <w:tc>
          <w:tcPr>
            <w:tcW w:w="2640" w:type="dxa"/>
          </w:tcPr>
          <w:p w14:paraId="5EC802B0" w14:textId="77777777" w:rsidR="000F504F" w:rsidRDefault="00000000">
            <w:pPr>
              <w:pStyle w:val="Compact"/>
            </w:pPr>
            <m:oMathPara>
              <m:oMath>
                <m:r>
                  <w:rPr>
                    <w:rFonts w:ascii="Cambria Math" w:hAnsi="Cambria Math"/>
                  </w:rPr>
                  <m:t>Pr</m:t>
                </m:r>
              </m:oMath>
            </m:oMathPara>
          </w:p>
        </w:tc>
        <w:tc>
          <w:tcPr>
            <w:tcW w:w="2640" w:type="dxa"/>
          </w:tcPr>
          <w:p w14:paraId="3A1C05C3" w14:textId="77777777" w:rsidR="000F504F" w:rsidRDefault="00000000">
            <w:pPr>
              <w:pStyle w:val="Compact"/>
            </w:pPr>
            <w:r>
              <w:t>Prandtl number</w:t>
            </w:r>
          </w:p>
        </w:tc>
        <w:tc>
          <w:tcPr>
            <w:tcW w:w="2640" w:type="dxa"/>
          </w:tcPr>
          <w:p w14:paraId="6015CBED" w14:textId="77777777" w:rsidR="000F504F" w:rsidRDefault="00000000">
            <w:pPr>
              <w:pStyle w:val="Compact"/>
            </w:pPr>
            <w:r>
              <w:t>—</w:t>
            </w:r>
          </w:p>
        </w:tc>
      </w:tr>
      <w:tr w:rsidR="000F504F" w14:paraId="2C76ABC0" w14:textId="77777777">
        <w:tc>
          <w:tcPr>
            <w:tcW w:w="2640" w:type="dxa"/>
          </w:tcPr>
          <w:p w14:paraId="27BCA727" w14:textId="77777777" w:rsidR="000F504F" w:rsidRDefault="00000000">
            <w:pPr>
              <w:pStyle w:val="Compact"/>
            </w:pPr>
            <m:oMathPara>
              <m:oMath>
                <m:r>
                  <w:rPr>
                    <w:rFonts w:ascii="Cambria Math" w:hAnsi="Cambria Math"/>
                  </w:rPr>
                  <m:t>Q</m:t>
                </m:r>
              </m:oMath>
            </m:oMathPara>
          </w:p>
        </w:tc>
        <w:tc>
          <w:tcPr>
            <w:tcW w:w="2640" w:type="dxa"/>
          </w:tcPr>
          <w:p w14:paraId="0B654DBA" w14:textId="77777777" w:rsidR="000F504F" w:rsidRDefault="00000000">
            <w:pPr>
              <w:pStyle w:val="Compact"/>
            </w:pPr>
            <w:r>
              <w:t>Heat transfer rate or thermal power</w:t>
            </w:r>
          </w:p>
        </w:tc>
        <w:tc>
          <w:tcPr>
            <w:tcW w:w="2640" w:type="dxa"/>
          </w:tcPr>
          <w:p w14:paraId="486381C8" w14:textId="77777777" w:rsidR="000F504F" w:rsidRDefault="00000000">
            <w:pPr>
              <w:pStyle w:val="Compact"/>
            </w:pPr>
            <w:r>
              <w:t>W</w:t>
            </w:r>
          </w:p>
        </w:tc>
      </w:tr>
      <w:tr w:rsidR="000F504F" w14:paraId="79CB9DEE" w14:textId="77777777">
        <w:tc>
          <w:tcPr>
            <w:tcW w:w="2640" w:type="dxa"/>
          </w:tcPr>
          <w:p w14:paraId="5FA7B346" w14:textId="77777777" w:rsidR="000F504F" w:rsidRDefault="00000000">
            <w:pPr>
              <w:pStyle w:val="Compact"/>
            </w:pPr>
            <m:oMathPara>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m:oMathPara>
          </w:p>
        </w:tc>
        <w:tc>
          <w:tcPr>
            <w:tcW w:w="2640" w:type="dxa"/>
          </w:tcPr>
          <w:p w14:paraId="3F956C0E" w14:textId="77777777" w:rsidR="000F504F" w:rsidRDefault="00000000">
            <w:pPr>
              <w:pStyle w:val="Compact"/>
            </w:pPr>
            <w:r>
              <w:t>Heat flux</w:t>
            </w:r>
          </w:p>
        </w:tc>
        <w:tc>
          <w:tcPr>
            <w:tcW w:w="2640" w:type="dxa"/>
          </w:tcPr>
          <w:p w14:paraId="625F36F1" w14:textId="77777777" w:rsidR="000F504F" w:rsidRDefault="00000000">
            <w:pPr>
              <w:pStyle w:val="Compact"/>
            </w:pPr>
            <w:r>
              <w:t>W/m²</w:t>
            </w:r>
          </w:p>
        </w:tc>
      </w:tr>
      <w:tr w:rsidR="000F504F" w14:paraId="2AC46968" w14:textId="77777777">
        <w:tc>
          <w:tcPr>
            <w:tcW w:w="2640" w:type="dxa"/>
          </w:tcPr>
          <w:p w14:paraId="1376A043" w14:textId="77777777" w:rsidR="000F504F" w:rsidRDefault="00000000">
            <w:pPr>
              <w:pStyle w:val="Compact"/>
            </w:pPr>
            <m:oMathPara>
              <m:oMath>
                <m:r>
                  <w:rPr>
                    <w:rFonts w:ascii="Cambria Math" w:hAnsi="Cambria Math"/>
                  </w:rPr>
                  <m:t>Ra</m:t>
                </m:r>
              </m:oMath>
            </m:oMathPara>
          </w:p>
        </w:tc>
        <w:tc>
          <w:tcPr>
            <w:tcW w:w="2640" w:type="dxa"/>
          </w:tcPr>
          <w:p w14:paraId="48EED3ED" w14:textId="77777777" w:rsidR="000F504F" w:rsidRDefault="00000000">
            <w:pPr>
              <w:pStyle w:val="Compact"/>
            </w:pPr>
            <w:r>
              <w:t>Rayleigh number</w:t>
            </w:r>
          </w:p>
        </w:tc>
        <w:tc>
          <w:tcPr>
            <w:tcW w:w="2640" w:type="dxa"/>
          </w:tcPr>
          <w:p w14:paraId="0D44FDAC" w14:textId="77777777" w:rsidR="000F504F" w:rsidRDefault="00000000">
            <w:pPr>
              <w:pStyle w:val="Compact"/>
            </w:pPr>
            <w:r>
              <w:t>—</w:t>
            </w:r>
          </w:p>
        </w:tc>
      </w:tr>
      <w:tr w:rsidR="000F504F" w14:paraId="32426D45" w14:textId="77777777">
        <w:tc>
          <w:tcPr>
            <w:tcW w:w="2640" w:type="dxa"/>
          </w:tcPr>
          <w:p w14:paraId="4C0C7DEB" w14:textId="77777777" w:rsidR="000F504F" w:rsidRDefault="00000000">
            <w:pPr>
              <w:pStyle w:val="Compact"/>
            </w:pPr>
            <m:oMathPara>
              <m:oMath>
                <m:r>
                  <w:rPr>
                    <w:rFonts w:ascii="Cambria Math" w:hAnsi="Cambria Math"/>
                  </w:rPr>
                  <m:t>Re</m:t>
                </m:r>
              </m:oMath>
            </m:oMathPara>
          </w:p>
        </w:tc>
        <w:tc>
          <w:tcPr>
            <w:tcW w:w="2640" w:type="dxa"/>
          </w:tcPr>
          <w:p w14:paraId="1647709F" w14:textId="77777777" w:rsidR="000F504F" w:rsidRDefault="00000000">
            <w:pPr>
              <w:pStyle w:val="Compact"/>
            </w:pPr>
            <w:r>
              <w:t>Reynolds number</w:t>
            </w:r>
          </w:p>
        </w:tc>
        <w:tc>
          <w:tcPr>
            <w:tcW w:w="2640" w:type="dxa"/>
          </w:tcPr>
          <w:p w14:paraId="4DB84BD8" w14:textId="77777777" w:rsidR="000F504F" w:rsidRDefault="00000000">
            <w:pPr>
              <w:pStyle w:val="Compact"/>
            </w:pPr>
            <w:r>
              <w:t>—</w:t>
            </w:r>
          </w:p>
        </w:tc>
      </w:tr>
      <w:tr w:rsidR="000F504F" w14:paraId="67C7C3BF" w14:textId="77777777">
        <w:tc>
          <w:tcPr>
            <w:tcW w:w="2640" w:type="dxa"/>
          </w:tcPr>
          <w:p w14:paraId="3966B4B4" w14:textId="77777777" w:rsidR="000F504F" w:rsidRDefault="00000000">
            <w:pPr>
              <w:pStyle w:val="Compact"/>
            </w:pPr>
            <m:oMathPara>
              <m:oMath>
                <m:r>
                  <w:rPr>
                    <w:rFonts w:ascii="Cambria Math" w:hAnsi="Cambria Math"/>
                  </w:rPr>
                  <m:t>S</m:t>
                </m:r>
              </m:oMath>
            </m:oMathPara>
          </w:p>
        </w:tc>
        <w:tc>
          <w:tcPr>
            <w:tcW w:w="2640" w:type="dxa"/>
          </w:tcPr>
          <w:p w14:paraId="342F1F8E" w14:textId="77777777" w:rsidR="000F504F" w:rsidRDefault="00000000">
            <w:pPr>
              <w:pStyle w:val="Compact"/>
            </w:pPr>
            <w:r>
              <w:t>Slip ratio</w:t>
            </w:r>
          </w:p>
        </w:tc>
        <w:tc>
          <w:tcPr>
            <w:tcW w:w="2640" w:type="dxa"/>
          </w:tcPr>
          <w:p w14:paraId="0EDA4CFA" w14:textId="77777777" w:rsidR="000F504F" w:rsidRDefault="00000000">
            <w:pPr>
              <w:pStyle w:val="Compact"/>
            </w:pPr>
            <w:r>
              <w:t>—</w:t>
            </w:r>
          </w:p>
        </w:tc>
      </w:tr>
      <w:tr w:rsidR="000F504F" w14:paraId="695C0C11" w14:textId="77777777">
        <w:tc>
          <w:tcPr>
            <w:tcW w:w="2640" w:type="dxa"/>
          </w:tcPr>
          <w:p w14:paraId="75AD67AD" w14:textId="77777777" w:rsidR="000F504F" w:rsidRDefault="00000000">
            <w:pPr>
              <w:pStyle w:val="Compact"/>
            </w:pPr>
            <m:oMathPara>
              <m:oMath>
                <m:r>
                  <w:rPr>
                    <w:rFonts w:ascii="Cambria Math" w:hAnsi="Cambria Math"/>
                  </w:rPr>
                  <m:t>T</m:t>
                </m:r>
              </m:oMath>
            </m:oMathPara>
          </w:p>
        </w:tc>
        <w:tc>
          <w:tcPr>
            <w:tcW w:w="2640" w:type="dxa"/>
          </w:tcPr>
          <w:p w14:paraId="186F4A44" w14:textId="77777777" w:rsidR="000F504F" w:rsidRDefault="00000000">
            <w:pPr>
              <w:pStyle w:val="Compact"/>
            </w:pPr>
            <w:r>
              <w:t>Temperature</w:t>
            </w:r>
          </w:p>
        </w:tc>
        <w:tc>
          <w:tcPr>
            <w:tcW w:w="2640" w:type="dxa"/>
          </w:tcPr>
          <w:p w14:paraId="0080D445" w14:textId="77777777" w:rsidR="000F504F" w:rsidRDefault="00000000">
            <w:pPr>
              <w:pStyle w:val="Compact"/>
            </w:pPr>
            <w:r>
              <w:t>K or °C</w:t>
            </w:r>
          </w:p>
        </w:tc>
      </w:tr>
      <w:tr w:rsidR="000F504F" w14:paraId="5A8FA146" w14:textId="77777777">
        <w:tc>
          <w:tcPr>
            <w:tcW w:w="2640" w:type="dxa"/>
          </w:tcPr>
          <w:p w14:paraId="0B47E071" w14:textId="77777777" w:rsidR="000F504F" w:rsidRDefault="00000000">
            <w:pPr>
              <w:pStyle w:val="Compact"/>
            </w:pPr>
            <m:oMathPara>
              <m:oMath>
                <m:r>
                  <w:rPr>
                    <w:rFonts w:ascii="Cambria Math" w:hAnsi="Cambria Math"/>
                  </w:rPr>
                  <m:t>U</m:t>
                </m:r>
              </m:oMath>
            </m:oMathPara>
          </w:p>
        </w:tc>
        <w:tc>
          <w:tcPr>
            <w:tcW w:w="2640" w:type="dxa"/>
          </w:tcPr>
          <w:p w14:paraId="5F79FC15" w14:textId="77777777" w:rsidR="000F504F" w:rsidRDefault="00000000">
            <w:pPr>
              <w:pStyle w:val="Compact"/>
            </w:pPr>
            <w:r>
              <w:t>Internal energy</w:t>
            </w:r>
          </w:p>
        </w:tc>
        <w:tc>
          <w:tcPr>
            <w:tcW w:w="2640" w:type="dxa"/>
          </w:tcPr>
          <w:p w14:paraId="65C891D6" w14:textId="77777777" w:rsidR="000F504F" w:rsidRDefault="00000000">
            <w:pPr>
              <w:pStyle w:val="Compact"/>
            </w:pPr>
            <w:r>
              <w:t>J</w:t>
            </w:r>
          </w:p>
        </w:tc>
      </w:tr>
      <w:tr w:rsidR="000F504F" w14:paraId="2BF56A26" w14:textId="77777777">
        <w:tc>
          <w:tcPr>
            <w:tcW w:w="2640" w:type="dxa"/>
          </w:tcPr>
          <w:p w14:paraId="532ACECC" w14:textId="77777777" w:rsidR="000F504F" w:rsidRDefault="00000000">
            <w:pPr>
              <w:pStyle w:val="Compact"/>
            </w:pPr>
            <m:oMathPara>
              <m:oMath>
                <m:r>
                  <w:rPr>
                    <w:rFonts w:ascii="Cambria Math" w:hAnsi="Cambria Math"/>
                  </w:rPr>
                  <m:t>v</m:t>
                </m:r>
              </m:oMath>
            </m:oMathPara>
          </w:p>
        </w:tc>
        <w:tc>
          <w:tcPr>
            <w:tcW w:w="2640" w:type="dxa"/>
          </w:tcPr>
          <w:p w14:paraId="2C4C562E" w14:textId="77777777" w:rsidR="000F504F" w:rsidRDefault="00000000">
            <w:pPr>
              <w:pStyle w:val="Compact"/>
            </w:pPr>
            <w:r>
              <w:t>Specific volume</w:t>
            </w:r>
          </w:p>
        </w:tc>
        <w:tc>
          <w:tcPr>
            <w:tcW w:w="2640" w:type="dxa"/>
          </w:tcPr>
          <w:p w14:paraId="0792F609" w14:textId="77777777" w:rsidR="000F504F" w:rsidRDefault="00000000">
            <w:pPr>
              <w:pStyle w:val="Compact"/>
            </w:pPr>
            <w:r>
              <w:t>m³/kg</w:t>
            </w:r>
          </w:p>
        </w:tc>
      </w:tr>
      <w:tr w:rsidR="000F504F" w14:paraId="2BFC9E38" w14:textId="77777777">
        <w:tc>
          <w:tcPr>
            <w:tcW w:w="2640" w:type="dxa"/>
          </w:tcPr>
          <w:p w14:paraId="00F5F419" w14:textId="77777777" w:rsidR="000F504F" w:rsidRDefault="00000000">
            <w:pPr>
              <w:pStyle w:val="Compact"/>
            </w:pPr>
            <m:oMathPara>
              <m:oMath>
                <m:sSub>
                  <m:sSubPr>
                    <m:ctrlPr>
                      <w:rPr>
                        <w:rFonts w:ascii="Cambria Math" w:hAnsi="Cambria Math"/>
                      </w:rPr>
                    </m:ctrlPr>
                  </m:sSubPr>
                  <m:e>
                    <m:r>
                      <w:rPr>
                        <w:rFonts w:ascii="Cambria Math" w:hAnsi="Cambria Math"/>
                      </w:rPr>
                      <m:t>x</m:t>
                    </m:r>
                  </m:e>
                  <m:sub>
                    <m:r>
                      <w:rPr>
                        <w:rFonts w:ascii="Cambria Math" w:hAnsi="Cambria Math"/>
                      </w:rPr>
                      <m:t>eq</m:t>
                    </m:r>
                  </m:sub>
                </m:sSub>
              </m:oMath>
            </m:oMathPara>
          </w:p>
        </w:tc>
        <w:tc>
          <w:tcPr>
            <w:tcW w:w="2640" w:type="dxa"/>
          </w:tcPr>
          <w:p w14:paraId="76A210B6" w14:textId="77777777" w:rsidR="000F504F" w:rsidRDefault="00000000">
            <w:pPr>
              <w:pStyle w:val="Compact"/>
            </w:pPr>
            <w:r>
              <w:t>Equilibrium quality</w:t>
            </w:r>
          </w:p>
        </w:tc>
        <w:tc>
          <w:tcPr>
            <w:tcW w:w="2640" w:type="dxa"/>
          </w:tcPr>
          <w:p w14:paraId="426807B6" w14:textId="77777777" w:rsidR="000F504F" w:rsidRDefault="00000000">
            <w:pPr>
              <w:pStyle w:val="Compact"/>
            </w:pPr>
            <w:r>
              <w:t>—</w:t>
            </w:r>
          </w:p>
        </w:tc>
      </w:tr>
      <w:tr w:rsidR="000F504F" w14:paraId="1CB56EFE" w14:textId="77777777">
        <w:tc>
          <w:tcPr>
            <w:tcW w:w="2640" w:type="dxa"/>
          </w:tcPr>
          <w:p w14:paraId="154EA0AA" w14:textId="77777777" w:rsidR="000F504F" w:rsidRDefault="00000000">
            <w:pPr>
              <w:pStyle w:val="Compact"/>
            </w:pPr>
            <m:oMathPara>
              <m:oMath>
                <m:sSub>
                  <m:sSubPr>
                    <m:ctrlPr>
                      <w:rPr>
                        <w:rFonts w:ascii="Cambria Math" w:hAnsi="Cambria Math"/>
                      </w:rPr>
                    </m:ctrlPr>
                  </m:sSubPr>
                  <m:e>
                    <m:r>
                      <w:rPr>
                        <w:rFonts w:ascii="Cambria Math" w:hAnsi="Cambria Math"/>
                      </w:rPr>
                      <m:t>α</m:t>
                    </m:r>
                  </m:e>
                  <m:sub>
                    <m:r>
                      <w:rPr>
                        <w:rFonts w:ascii="Cambria Math" w:hAnsi="Cambria Math"/>
                      </w:rPr>
                      <m:t>D</m:t>
                    </m:r>
                  </m:sub>
                </m:sSub>
              </m:oMath>
            </m:oMathPara>
          </w:p>
        </w:tc>
        <w:tc>
          <w:tcPr>
            <w:tcW w:w="2640" w:type="dxa"/>
          </w:tcPr>
          <w:p w14:paraId="047656D4" w14:textId="77777777" w:rsidR="000F504F" w:rsidRDefault="00000000">
            <w:pPr>
              <w:pStyle w:val="Compact"/>
            </w:pPr>
            <w:r>
              <w:t>Doppler coefficient</w:t>
            </w:r>
          </w:p>
        </w:tc>
        <w:tc>
          <w:tcPr>
            <w:tcW w:w="2640" w:type="dxa"/>
          </w:tcPr>
          <w:p w14:paraId="4AEDB7EA" w14:textId="77777777" w:rsidR="000F504F" w:rsidRDefault="00000000">
            <w:pPr>
              <w:pStyle w:val="Compact"/>
            </w:pPr>
            <w:r>
              <w:t>pcm/°C</w:t>
            </w:r>
          </w:p>
        </w:tc>
      </w:tr>
      <w:tr w:rsidR="000F504F" w14:paraId="34B046BF" w14:textId="77777777">
        <w:tc>
          <w:tcPr>
            <w:tcW w:w="2640" w:type="dxa"/>
          </w:tcPr>
          <w:p w14:paraId="776FB7B9" w14:textId="77777777" w:rsidR="000F504F" w:rsidRDefault="00000000">
            <w:pPr>
              <w:pStyle w:val="Compact"/>
            </w:pPr>
            <m:oMathPara>
              <m:oMath>
                <m:r>
                  <w:rPr>
                    <w:rFonts w:ascii="Cambria Math" w:hAnsi="Cambria Math"/>
                  </w:rPr>
                  <m:t>β</m:t>
                </m:r>
              </m:oMath>
            </m:oMathPara>
          </w:p>
        </w:tc>
        <w:tc>
          <w:tcPr>
            <w:tcW w:w="2640" w:type="dxa"/>
          </w:tcPr>
          <w:p w14:paraId="13E82FEB" w14:textId="77777777" w:rsidR="000F504F" w:rsidRDefault="00000000">
            <w:pPr>
              <w:pStyle w:val="Compact"/>
            </w:pPr>
            <w:r>
              <w:t>Delayed neutron fraction</w:t>
            </w:r>
          </w:p>
        </w:tc>
        <w:tc>
          <w:tcPr>
            <w:tcW w:w="2640" w:type="dxa"/>
          </w:tcPr>
          <w:p w14:paraId="4D82F9A6" w14:textId="77777777" w:rsidR="000F504F" w:rsidRDefault="00000000">
            <w:pPr>
              <w:pStyle w:val="Compact"/>
            </w:pPr>
            <w:r>
              <w:t>—</w:t>
            </w:r>
          </w:p>
        </w:tc>
      </w:tr>
      <w:tr w:rsidR="000F504F" w14:paraId="1E2BB024" w14:textId="77777777">
        <w:tc>
          <w:tcPr>
            <w:tcW w:w="2640" w:type="dxa"/>
          </w:tcPr>
          <w:p w14:paraId="6996E760" w14:textId="77777777" w:rsidR="000F504F" w:rsidRDefault="00000000">
            <w:pPr>
              <w:pStyle w:val="Compact"/>
            </w:pPr>
            <m:oMathPara>
              <m:oMath>
                <m:r>
                  <w:rPr>
                    <w:rFonts w:ascii="Cambria Math" w:hAnsi="Cambria Math"/>
                  </w:rPr>
                  <m:t>Λ</m:t>
                </m:r>
              </m:oMath>
            </m:oMathPara>
          </w:p>
        </w:tc>
        <w:tc>
          <w:tcPr>
            <w:tcW w:w="2640" w:type="dxa"/>
          </w:tcPr>
          <w:p w14:paraId="5D372D7B" w14:textId="77777777" w:rsidR="000F504F" w:rsidRDefault="00000000">
            <w:pPr>
              <w:pStyle w:val="Compact"/>
            </w:pPr>
            <w:r>
              <w:t>Prompt neutron generation time</w:t>
            </w:r>
          </w:p>
        </w:tc>
        <w:tc>
          <w:tcPr>
            <w:tcW w:w="2640" w:type="dxa"/>
          </w:tcPr>
          <w:p w14:paraId="28D8BF32" w14:textId="77777777" w:rsidR="000F504F" w:rsidRDefault="00000000">
            <w:pPr>
              <w:pStyle w:val="Compact"/>
            </w:pPr>
            <w:r>
              <w:t>s</w:t>
            </w:r>
          </w:p>
        </w:tc>
      </w:tr>
      <w:tr w:rsidR="000F504F" w14:paraId="11CB6503" w14:textId="77777777">
        <w:tc>
          <w:tcPr>
            <w:tcW w:w="2640" w:type="dxa"/>
          </w:tcPr>
          <w:p w14:paraId="0D1119CA" w14:textId="77777777" w:rsidR="000F504F" w:rsidRDefault="00000000">
            <w:pPr>
              <w:pStyle w:val="Compact"/>
            </w:pPr>
            <m:oMathPara>
              <m:oMath>
                <m:r>
                  <w:rPr>
                    <w:rFonts w:ascii="Cambria Math" w:hAnsi="Cambria Math"/>
                  </w:rPr>
                  <m:t>ρ</m:t>
                </m:r>
              </m:oMath>
            </m:oMathPara>
          </w:p>
        </w:tc>
        <w:tc>
          <w:tcPr>
            <w:tcW w:w="2640" w:type="dxa"/>
          </w:tcPr>
          <w:p w14:paraId="64172383" w14:textId="77777777" w:rsidR="000F504F" w:rsidRDefault="00000000">
            <w:pPr>
              <w:pStyle w:val="Compact"/>
            </w:pPr>
            <w:r>
              <w:t>Reactivity or density, depending on context</w:t>
            </w:r>
          </w:p>
        </w:tc>
        <w:tc>
          <w:tcPr>
            <w:tcW w:w="2640" w:type="dxa"/>
          </w:tcPr>
          <w:p w14:paraId="66BA3D37" w14:textId="77777777" w:rsidR="000F504F" w:rsidRDefault="00000000">
            <w:pPr>
              <w:pStyle w:val="Compact"/>
            </w:pPr>
            <w:r>
              <w:t>— or kg/m³</w:t>
            </w:r>
          </w:p>
        </w:tc>
      </w:tr>
      <w:tr w:rsidR="000F504F" w14:paraId="230F0F5F" w14:textId="77777777">
        <w:tc>
          <w:tcPr>
            <w:tcW w:w="2640" w:type="dxa"/>
          </w:tcPr>
          <w:p w14:paraId="42EEEB7F" w14:textId="77777777" w:rsidR="000F504F" w:rsidRDefault="00000000">
            <w:pPr>
              <w:pStyle w:val="Compact"/>
            </w:pPr>
            <m:oMathPara>
              <m:oMath>
                <m:r>
                  <w:rPr>
                    <w:rFonts w:ascii="Cambria Math" w:hAnsi="Cambria Math"/>
                  </w:rPr>
                  <m:t>σ</m:t>
                </m:r>
              </m:oMath>
            </m:oMathPara>
          </w:p>
        </w:tc>
        <w:tc>
          <w:tcPr>
            <w:tcW w:w="2640" w:type="dxa"/>
          </w:tcPr>
          <w:p w14:paraId="62CD44F2" w14:textId="77777777" w:rsidR="000F504F" w:rsidRDefault="00000000">
            <w:pPr>
              <w:pStyle w:val="Compact"/>
            </w:pPr>
            <w:r>
              <w:t>Stefan-Boltzmann constant when used in radiation</w:t>
            </w:r>
          </w:p>
        </w:tc>
        <w:tc>
          <w:tcPr>
            <w:tcW w:w="2640" w:type="dxa"/>
          </w:tcPr>
          <w:p w14:paraId="77DAE1A3" w14:textId="77777777" w:rsidR="000F504F" w:rsidRDefault="00000000">
            <w:pPr>
              <w:pStyle w:val="Compact"/>
            </w:pPr>
            <w:r>
              <w:t>W/m²-K⁴</w:t>
            </w:r>
          </w:p>
        </w:tc>
      </w:tr>
    </w:tbl>
    <w:p w14:paraId="487F9961" w14:textId="77777777" w:rsidR="0074712A" w:rsidRDefault="0074712A">
      <w:pPr>
        <w:pStyle w:val="Heading1"/>
      </w:pPr>
      <w:bookmarkStart w:id="102" w:name="appendix-b-model-flags-reference"/>
      <w:bookmarkEnd w:id="100"/>
      <w:r>
        <w:br w:type="page"/>
      </w:r>
    </w:p>
    <w:p w14:paraId="13CD6B62" w14:textId="75B8AADB" w:rsidR="000F504F" w:rsidRDefault="00000000">
      <w:pPr>
        <w:pStyle w:val="Heading1"/>
      </w:pPr>
      <w:bookmarkStart w:id="103" w:name="_Toc231232946"/>
      <w:r>
        <w:lastRenderedPageBreak/>
        <w:t>Appendix B — Model Flags Reference</w:t>
      </w:r>
      <w:bookmarkEnd w:id="103"/>
    </w:p>
    <w:tbl>
      <w:tblPr>
        <w:tblStyle w:val="Table"/>
        <w:tblW w:w="5000" w:type="pct"/>
        <w:tblLayout w:type="fixed"/>
        <w:tblLook w:val="0020" w:firstRow="1" w:lastRow="0" w:firstColumn="0" w:lastColumn="0" w:noHBand="0" w:noVBand="0"/>
      </w:tblPr>
      <w:tblGrid>
        <w:gridCol w:w="3003"/>
        <w:gridCol w:w="4003"/>
        <w:gridCol w:w="3002"/>
      </w:tblGrid>
      <w:tr w:rsidR="000F504F" w14:paraId="6A542393" w14:textId="77777777" w:rsidTr="000F504F">
        <w:trPr>
          <w:cnfStyle w:val="100000000000" w:firstRow="1" w:lastRow="0" w:firstColumn="0" w:lastColumn="0" w:oddVBand="0" w:evenVBand="0" w:oddHBand="0" w:evenHBand="0" w:firstRowFirstColumn="0" w:firstRowLastColumn="0" w:lastRowFirstColumn="0" w:lastRowLastColumn="0"/>
          <w:tblHeader/>
        </w:trPr>
        <w:tc>
          <w:tcPr>
            <w:tcW w:w="2376" w:type="dxa"/>
          </w:tcPr>
          <w:p w14:paraId="4A9D4719" w14:textId="77777777" w:rsidR="000F504F" w:rsidRDefault="00000000">
            <w:pPr>
              <w:pStyle w:val="Compact"/>
            </w:pPr>
            <w:r>
              <w:t>Flag</w:t>
            </w:r>
          </w:p>
        </w:tc>
        <w:tc>
          <w:tcPr>
            <w:tcW w:w="3168" w:type="dxa"/>
          </w:tcPr>
          <w:p w14:paraId="0EBD6247" w14:textId="77777777" w:rsidR="000F504F" w:rsidRDefault="00000000">
            <w:pPr>
              <w:pStyle w:val="Compact"/>
              <w:jc w:val="right"/>
            </w:pPr>
            <w:r>
              <w:t>Default</w:t>
            </w:r>
          </w:p>
        </w:tc>
        <w:tc>
          <w:tcPr>
            <w:tcW w:w="2376" w:type="dxa"/>
          </w:tcPr>
          <w:p w14:paraId="126FE941" w14:textId="77777777" w:rsidR="000F504F" w:rsidRDefault="00000000">
            <w:pPr>
              <w:pStyle w:val="Compact"/>
            </w:pPr>
            <w:r>
              <w:t>Activates or controls</w:t>
            </w:r>
          </w:p>
        </w:tc>
      </w:tr>
      <w:tr w:rsidR="000F504F" w14:paraId="635506E4" w14:textId="77777777">
        <w:tc>
          <w:tcPr>
            <w:tcW w:w="2376" w:type="dxa"/>
          </w:tcPr>
          <w:p w14:paraId="38E5AAC0" w14:textId="77777777" w:rsidR="000F504F" w:rsidRDefault="00000000">
            <w:pPr>
              <w:pStyle w:val="Compact"/>
            </w:pPr>
            <w:r>
              <w:rPr>
                <w:rStyle w:val="VerbatimChar"/>
              </w:rPr>
              <w:t>core_flag</w:t>
            </w:r>
          </w:p>
        </w:tc>
        <w:tc>
          <w:tcPr>
            <w:tcW w:w="3168" w:type="dxa"/>
          </w:tcPr>
          <w:p w14:paraId="5DD45440" w14:textId="77777777" w:rsidR="000F504F" w:rsidRDefault="00000000">
            <w:pPr>
              <w:pStyle w:val="Compact"/>
              <w:jc w:val="right"/>
            </w:pPr>
            <w:r>
              <w:t>1</w:t>
            </w:r>
          </w:p>
        </w:tc>
        <w:tc>
          <w:tcPr>
            <w:tcW w:w="2376" w:type="dxa"/>
          </w:tcPr>
          <w:p w14:paraId="35B1068C" w14:textId="77777777" w:rsidR="000F504F" w:rsidRDefault="00000000">
            <w:pPr>
              <w:pStyle w:val="Compact"/>
            </w:pPr>
            <w:r>
              <w:t>Cladding slab conduction, Dittus-Boelter HTC, hot-channel, DNBR, and fuel integrity metrics.</w:t>
            </w:r>
          </w:p>
        </w:tc>
      </w:tr>
      <w:tr w:rsidR="000F504F" w14:paraId="57E0A47F" w14:textId="77777777">
        <w:tc>
          <w:tcPr>
            <w:tcW w:w="2376" w:type="dxa"/>
          </w:tcPr>
          <w:p w14:paraId="4FF65775" w14:textId="77777777" w:rsidR="000F504F" w:rsidRDefault="00000000">
            <w:pPr>
              <w:pStyle w:val="Compact"/>
            </w:pPr>
            <w:r>
              <w:rPr>
                <w:rStyle w:val="VerbatimChar"/>
              </w:rPr>
              <w:t>pump_flag</w:t>
            </w:r>
          </w:p>
        </w:tc>
        <w:tc>
          <w:tcPr>
            <w:tcW w:w="3168" w:type="dxa"/>
          </w:tcPr>
          <w:p w14:paraId="3885FC4B" w14:textId="77777777" w:rsidR="000F504F" w:rsidRDefault="00000000">
            <w:pPr>
              <w:pStyle w:val="Compact"/>
              <w:jc w:val="right"/>
            </w:pPr>
            <w:r>
              <w:t>1</w:t>
            </w:r>
          </w:p>
        </w:tc>
        <w:tc>
          <w:tcPr>
            <w:tcW w:w="2376" w:type="dxa"/>
          </w:tcPr>
          <w:p w14:paraId="072CAC74" w14:textId="77777777" w:rsidR="000F504F" w:rsidRDefault="00000000">
            <w:pPr>
              <w:pStyle w:val="Compact"/>
            </w:pPr>
            <w:r>
              <w:t>RCP coastdown and primary-flow scaling.</w:t>
            </w:r>
          </w:p>
        </w:tc>
      </w:tr>
      <w:tr w:rsidR="000F504F" w14:paraId="1255C3AE" w14:textId="77777777">
        <w:tc>
          <w:tcPr>
            <w:tcW w:w="2376" w:type="dxa"/>
          </w:tcPr>
          <w:p w14:paraId="60138B7B" w14:textId="77777777" w:rsidR="000F504F" w:rsidRDefault="00000000">
            <w:pPr>
              <w:pStyle w:val="Compact"/>
            </w:pPr>
            <w:r>
              <w:rPr>
                <w:rStyle w:val="VerbatimChar"/>
              </w:rPr>
              <w:t>sg_flag</w:t>
            </w:r>
          </w:p>
        </w:tc>
        <w:tc>
          <w:tcPr>
            <w:tcW w:w="3168" w:type="dxa"/>
          </w:tcPr>
          <w:p w14:paraId="68DAC460" w14:textId="77777777" w:rsidR="000F504F" w:rsidRDefault="00000000">
            <w:pPr>
              <w:pStyle w:val="Compact"/>
              <w:jc w:val="right"/>
            </w:pPr>
            <w:r>
              <w:t>1</w:t>
            </w:r>
          </w:p>
        </w:tc>
        <w:tc>
          <w:tcPr>
            <w:tcW w:w="2376" w:type="dxa"/>
          </w:tcPr>
          <w:p w14:paraId="2BAC76C9" w14:textId="77777777" w:rsidR="000F504F" w:rsidRDefault="00000000">
            <w:pPr>
              <w:pStyle w:val="Compact"/>
            </w:pPr>
            <w:r>
              <w:t>Steam-generator heat removal.</w:t>
            </w:r>
          </w:p>
        </w:tc>
      </w:tr>
      <w:tr w:rsidR="000F504F" w14:paraId="6A86BDCA" w14:textId="77777777">
        <w:tc>
          <w:tcPr>
            <w:tcW w:w="2376" w:type="dxa"/>
          </w:tcPr>
          <w:p w14:paraId="7F40A8B3" w14:textId="77777777" w:rsidR="000F504F" w:rsidRDefault="00000000">
            <w:pPr>
              <w:pStyle w:val="Compact"/>
            </w:pPr>
            <w:r>
              <w:rPr>
                <w:rStyle w:val="VerbatimChar"/>
              </w:rPr>
              <w:t>sg_table_flag</w:t>
            </w:r>
          </w:p>
        </w:tc>
        <w:tc>
          <w:tcPr>
            <w:tcW w:w="3168" w:type="dxa"/>
          </w:tcPr>
          <w:p w14:paraId="6E94C799" w14:textId="77777777" w:rsidR="000F504F" w:rsidRDefault="00000000">
            <w:pPr>
              <w:pStyle w:val="Compact"/>
              <w:jc w:val="right"/>
            </w:pPr>
            <w:r>
              <w:t>0</w:t>
            </w:r>
          </w:p>
        </w:tc>
        <w:tc>
          <w:tcPr>
            <w:tcW w:w="2376" w:type="dxa"/>
          </w:tcPr>
          <w:p w14:paraId="5CBA1A10" w14:textId="77777777" w:rsidR="000F504F" w:rsidRDefault="00000000">
            <w:pPr>
              <w:pStyle w:val="Compact"/>
            </w:pPr>
            <w:r>
              <w:t>Prescribed steam-generator heat removal from input table.</w:t>
            </w:r>
          </w:p>
        </w:tc>
      </w:tr>
      <w:tr w:rsidR="000F504F" w14:paraId="2BEDD2D2" w14:textId="77777777">
        <w:tc>
          <w:tcPr>
            <w:tcW w:w="2376" w:type="dxa"/>
          </w:tcPr>
          <w:p w14:paraId="4E2BD063" w14:textId="77777777" w:rsidR="000F504F" w:rsidRDefault="00000000">
            <w:pPr>
              <w:pStyle w:val="Compact"/>
            </w:pPr>
            <w:r>
              <w:rPr>
                <w:rStyle w:val="VerbatimChar"/>
              </w:rPr>
              <w:t>ria_flag</w:t>
            </w:r>
          </w:p>
        </w:tc>
        <w:tc>
          <w:tcPr>
            <w:tcW w:w="3168" w:type="dxa"/>
          </w:tcPr>
          <w:p w14:paraId="01E65649" w14:textId="77777777" w:rsidR="000F504F" w:rsidRDefault="00000000">
            <w:pPr>
              <w:pStyle w:val="Compact"/>
              <w:jc w:val="right"/>
            </w:pPr>
            <w:r>
              <w:t>0</w:t>
            </w:r>
          </w:p>
        </w:tc>
        <w:tc>
          <w:tcPr>
            <w:tcW w:w="2376" w:type="dxa"/>
          </w:tcPr>
          <w:p w14:paraId="7C88ECB5" w14:textId="77777777" w:rsidR="000F504F" w:rsidRDefault="00000000">
            <w:pPr>
              <w:pStyle w:val="Compact"/>
            </w:pPr>
            <w:r>
              <w:t>RIA mode with external reactivity table.</w:t>
            </w:r>
          </w:p>
        </w:tc>
      </w:tr>
      <w:tr w:rsidR="000F504F" w14:paraId="6E01FFF2" w14:textId="77777777">
        <w:tc>
          <w:tcPr>
            <w:tcW w:w="2376" w:type="dxa"/>
          </w:tcPr>
          <w:p w14:paraId="5DBD7E74" w14:textId="77777777" w:rsidR="000F504F" w:rsidRDefault="00000000">
            <w:pPr>
              <w:pStyle w:val="Compact"/>
            </w:pPr>
            <w:r>
              <w:rPr>
                <w:rStyle w:val="VerbatimChar"/>
              </w:rPr>
              <w:t>pja_flag</w:t>
            </w:r>
          </w:p>
        </w:tc>
        <w:tc>
          <w:tcPr>
            <w:tcW w:w="3168" w:type="dxa"/>
          </w:tcPr>
          <w:p w14:paraId="49A922DF" w14:textId="77777777" w:rsidR="000F504F" w:rsidRDefault="00000000">
            <w:pPr>
              <w:pStyle w:val="Compact"/>
              <w:jc w:val="right"/>
            </w:pPr>
            <w:r>
              <w:t>0</w:t>
            </w:r>
          </w:p>
        </w:tc>
        <w:tc>
          <w:tcPr>
            <w:tcW w:w="2376" w:type="dxa"/>
          </w:tcPr>
          <w:p w14:paraId="78ABB314" w14:textId="77777777" w:rsidR="000F504F" w:rsidRDefault="00000000">
            <w:pPr>
              <w:pStyle w:val="Compact"/>
            </w:pPr>
            <w:r>
              <w:t>Prompt jump approximation for RIA calculations.</w:t>
            </w:r>
          </w:p>
        </w:tc>
      </w:tr>
      <w:tr w:rsidR="000F504F" w14:paraId="39331775" w14:textId="77777777">
        <w:tc>
          <w:tcPr>
            <w:tcW w:w="2376" w:type="dxa"/>
          </w:tcPr>
          <w:p w14:paraId="5DC4E684" w14:textId="77777777" w:rsidR="000F504F" w:rsidRDefault="00000000">
            <w:pPr>
              <w:pStyle w:val="Compact"/>
            </w:pPr>
            <w:r>
              <w:rPr>
                <w:rStyle w:val="VerbatimChar"/>
              </w:rPr>
              <w:t>cond_flag</w:t>
            </w:r>
          </w:p>
        </w:tc>
        <w:tc>
          <w:tcPr>
            <w:tcW w:w="3168" w:type="dxa"/>
          </w:tcPr>
          <w:p w14:paraId="65CC3CAE" w14:textId="77777777" w:rsidR="000F504F" w:rsidRDefault="00000000">
            <w:pPr>
              <w:pStyle w:val="Compact"/>
              <w:jc w:val="right"/>
            </w:pPr>
            <w:r>
              <w:t>0</w:t>
            </w:r>
          </w:p>
        </w:tc>
        <w:tc>
          <w:tcPr>
            <w:tcW w:w="2376" w:type="dxa"/>
          </w:tcPr>
          <w:p w14:paraId="6740BA2C" w14:textId="77777777" w:rsidR="000F504F" w:rsidRDefault="00000000">
            <w:pPr>
              <w:pStyle w:val="Compact"/>
            </w:pPr>
            <w:r>
              <w:t>Generic heat-structure model.</w:t>
            </w:r>
          </w:p>
        </w:tc>
      </w:tr>
      <w:tr w:rsidR="000F504F" w14:paraId="4E039D82" w14:textId="77777777">
        <w:tc>
          <w:tcPr>
            <w:tcW w:w="2376" w:type="dxa"/>
          </w:tcPr>
          <w:p w14:paraId="7817A570" w14:textId="77777777" w:rsidR="000F504F" w:rsidRDefault="00000000">
            <w:pPr>
              <w:pStyle w:val="Compact"/>
            </w:pPr>
            <w:r>
              <w:rPr>
                <w:rStyle w:val="VerbatimChar"/>
              </w:rPr>
              <w:t>full_power_flag</w:t>
            </w:r>
          </w:p>
        </w:tc>
        <w:tc>
          <w:tcPr>
            <w:tcW w:w="3168" w:type="dxa"/>
          </w:tcPr>
          <w:p w14:paraId="3E32B3E5" w14:textId="77777777" w:rsidR="000F504F" w:rsidRDefault="00000000">
            <w:pPr>
              <w:pStyle w:val="Compact"/>
              <w:jc w:val="right"/>
            </w:pPr>
            <w:r>
              <w:t>0</w:t>
            </w:r>
          </w:p>
        </w:tc>
        <w:tc>
          <w:tcPr>
            <w:tcW w:w="2376" w:type="dxa"/>
          </w:tcPr>
          <w:p w14:paraId="3A2C3BEC" w14:textId="77777777" w:rsidR="000F504F" w:rsidRDefault="00000000">
            <w:pPr>
              <w:pStyle w:val="Compact"/>
            </w:pPr>
            <w:r>
              <w:t>Holds power at rated and inhibits automatic trip logic for selected ATWS/steady-state cases.</w:t>
            </w:r>
          </w:p>
        </w:tc>
      </w:tr>
      <w:tr w:rsidR="000F504F" w14:paraId="0B2EA611" w14:textId="77777777">
        <w:tc>
          <w:tcPr>
            <w:tcW w:w="2376" w:type="dxa"/>
          </w:tcPr>
          <w:p w14:paraId="7BBE56B8" w14:textId="77777777" w:rsidR="000F504F" w:rsidRDefault="00000000">
            <w:pPr>
              <w:pStyle w:val="Compact"/>
            </w:pPr>
            <w:r>
              <w:rPr>
                <w:rStyle w:val="VerbatimChar"/>
              </w:rPr>
              <w:t>scram_on_PORV</w:t>
            </w:r>
          </w:p>
        </w:tc>
        <w:tc>
          <w:tcPr>
            <w:tcW w:w="3168" w:type="dxa"/>
          </w:tcPr>
          <w:p w14:paraId="5011D085" w14:textId="77777777" w:rsidR="000F504F" w:rsidRDefault="00000000">
            <w:pPr>
              <w:pStyle w:val="Compact"/>
              <w:jc w:val="right"/>
            </w:pPr>
            <w:r>
              <w:t>0</w:t>
            </w:r>
          </w:p>
        </w:tc>
        <w:tc>
          <w:tcPr>
            <w:tcW w:w="2376" w:type="dxa"/>
          </w:tcPr>
          <w:p w14:paraId="56796BEF" w14:textId="77777777" w:rsidR="000F504F" w:rsidRDefault="00000000">
            <w:pPr>
              <w:pStyle w:val="Compact"/>
            </w:pPr>
            <w:r>
              <w:t>Initiates reactor trip when PORV first opens.</w:t>
            </w:r>
          </w:p>
        </w:tc>
      </w:tr>
      <w:tr w:rsidR="000F504F" w14:paraId="4514F156" w14:textId="77777777">
        <w:tc>
          <w:tcPr>
            <w:tcW w:w="2376" w:type="dxa"/>
          </w:tcPr>
          <w:p w14:paraId="17A57F6B" w14:textId="77777777" w:rsidR="000F504F" w:rsidRDefault="00000000">
            <w:pPr>
              <w:pStyle w:val="Compact"/>
            </w:pPr>
            <w:r>
              <w:rPr>
                <w:rStyle w:val="VerbatimChar"/>
              </w:rPr>
              <w:t>minimum_output</w:t>
            </w:r>
          </w:p>
        </w:tc>
        <w:tc>
          <w:tcPr>
            <w:tcW w:w="3168" w:type="dxa"/>
          </w:tcPr>
          <w:p w14:paraId="4315E9E9" w14:textId="77777777" w:rsidR="000F504F" w:rsidRDefault="00000000">
            <w:pPr>
              <w:pStyle w:val="Compact"/>
              <w:jc w:val="right"/>
            </w:pPr>
            <w:r>
              <w:t>0</w:t>
            </w:r>
          </w:p>
        </w:tc>
        <w:tc>
          <w:tcPr>
            <w:tcW w:w="2376" w:type="dxa"/>
          </w:tcPr>
          <w:p w14:paraId="3ABB78C5" w14:textId="77777777" w:rsidR="000F504F" w:rsidRDefault="00000000">
            <w:pPr>
              <w:pStyle w:val="Compact"/>
            </w:pPr>
            <w:r>
              <w:t>CSV-only output mode; skips selected Excel and figure generation.</w:t>
            </w:r>
          </w:p>
        </w:tc>
      </w:tr>
      <w:tr w:rsidR="000F504F" w14:paraId="3E18FDB7" w14:textId="77777777">
        <w:tc>
          <w:tcPr>
            <w:tcW w:w="2376" w:type="dxa"/>
          </w:tcPr>
          <w:p w14:paraId="4F7B4CEE" w14:textId="77777777" w:rsidR="000F504F" w:rsidRDefault="00000000">
            <w:pPr>
              <w:pStyle w:val="Compact"/>
            </w:pPr>
            <w:r>
              <w:rPr>
                <w:rStyle w:val="VerbatimChar"/>
              </w:rPr>
              <w:t>si_enabled</w:t>
            </w:r>
          </w:p>
        </w:tc>
        <w:tc>
          <w:tcPr>
            <w:tcW w:w="3168" w:type="dxa"/>
          </w:tcPr>
          <w:p w14:paraId="48431463" w14:textId="77777777" w:rsidR="000F504F" w:rsidRDefault="00000000">
            <w:pPr>
              <w:pStyle w:val="Compact"/>
              <w:jc w:val="right"/>
            </w:pPr>
            <w:r>
              <w:t>True</w:t>
            </w:r>
          </w:p>
        </w:tc>
        <w:tc>
          <w:tcPr>
            <w:tcW w:w="2376" w:type="dxa"/>
          </w:tcPr>
          <w:p w14:paraId="5071F035" w14:textId="77777777" w:rsidR="000F504F" w:rsidRDefault="00000000">
            <w:pPr>
              <w:pStyle w:val="Compact"/>
            </w:pPr>
            <w:r>
              <w:t>Enables ECCS injection models.</w:t>
            </w:r>
          </w:p>
        </w:tc>
      </w:tr>
      <w:tr w:rsidR="000F504F" w14:paraId="76BD6747" w14:textId="77777777">
        <w:tc>
          <w:tcPr>
            <w:tcW w:w="2376" w:type="dxa"/>
          </w:tcPr>
          <w:p w14:paraId="5FCA34DD" w14:textId="77777777" w:rsidR="000F504F" w:rsidRDefault="00000000">
            <w:pPr>
              <w:pStyle w:val="Compact"/>
            </w:pPr>
            <w:r>
              <w:rPr>
                <w:rStyle w:val="VerbatimChar"/>
              </w:rPr>
              <w:t>pzr_control_enabled</w:t>
            </w:r>
          </w:p>
        </w:tc>
        <w:tc>
          <w:tcPr>
            <w:tcW w:w="3168" w:type="dxa"/>
          </w:tcPr>
          <w:p w14:paraId="6B5AE4E3" w14:textId="77777777" w:rsidR="000F504F" w:rsidRDefault="00000000">
            <w:pPr>
              <w:pStyle w:val="Compact"/>
              <w:jc w:val="right"/>
            </w:pPr>
            <w:r>
              <w:t>0</w:t>
            </w:r>
          </w:p>
        </w:tc>
        <w:tc>
          <w:tcPr>
            <w:tcW w:w="2376" w:type="dxa"/>
          </w:tcPr>
          <w:p w14:paraId="190BDA2B" w14:textId="77777777" w:rsidR="000F504F" w:rsidRDefault="00000000">
            <w:pPr>
              <w:pStyle w:val="Compact"/>
            </w:pPr>
            <w:r>
              <w:t>Enables pressurizer heater/spray PI controller for steady-state initialization studies.</w:t>
            </w:r>
          </w:p>
        </w:tc>
      </w:tr>
    </w:tbl>
    <w:p w14:paraId="6A71BBEC" w14:textId="77777777" w:rsidR="00413995" w:rsidRDefault="00413995">
      <w:pPr>
        <w:pStyle w:val="Heading1"/>
      </w:pPr>
      <w:bookmarkStart w:id="104" w:name="references"/>
      <w:bookmarkEnd w:id="102"/>
      <w:r>
        <w:br w:type="page"/>
      </w:r>
    </w:p>
    <w:p w14:paraId="5B300FD1" w14:textId="742FD7AB" w:rsidR="000F504F" w:rsidRDefault="00000000">
      <w:pPr>
        <w:pStyle w:val="Heading1"/>
      </w:pPr>
      <w:bookmarkStart w:id="105" w:name="_Toc231232947"/>
      <w:r>
        <w:lastRenderedPageBreak/>
        <w:t>References</w:t>
      </w:r>
      <w:bookmarkEnd w:id="105"/>
    </w:p>
    <w:p w14:paraId="5DDBBD09" w14:textId="77777777" w:rsidR="000F504F" w:rsidRDefault="00000000">
      <w:pPr>
        <w:pStyle w:val="FirstParagraph"/>
      </w:pPr>
      <w:r>
        <w:t>ANSI/ANS-5.1 (1979). American National Standard for Decay Heat Power in Light Water Reactors.</w:t>
      </w:r>
    </w:p>
    <w:p w14:paraId="51EFE2A0" w14:textId="77777777" w:rsidR="000F504F" w:rsidRDefault="00000000">
      <w:pPr>
        <w:pStyle w:val="BodyText"/>
      </w:pPr>
      <w:r>
        <w:t>Baker, L. and Just, L.C. (1962). Studies of Metal-Water Reactions at High Temperatures. ANL-6548.</w:t>
      </w:r>
    </w:p>
    <w:p w14:paraId="7AD60497" w14:textId="77777777" w:rsidR="000F504F" w:rsidRDefault="00000000">
      <w:pPr>
        <w:pStyle w:val="BodyText"/>
      </w:pPr>
      <w:r>
        <w:t>Biasi, L. et al. (1967). Studies on burnout for flowing steam-water mixtures. Energia Nucleare, 14(9), 530-536.</w:t>
      </w:r>
    </w:p>
    <w:p w14:paraId="7F7B0758" w14:textId="77777777" w:rsidR="000F504F" w:rsidRDefault="00000000">
      <w:pPr>
        <w:pStyle w:val="BodyText"/>
      </w:pPr>
      <w:r>
        <w:t>Bowring, R.W. (1972). Simple but accurate round tube, uniform heat flux, dryout correlation over the pressure range 0.7 to 17 MN/m². AEEW-R789.</w:t>
      </w:r>
    </w:p>
    <w:p w14:paraId="2DD5A9CA" w14:textId="77777777" w:rsidR="000F504F" w:rsidRDefault="00000000">
      <w:pPr>
        <w:pStyle w:val="BodyText"/>
      </w:pPr>
      <w:r>
        <w:t>Bromley, L.A. (1950). Heat transfer in stable film boiling. Chemical Engineering Progress, 46(5), 221-227.</w:t>
      </w:r>
    </w:p>
    <w:p w14:paraId="78DF76BB" w14:textId="77777777" w:rsidR="000F504F" w:rsidRDefault="00000000">
      <w:pPr>
        <w:pStyle w:val="BodyText"/>
      </w:pPr>
      <w:r>
        <w:t>Churchill, S.W. and Chu, H.H.S. (1975). Correlating equations for laminar and turbulent free convection from a vertical plate. International Journal of Heat and Mass Transfer, 18(11), 1323-1329.</w:t>
      </w:r>
    </w:p>
    <w:p w14:paraId="2FDAE7A9" w14:textId="77777777" w:rsidR="000F504F" w:rsidRDefault="00000000">
      <w:pPr>
        <w:pStyle w:val="BodyText"/>
      </w:pPr>
      <w:r>
        <w:t>Dittus, F.W. and Boelter, L.M.K. (1930). Heat transfer in automobile radiators. University of California Publications in Engineering, 2(13), 443-461.</w:t>
      </w:r>
    </w:p>
    <w:p w14:paraId="63367CAC" w14:textId="77777777" w:rsidR="00C51312" w:rsidRDefault="00C51312" w:rsidP="00C51312">
      <w:pPr>
        <w:pStyle w:val="BodyText"/>
      </w:pPr>
      <w:r>
        <w:t>Farmer, F.R. (1967). Siting criteria - a new approach. International Atomic Energy Agency Symposium on Containment and Siting of Nuclear Power Plants.</w:t>
      </w:r>
    </w:p>
    <w:p w14:paraId="7BF5FE74" w14:textId="77777777" w:rsidR="000F504F" w:rsidRDefault="00000000">
      <w:pPr>
        <w:pStyle w:val="BodyText"/>
      </w:pPr>
      <w:r>
        <w:t>Fauske, H.K. (1962). Contribution to the theory of two-phase, one-component critical flow. ANL-6633.</w:t>
      </w:r>
    </w:p>
    <w:p w14:paraId="272FB3F5" w14:textId="77777777" w:rsidR="000F504F" w:rsidRDefault="00000000">
      <w:pPr>
        <w:pStyle w:val="BodyText"/>
      </w:pPr>
      <w:r>
        <w:t>Henry, R.E. and Fauske, H.K. (1971). The two-phase critical flow of one-component mixtures in nozzles, orifices, and short tubes. Journal of Heat Transfer.</w:t>
      </w:r>
    </w:p>
    <w:p w14:paraId="6C1795BE" w14:textId="77777777" w:rsidR="000F504F" w:rsidRDefault="00000000">
      <w:pPr>
        <w:pStyle w:val="BodyText"/>
      </w:pPr>
      <w:r>
        <w:t>Liles, D.R. and Reed, W.H. (1978). A semi-implicit method for two-phase fluid dynamics. Journal of Computational Physics, 26(3), 390-407.</w:t>
      </w:r>
    </w:p>
    <w:p w14:paraId="5FD88EC3" w14:textId="77777777" w:rsidR="000F504F" w:rsidRDefault="00000000">
      <w:pPr>
        <w:pStyle w:val="BodyText"/>
      </w:pPr>
      <w:r>
        <w:t>Margolis, S.G. and Redfield, J.A. (1966). FLASH: A Program for Digital Simulation of the Loss-of-Coolant Accident. WAPD-TM-534.</w:t>
      </w:r>
    </w:p>
    <w:p w14:paraId="11E9A8AF" w14:textId="77777777" w:rsidR="000F504F" w:rsidRDefault="00000000">
      <w:pPr>
        <w:pStyle w:val="BodyText"/>
      </w:pPr>
      <w:r>
        <w:t>Martin, R.P. and Frepoli, C. (Eds.) (2019). Design-Basis Accident Analysis Methods for Light-Water Nuclear Power Plants. World Scientific Publishing.</w:t>
      </w:r>
    </w:p>
    <w:p w14:paraId="4BF8ECE2" w14:textId="77777777" w:rsidR="000F504F" w:rsidRDefault="00000000">
      <w:pPr>
        <w:pStyle w:val="BodyText"/>
      </w:pPr>
      <w:r>
        <w:t>Moody, F.J. (1965). Maximum flow rate of a single component, two-phase mixture. ASME Journal of Heat Transfer, 87(1), 134-142.</w:t>
      </w:r>
    </w:p>
    <w:p w14:paraId="6AEF76FF" w14:textId="77777777" w:rsidR="000F504F" w:rsidRDefault="00000000">
      <w:pPr>
        <w:pStyle w:val="BodyText"/>
      </w:pPr>
      <w:r>
        <w:t>NEI (2019). NEI 18-04 Rev. 1: Risk-Informed Performance-Based Technology-Inclusive Guidance. Nuclear Energy Institute.</w:t>
      </w:r>
    </w:p>
    <w:p w14:paraId="0AA68B99" w14:textId="77777777" w:rsidR="00C51312" w:rsidRDefault="00C51312" w:rsidP="00C51312">
      <w:pPr>
        <w:pStyle w:val="BodyText"/>
      </w:pPr>
      <w:r>
        <w:t>Martin, R.P. and Nutt, W.T. (2011). Perspectives on the application of order-statistics in best-estimate plus uncertainty nuclear safety analysis. Nuclear Engineering and Design, 241, 274-284.</w:t>
      </w:r>
    </w:p>
    <w:p w14:paraId="324620E2" w14:textId="77777777" w:rsidR="00C51312" w:rsidRDefault="00C51312" w:rsidP="00C51312">
      <w:pPr>
        <w:pStyle w:val="BodyText"/>
      </w:pPr>
      <w:r>
        <w:t>Nutt, W.T. and Wallis, G.B. (2004). Evaluation of nuclear safety from the outputs of computer codes in the presence of uncertainties. Reliability Engineering and System Safety.</w:t>
      </w:r>
    </w:p>
    <w:p w14:paraId="47684FB3" w14:textId="77777777" w:rsidR="00C51312" w:rsidRDefault="00C51312" w:rsidP="00C51312">
      <w:pPr>
        <w:pStyle w:val="BodyText"/>
      </w:pPr>
      <w:r>
        <w:t>Somerville, P.N. (1958). Tables for obtaining non-parametric tolerance limits. Annals of Mathematical Statistics.</w:t>
      </w:r>
    </w:p>
    <w:p w14:paraId="1D6986DD" w14:textId="77777777" w:rsidR="00C51312" w:rsidRDefault="00C51312" w:rsidP="00C51312">
      <w:pPr>
        <w:pStyle w:val="BodyText"/>
      </w:pPr>
      <w:r>
        <w:t>Tong, L.S. and Tang, Y.S. (1997). Boiling Heat Transfer and Two-Phase Flow, 2nd ed. Taylor &amp; Francis.</w:t>
      </w:r>
    </w:p>
    <w:p w14:paraId="7FB506C0" w14:textId="41E112E1" w:rsidR="000F504F" w:rsidRDefault="00C51312">
      <w:pPr>
        <w:pStyle w:val="BodyText"/>
      </w:pPr>
      <w:r>
        <w:t>U.S. Nuclear Regulatory Commission (2020). Regulatory Guide 1.233: Guidance for a Technology-Inclusive, Risk-Informed, and Performance-Based Methodology to Inform the Licensing Basis and Content of Applications for Licenses, Certifications, and Approvals for Non-Light-Water Reactors.</w:t>
      </w:r>
    </w:p>
    <w:p w14:paraId="5ED0E62A" w14:textId="567D1DEC" w:rsidR="000F504F" w:rsidRDefault="00C51312">
      <w:pPr>
        <w:pStyle w:val="BodyText"/>
      </w:pPr>
      <w:r>
        <w:t>U.S. Nuclear Regulatory Commission (2005). Regulatory Guide 1.203: Transient and Accident Analysis Methods.</w:t>
      </w:r>
    </w:p>
    <w:p w14:paraId="7052F63A" w14:textId="5C8FB281" w:rsidR="00C51312" w:rsidRDefault="00C51312" w:rsidP="00C51312">
      <w:pPr>
        <w:pStyle w:val="FirstParagraph"/>
      </w:pPr>
      <w:r>
        <w:lastRenderedPageBreak/>
        <w:t xml:space="preserve">U.S. Nuclear Regulatory Commission (2012), Regulatory Guide 1.183, </w:t>
      </w:r>
      <w:r>
        <w:rPr>
          <w:i/>
          <w:iCs/>
        </w:rPr>
        <w:t>Alternative Radiological Source Terms for Evaluating Design Basis Accidents at Nuclear Power Reactors</w:t>
      </w:r>
      <w:r>
        <w:t>.</w:t>
      </w:r>
    </w:p>
    <w:p w14:paraId="39BCF68C" w14:textId="77777777" w:rsidR="00C51312" w:rsidRDefault="00C51312" w:rsidP="00C51312">
      <w:pPr>
        <w:pStyle w:val="BodyText"/>
      </w:pPr>
      <w:r>
        <w:t xml:space="preserve">U.S. Nuclear Regulatory Commission, NUREG-1465, </w:t>
      </w:r>
      <w:r>
        <w:rPr>
          <w:i/>
          <w:iCs/>
        </w:rPr>
        <w:t>Accident Source Terms for Light-Water Nuclear Power Plants</w:t>
      </w:r>
      <w:r>
        <w:t>.</w:t>
      </w:r>
    </w:p>
    <w:p w14:paraId="214B2CDB" w14:textId="4F6A71BB" w:rsidR="00C51312" w:rsidRDefault="00C51312" w:rsidP="00C51312">
      <w:pPr>
        <w:pStyle w:val="BodyText"/>
      </w:pPr>
      <w:r>
        <w:t xml:space="preserve">U.S. Nuclear Regulatory Commission, </w:t>
      </w:r>
      <w:r>
        <w:rPr>
          <w:i/>
          <w:iCs/>
        </w:rPr>
        <w:t>RADTRAD: A Simplified Model for RADionuclide Transport and Removal and Dose Estimation</w:t>
      </w:r>
      <w:r>
        <w:t>.</w:t>
      </w:r>
    </w:p>
    <w:p w14:paraId="5C0498C9" w14:textId="77777777" w:rsidR="00C51312" w:rsidRDefault="00C51312" w:rsidP="00C51312">
      <w:pPr>
        <w:pStyle w:val="BodyText"/>
      </w:pPr>
      <w:r>
        <w:t xml:space="preserve">U.S. Nuclear Regulatory Commission, Regulatory Guide 1.195, </w:t>
      </w:r>
      <w:r>
        <w:rPr>
          <w:i/>
          <w:iCs/>
        </w:rPr>
        <w:t>Methods and Assumptions for Evaluating Radiological Consequences of Design Basis Accidents at Light-Water Nuclear Power Reactors</w:t>
      </w:r>
      <w:r>
        <w:t>.</w:t>
      </w:r>
    </w:p>
    <w:p w14:paraId="3454D9E5" w14:textId="77777777" w:rsidR="000F504F" w:rsidRDefault="00000000">
      <w:pPr>
        <w:pStyle w:val="BodyText"/>
      </w:pPr>
      <w:r>
        <w:t>Wald, A. (1943). An extension of Wilks’ method for setting tolerance limits. Annals of Mathematical Statistics.</w:t>
      </w:r>
    </w:p>
    <w:p w14:paraId="3637FE02" w14:textId="77777777" w:rsidR="000F504F" w:rsidRDefault="00000000">
      <w:pPr>
        <w:pStyle w:val="BodyText"/>
      </w:pPr>
      <w:r>
        <w:t>Wallis, G.B. and Nutt, W.T. (2005). On the statistical treatment of multiple limits in safety analysis. Nuclear Engineering and Design.</w:t>
      </w:r>
    </w:p>
    <w:p w14:paraId="1D186813" w14:textId="77777777" w:rsidR="000F504F" w:rsidRDefault="00000000">
      <w:pPr>
        <w:pStyle w:val="BodyText"/>
      </w:pPr>
      <w:r>
        <w:t>Wilks, S.S. (1942). Statistical prediction with special reference to the problem of tolerance limits. Annals of Mathematical Statistics.</w:t>
      </w:r>
    </w:p>
    <w:p w14:paraId="703FCFB3" w14:textId="77777777" w:rsidR="00C51312" w:rsidRDefault="00C51312" w:rsidP="00C51312">
      <w:pPr>
        <w:pStyle w:val="BodyText"/>
      </w:pPr>
      <w:r>
        <w:t>Wilks, S.S. (1941). Determination of sample sizes for setting tolerance limits. Annals of Mathematical Statistics, 12(1), 91-96.</w:t>
      </w:r>
    </w:p>
    <w:p w14:paraId="4C5D501B" w14:textId="77777777" w:rsidR="000F504F" w:rsidRDefault="00000000">
      <w:pPr>
        <w:pStyle w:val="BodyText"/>
      </w:pPr>
      <w:r>
        <w:t>Zuber, N. (1959). Hydrodynamic aspects of boiling heat transfer. AECU-4439.</w:t>
      </w:r>
      <w:bookmarkEnd w:id="104"/>
    </w:p>
    <w:sectPr w:rsidR="000F504F">
      <w:footerReference w:type="default" r:id="rId8"/>
      <w:pgSz w:w="12240" w:h="15840"/>
      <w:pgMar w:top="1080" w:right="1224" w:bottom="1080"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6DC02A" w14:textId="77777777" w:rsidR="005A447D" w:rsidRDefault="005A447D">
      <w:pPr>
        <w:spacing w:after="0"/>
      </w:pPr>
      <w:r>
        <w:separator/>
      </w:r>
    </w:p>
  </w:endnote>
  <w:endnote w:type="continuationSeparator" w:id="0">
    <w:p w14:paraId="025DD98E" w14:textId="77777777" w:rsidR="005A447D" w:rsidRDefault="005A447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8899422"/>
      <w:docPartObj>
        <w:docPartGallery w:val="Page Numbers (Bottom of Page)"/>
        <w:docPartUnique/>
      </w:docPartObj>
    </w:sdtPr>
    <w:sdtEndPr>
      <w:rPr>
        <w:noProof/>
      </w:rPr>
    </w:sdtEndPr>
    <w:sdtContent>
      <w:p w14:paraId="23B62F30" w14:textId="06F96FF9" w:rsidR="00413995" w:rsidRDefault="0041399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16F59CA" w14:textId="77777777" w:rsidR="00413995" w:rsidRDefault="004139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AE070" w14:textId="77777777" w:rsidR="005A447D" w:rsidRDefault="005A447D">
      <w:r>
        <w:separator/>
      </w:r>
    </w:p>
  </w:footnote>
  <w:footnote w:type="continuationSeparator" w:id="0">
    <w:p w14:paraId="44EE6F95" w14:textId="77777777" w:rsidR="005A447D" w:rsidRDefault="005A447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8EE4439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2" w15:restartNumberingAfterBreak="0">
    <w:nsid w:val="0A453579"/>
    <w:multiLevelType w:val="multilevel"/>
    <w:tmpl w:val="C54C6C8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94277124">
    <w:abstractNumId w:val="0"/>
  </w:num>
  <w:num w:numId="2" w16cid:durableId="1224633857">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390025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F504F"/>
    <w:rsid w:val="000F504F"/>
    <w:rsid w:val="001F0D14"/>
    <w:rsid w:val="00413995"/>
    <w:rsid w:val="00447AEE"/>
    <w:rsid w:val="00447CE9"/>
    <w:rsid w:val="005A447D"/>
    <w:rsid w:val="0074712A"/>
    <w:rsid w:val="00864BA2"/>
    <w:rsid w:val="008950EB"/>
    <w:rsid w:val="0089743A"/>
    <w:rsid w:val="009F4E8D"/>
    <w:rsid w:val="00A63F53"/>
    <w:rsid w:val="00C17023"/>
    <w:rsid w:val="00C51312"/>
    <w:rsid w:val="00D74B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C0738E"/>
  <w15:docId w15:val="{0491F9FF-C460-4D84-B8D6-72711B6E8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1"/>
    </w:rPr>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sz w:val="24"/>
    </w:rPr>
  </w:style>
  <w:style w:type="paragraph" w:styleId="Heading5">
    <w:name w:val="heading 5"/>
    <w:basedOn w:val="Normal"/>
    <w:next w:val="BodyText"/>
    <w:link w:val="Heading5Char"/>
    <w:uiPriority w:val="9"/>
    <w:unhideWhenUsed/>
    <w:qFormat/>
    <w:pPr>
      <w:keepNext/>
      <w:keepLines/>
      <w:spacing w:before="200" w:after="0"/>
      <w:outlineLvl w:val="4"/>
    </w:pPr>
    <w:rPr>
      <w:rFonts w:asciiTheme="majorHAnsi" w:eastAsiaTheme="majorEastAsia" w:hAnsiTheme="majorHAnsi" w:cstheme="majorBidi"/>
      <w:iCs/>
      <w:color w:val="4F81BD" w:themeColor="accent1"/>
      <w:sz w:val="24"/>
    </w:rPr>
  </w:style>
  <w:style w:type="paragraph" w:styleId="Heading6">
    <w:name w:val="heading 6"/>
    <w:basedOn w:val="Normal"/>
    <w:next w:val="BodyText"/>
    <w:link w:val="Heading6Char"/>
    <w:uiPriority w:val="9"/>
    <w:unhideWhenUsed/>
    <w:qFormat/>
    <w:pPr>
      <w:keepNext/>
      <w:keepLines/>
      <w:spacing w:before="200" w:after="0"/>
      <w:outlineLvl w:val="5"/>
    </w:pPr>
    <w:rPr>
      <w:rFonts w:asciiTheme="majorHAnsi" w:eastAsiaTheme="majorEastAsia" w:hAnsiTheme="majorHAnsi" w:cstheme="majorBidi"/>
      <w:color w:val="4F81BD" w:themeColor="accent1"/>
      <w:sz w:val="24"/>
    </w:rPr>
  </w:style>
  <w:style w:type="paragraph" w:styleId="Heading7">
    <w:name w:val="heading 7"/>
    <w:basedOn w:val="Normal"/>
    <w:next w:val="BodyText"/>
    <w:link w:val="Heading7Char"/>
    <w:uiPriority w:val="9"/>
    <w:unhideWhenUsed/>
    <w:qFormat/>
    <w:pPr>
      <w:keepNext/>
      <w:keepLines/>
      <w:spacing w:before="200" w:after="0"/>
      <w:outlineLvl w:val="6"/>
    </w:pPr>
    <w:rPr>
      <w:rFonts w:asciiTheme="majorHAnsi" w:eastAsiaTheme="majorEastAsia" w:hAnsiTheme="majorHAnsi" w:cstheme="majorBidi"/>
      <w:color w:val="4F81BD" w:themeColor="accent1"/>
      <w:sz w:val="24"/>
    </w:rPr>
  </w:style>
  <w:style w:type="paragraph" w:styleId="Heading8">
    <w:name w:val="heading 8"/>
    <w:basedOn w:val="Normal"/>
    <w:next w:val="BodyText"/>
    <w:link w:val="Heading8Char"/>
    <w:uiPriority w:val="9"/>
    <w:unhideWhenUsed/>
    <w:qFormat/>
    <w:pPr>
      <w:keepNext/>
      <w:keepLines/>
      <w:spacing w:before="200" w:after="0"/>
      <w:outlineLvl w:val="7"/>
    </w:pPr>
    <w:rPr>
      <w:rFonts w:asciiTheme="majorHAnsi" w:eastAsiaTheme="majorEastAsia" w:hAnsiTheme="majorHAnsi" w:cstheme="majorBidi"/>
      <w:color w:val="4F81BD" w:themeColor="accent1"/>
      <w:sz w:val="24"/>
    </w:rPr>
  </w:style>
  <w:style w:type="paragraph" w:styleId="Heading9">
    <w:name w:val="heading 9"/>
    <w:basedOn w:val="Normal"/>
    <w:next w:val="BodyText"/>
    <w:link w:val="Heading9Char"/>
    <w:uiPriority w:val="9"/>
    <w:unhideWhenUsed/>
    <w:qFormat/>
    <w:pPr>
      <w:keepNext/>
      <w:keepLines/>
      <w:spacing w:before="200" w:after="0"/>
      <w:outlineLvl w:val="8"/>
    </w:pPr>
    <w:rPr>
      <w:rFonts w:asciiTheme="majorHAnsi" w:eastAsiaTheme="majorEastAsia" w:hAnsiTheme="majorHAnsi" w:cstheme="majorBidi"/>
      <w:color w:val="4F81BD" w:themeColor="accent1"/>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qFormat/>
    <w:pPr>
      <w:keepNext/>
      <w:keepLines/>
      <w:spacing w:before="480" w:after="240"/>
      <w:jc w:val="center"/>
    </w:pPr>
    <w:rPr>
      <w:rFonts w:asciiTheme="majorHAnsi" w:eastAsiaTheme="majorEastAsia" w:hAnsiTheme="majorHAnsi" w:cstheme="majorBidi"/>
      <w:b/>
      <w:bCs/>
      <w:color w:val="345A8A" w:themeColor="accent1" w:themeShade="B5"/>
      <w:sz w:val="40"/>
      <w:szCs w:val="36"/>
    </w:rPr>
  </w:style>
  <w:style w:type="paragraph" w:styleId="Subtitle">
    <w:name w:val="Subtitle"/>
    <w:basedOn w:val="Title"/>
    <w:next w:val="BodyText"/>
    <w:link w:val="SubtitleChar"/>
    <w:qFormat/>
    <w:pPr>
      <w:spacing w:before="240"/>
    </w:pPr>
    <w:rPr>
      <w:rFonts w:ascii="Arial" w:hAnsi="Arial"/>
      <w:b w:val="0"/>
      <w:sz w:val="28"/>
      <w:szCs w:val="30"/>
    </w:rPr>
  </w:style>
  <w:style w:type="paragraph" w:customStyle="1" w:styleId="Author">
    <w:name w:val="Author"/>
    <w:next w:val="BodyText"/>
    <w:qFormat/>
    <w:pPr>
      <w:keepNext/>
      <w:keepLines/>
      <w:jc w:val="center"/>
    </w:pPr>
  </w:style>
  <w:style w:type="paragraph" w:styleId="Date">
    <w:name w:val="Date"/>
    <w:next w:val="BodyText"/>
    <w:link w:val="DateChar"/>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413995"/>
    <w:pPr>
      <w:spacing w:after="100"/>
    </w:pPr>
  </w:style>
  <w:style w:type="paragraph" w:styleId="TOC2">
    <w:name w:val="toc 2"/>
    <w:basedOn w:val="Normal"/>
    <w:next w:val="Normal"/>
    <w:autoRedefine/>
    <w:uiPriority w:val="39"/>
    <w:rsid w:val="00413995"/>
    <w:pPr>
      <w:spacing w:after="100"/>
      <w:ind w:left="210"/>
    </w:pPr>
  </w:style>
  <w:style w:type="paragraph" w:styleId="Header">
    <w:name w:val="header"/>
    <w:basedOn w:val="Normal"/>
    <w:link w:val="HeaderChar"/>
    <w:rsid w:val="00413995"/>
    <w:pPr>
      <w:tabs>
        <w:tab w:val="center" w:pos="4680"/>
        <w:tab w:val="right" w:pos="9360"/>
      </w:tabs>
      <w:spacing w:after="0"/>
    </w:pPr>
  </w:style>
  <w:style w:type="character" w:customStyle="1" w:styleId="HeaderChar">
    <w:name w:val="Header Char"/>
    <w:basedOn w:val="DefaultParagraphFont"/>
    <w:link w:val="Header"/>
    <w:rsid w:val="00413995"/>
    <w:rPr>
      <w:rFonts w:ascii="Arial" w:hAnsi="Arial"/>
      <w:sz w:val="21"/>
    </w:rPr>
  </w:style>
  <w:style w:type="paragraph" w:styleId="Footer">
    <w:name w:val="footer"/>
    <w:basedOn w:val="Normal"/>
    <w:link w:val="FooterChar"/>
    <w:uiPriority w:val="99"/>
    <w:rsid w:val="00413995"/>
    <w:pPr>
      <w:tabs>
        <w:tab w:val="center" w:pos="4680"/>
        <w:tab w:val="right" w:pos="9360"/>
      </w:tabs>
      <w:spacing w:after="0"/>
    </w:pPr>
  </w:style>
  <w:style w:type="character" w:customStyle="1" w:styleId="FooterChar">
    <w:name w:val="Footer Char"/>
    <w:basedOn w:val="DefaultParagraphFont"/>
    <w:link w:val="Footer"/>
    <w:uiPriority w:val="99"/>
    <w:rsid w:val="00413995"/>
    <w:rPr>
      <w:rFonts w:ascii="Arial" w:hAnsi="Arial"/>
      <w:sz w:val="21"/>
    </w:rPr>
  </w:style>
  <w:style w:type="character" w:customStyle="1" w:styleId="Heading1Char">
    <w:name w:val="Heading 1 Char"/>
    <w:basedOn w:val="DefaultParagraphFont"/>
    <w:link w:val="Heading1"/>
    <w:uiPriority w:val="9"/>
    <w:rsid w:val="001F0D14"/>
    <w:rPr>
      <w:rFonts w:asciiTheme="majorHAnsi" w:eastAsiaTheme="majorEastAsia" w:hAnsiTheme="majorHAnsi" w:cstheme="majorBidi"/>
      <w:b/>
      <w:bCs/>
      <w:color w:val="4F81BD" w:themeColor="accent1"/>
      <w:sz w:val="32"/>
      <w:szCs w:val="32"/>
    </w:rPr>
  </w:style>
  <w:style w:type="character" w:customStyle="1" w:styleId="Heading2Char">
    <w:name w:val="Heading 2 Char"/>
    <w:basedOn w:val="DefaultParagraphFont"/>
    <w:link w:val="Heading2"/>
    <w:uiPriority w:val="9"/>
    <w:rsid w:val="001F0D14"/>
    <w:rPr>
      <w:rFonts w:asciiTheme="majorHAnsi" w:eastAsiaTheme="majorEastAsia" w:hAnsiTheme="majorHAnsi" w:cstheme="majorBidi"/>
      <w:b/>
      <w:bCs/>
      <w:color w:val="4F81BD" w:themeColor="accent1"/>
      <w:sz w:val="28"/>
      <w:szCs w:val="28"/>
    </w:rPr>
  </w:style>
  <w:style w:type="character" w:customStyle="1" w:styleId="Heading3Char">
    <w:name w:val="Heading 3 Char"/>
    <w:basedOn w:val="DefaultParagraphFont"/>
    <w:link w:val="Heading3"/>
    <w:uiPriority w:val="9"/>
    <w:rsid w:val="001F0D14"/>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rsid w:val="001F0D14"/>
    <w:rPr>
      <w:rFonts w:asciiTheme="majorHAnsi" w:eastAsiaTheme="majorEastAsia" w:hAnsiTheme="majorHAnsi" w:cstheme="majorBidi"/>
      <w:bCs/>
      <w:i/>
      <w:color w:val="4F81BD" w:themeColor="accent1"/>
    </w:rPr>
  </w:style>
  <w:style w:type="character" w:customStyle="1" w:styleId="Heading5Char">
    <w:name w:val="Heading 5 Char"/>
    <w:basedOn w:val="DefaultParagraphFont"/>
    <w:link w:val="Heading5"/>
    <w:uiPriority w:val="9"/>
    <w:rsid w:val="001F0D14"/>
    <w:rPr>
      <w:rFonts w:asciiTheme="majorHAnsi" w:eastAsiaTheme="majorEastAsia" w:hAnsiTheme="majorHAnsi" w:cstheme="majorBidi"/>
      <w:iCs/>
      <w:color w:val="4F81BD" w:themeColor="accent1"/>
    </w:rPr>
  </w:style>
  <w:style w:type="character" w:customStyle="1" w:styleId="Heading6Char">
    <w:name w:val="Heading 6 Char"/>
    <w:basedOn w:val="DefaultParagraphFont"/>
    <w:link w:val="Heading6"/>
    <w:uiPriority w:val="9"/>
    <w:rsid w:val="001F0D14"/>
    <w:rPr>
      <w:rFonts w:asciiTheme="majorHAnsi" w:eastAsiaTheme="majorEastAsia" w:hAnsiTheme="majorHAnsi" w:cstheme="majorBidi"/>
      <w:color w:val="4F81BD" w:themeColor="accent1"/>
    </w:rPr>
  </w:style>
  <w:style w:type="character" w:customStyle="1" w:styleId="Heading7Char">
    <w:name w:val="Heading 7 Char"/>
    <w:basedOn w:val="DefaultParagraphFont"/>
    <w:link w:val="Heading7"/>
    <w:uiPriority w:val="9"/>
    <w:rsid w:val="001F0D14"/>
    <w:rPr>
      <w:rFonts w:asciiTheme="majorHAnsi" w:eastAsiaTheme="majorEastAsia" w:hAnsiTheme="majorHAnsi" w:cstheme="majorBidi"/>
      <w:color w:val="4F81BD" w:themeColor="accent1"/>
    </w:rPr>
  </w:style>
  <w:style w:type="character" w:customStyle="1" w:styleId="Heading8Char">
    <w:name w:val="Heading 8 Char"/>
    <w:basedOn w:val="DefaultParagraphFont"/>
    <w:link w:val="Heading8"/>
    <w:uiPriority w:val="9"/>
    <w:rsid w:val="001F0D14"/>
    <w:rPr>
      <w:rFonts w:asciiTheme="majorHAnsi" w:eastAsiaTheme="majorEastAsia" w:hAnsiTheme="majorHAnsi" w:cstheme="majorBidi"/>
      <w:color w:val="4F81BD" w:themeColor="accent1"/>
    </w:rPr>
  </w:style>
  <w:style w:type="character" w:customStyle="1" w:styleId="Heading9Char">
    <w:name w:val="Heading 9 Char"/>
    <w:basedOn w:val="DefaultParagraphFont"/>
    <w:link w:val="Heading9"/>
    <w:uiPriority w:val="9"/>
    <w:rsid w:val="001F0D14"/>
    <w:rPr>
      <w:rFonts w:asciiTheme="majorHAnsi" w:eastAsiaTheme="majorEastAsia" w:hAnsiTheme="majorHAnsi" w:cstheme="majorBidi"/>
      <w:color w:val="4F81BD" w:themeColor="accent1"/>
    </w:rPr>
  </w:style>
  <w:style w:type="character" w:customStyle="1" w:styleId="BodyTextChar">
    <w:name w:val="Body Text Char"/>
    <w:basedOn w:val="DefaultParagraphFont"/>
    <w:link w:val="BodyText"/>
    <w:rsid w:val="001F0D14"/>
    <w:rPr>
      <w:rFonts w:ascii="Arial" w:hAnsi="Arial"/>
      <w:sz w:val="21"/>
    </w:rPr>
  </w:style>
  <w:style w:type="character" w:customStyle="1" w:styleId="TitleChar">
    <w:name w:val="Title Char"/>
    <w:basedOn w:val="DefaultParagraphFont"/>
    <w:link w:val="Title"/>
    <w:rsid w:val="001F0D14"/>
    <w:rPr>
      <w:rFonts w:asciiTheme="majorHAnsi" w:eastAsiaTheme="majorEastAsia" w:hAnsiTheme="majorHAnsi" w:cstheme="majorBidi"/>
      <w:b/>
      <w:bCs/>
      <w:color w:val="345A8A" w:themeColor="accent1" w:themeShade="B5"/>
      <w:sz w:val="40"/>
      <w:szCs w:val="36"/>
    </w:rPr>
  </w:style>
  <w:style w:type="character" w:customStyle="1" w:styleId="SubtitleChar">
    <w:name w:val="Subtitle Char"/>
    <w:basedOn w:val="DefaultParagraphFont"/>
    <w:link w:val="Subtitle"/>
    <w:rsid w:val="001F0D14"/>
    <w:rPr>
      <w:rFonts w:ascii="Arial" w:eastAsiaTheme="majorEastAsia" w:hAnsi="Arial" w:cstheme="majorBidi"/>
      <w:bCs/>
      <w:color w:val="345A8A" w:themeColor="accent1" w:themeShade="B5"/>
      <w:sz w:val="28"/>
      <w:szCs w:val="30"/>
    </w:rPr>
  </w:style>
  <w:style w:type="character" w:customStyle="1" w:styleId="DateChar">
    <w:name w:val="Date Char"/>
    <w:basedOn w:val="DefaultParagraphFont"/>
    <w:link w:val="Date"/>
    <w:rsid w:val="001F0D14"/>
  </w:style>
  <w:style w:type="character" w:customStyle="1" w:styleId="FootnoteTextChar">
    <w:name w:val="Footnote Text Char"/>
    <w:basedOn w:val="DefaultParagraphFont"/>
    <w:link w:val="FootnoteText"/>
    <w:uiPriority w:val="9"/>
    <w:rsid w:val="001F0D14"/>
    <w:rPr>
      <w:rFonts w:ascii="Arial" w:hAnsi="Arial"/>
      <w:sz w:val="21"/>
    </w:rPr>
  </w:style>
  <w:style w:type="paragraph" w:styleId="TOC3">
    <w:name w:val="toc 3"/>
    <w:basedOn w:val="Normal"/>
    <w:next w:val="Normal"/>
    <w:autoRedefine/>
    <w:uiPriority w:val="39"/>
    <w:unhideWhenUsed/>
    <w:rsid w:val="0089743A"/>
    <w:pPr>
      <w:spacing w:after="100" w:line="278" w:lineRule="auto"/>
      <w:ind w:left="480"/>
    </w:pPr>
    <w:rPr>
      <w:rFonts w:asciiTheme="minorHAnsi" w:eastAsiaTheme="minorEastAsia" w:hAnsiTheme="minorHAnsi"/>
      <w:kern w:val="2"/>
      <w:sz w:val="24"/>
    </w:rPr>
  </w:style>
  <w:style w:type="paragraph" w:styleId="TOC4">
    <w:name w:val="toc 4"/>
    <w:basedOn w:val="Normal"/>
    <w:next w:val="Normal"/>
    <w:autoRedefine/>
    <w:uiPriority w:val="39"/>
    <w:unhideWhenUsed/>
    <w:rsid w:val="0089743A"/>
    <w:pPr>
      <w:spacing w:after="100" w:line="278" w:lineRule="auto"/>
      <w:ind w:left="720"/>
    </w:pPr>
    <w:rPr>
      <w:rFonts w:asciiTheme="minorHAnsi" w:eastAsiaTheme="minorEastAsia" w:hAnsiTheme="minorHAnsi"/>
      <w:kern w:val="2"/>
      <w:sz w:val="24"/>
    </w:rPr>
  </w:style>
  <w:style w:type="paragraph" w:styleId="TOC5">
    <w:name w:val="toc 5"/>
    <w:basedOn w:val="Normal"/>
    <w:next w:val="Normal"/>
    <w:autoRedefine/>
    <w:uiPriority w:val="39"/>
    <w:unhideWhenUsed/>
    <w:rsid w:val="0089743A"/>
    <w:pPr>
      <w:spacing w:after="100" w:line="278" w:lineRule="auto"/>
      <w:ind w:left="960"/>
    </w:pPr>
    <w:rPr>
      <w:rFonts w:asciiTheme="minorHAnsi" w:eastAsiaTheme="minorEastAsia" w:hAnsiTheme="minorHAnsi"/>
      <w:kern w:val="2"/>
      <w:sz w:val="24"/>
    </w:rPr>
  </w:style>
  <w:style w:type="paragraph" w:styleId="TOC6">
    <w:name w:val="toc 6"/>
    <w:basedOn w:val="Normal"/>
    <w:next w:val="Normal"/>
    <w:autoRedefine/>
    <w:uiPriority w:val="39"/>
    <w:unhideWhenUsed/>
    <w:rsid w:val="0089743A"/>
    <w:pPr>
      <w:spacing w:after="100" w:line="278" w:lineRule="auto"/>
      <w:ind w:left="1200"/>
    </w:pPr>
    <w:rPr>
      <w:rFonts w:asciiTheme="minorHAnsi" w:eastAsiaTheme="minorEastAsia" w:hAnsiTheme="minorHAnsi"/>
      <w:kern w:val="2"/>
      <w:sz w:val="24"/>
    </w:rPr>
  </w:style>
  <w:style w:type="paragraph" w:styleId="TOC7">
    <w:name w:val="toc 7"/>
    <w:basedOn w:val="Normal"/>
    <w:next w:val="Normal"/>
    <w:autoRedefine/>
    <w:uiPriority w:val="39"/>
    <w:unhideWhenUsed/>
    <w:rsid w:val="0089743A"/>
    <w:pPr>
      <w:spacing w:after="100" w:line="278" w:lineRule="auto"/>
      <w:ind w:left="1440"/>
    </w:pPr>
    <w:rPr>
      <w:rFonts w:asciiTheme="minorHAnsi" w:eastAsiaTheme="minorEastAsia" w:hAnsiTheme="minorHAnsi"/>
      <w:kern w:val="2"/>
      <w:sz w:val="24"/>
    </w:rPr>
  </w:style>
  <w:style w:type="paragraph" w:styleId="TOC8">
    <w:name w:val="toc 8"/>
    <w:basedOn w:val="Normal"/>
    <w:next w:val="Normal"/>
    <w:autoRedefine/>
    <w:uiPriority w:val="39"/>
    <w:unhideWhenUsed/>
    <w:rsid w:val="0089743A"/>
    <w:pPr>
      <w:spacing w:after="100" w:line="278" w:lineRule="auto"/>
      <w:ind w:left="1680"/>
    </w:pPr>
    <w:rPr>
      <w:rFonts w:asciiTheme="minorHAnsi" w:eastAsiaTheme="minorEastAsia" w:hAnsiTheme="minorHAnsi"/>
      <w:kern w:val="2"/>
      <w:sz w:val="24"/>
    </w:rPr>
  </w:style>
  <w:style w:type="paragraph" w:styleId="TOC9">
    <w:name w:val="toc 9"/>
    <w:basedOn w:val="Normal"/>
    <w:next w:val="Normal"/>
    <w:autoRedefine/>
    <w:uiPriority w:val="39"/>
    <w:unhideWhenUsed/>
    <w:rsid w:val="0089743A"/>
    <w:pPr>
      <w:spacing w:after="100" w:line="278" w:lineRule="auto"/>
      <w:ind w:left="1920"/>
    </w:pPr>
    <w:rPr>
      <w:rFonts w:asciiTheme="minorHAnsi" w:eastAsiaTheme="minorEastAsia" w:hAnsiTheme="minorHAnsi"/>
      <w:kern w:val="2"/>
      <w:sz w:val="24"/>
    </w:rPr>
  </w:style>
  <w:style w:type="character" w:styleId="UnresolvedMention">
    <w:name w:val="Unresolved Mention"/>
    <w:basedOn w:val="DefaultParagraphFont"/>
    <w:uiPriority w:val="99"/>
    <w:semiHidden/>
    <w:unhideWhenUsed/>
    <w:rsid w:val="008974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C77ED-4F88-4367-936D-F14147C5AE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147</TotalTime>
  <Pages>52</Pages>
  <Words>19229</Words>
  <Characters>109608</Characters>
  <Application>Microsoft Office Word</Application>
  <DocSecurity>0</DocSecurity>
  <Lines>913</Lines>
  <Paragraphs>257</Paragraphs>
  <ScaleCrop>false</ScaleCrop>
  <Company/>
  <LinksUpToDate>false</LinksUpToDate>
  <CharactersWithSpaces>128580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FLARE Code Theory Manual</dc:title>
  <dc:creator>Robert P. Martin</dc:creator>
  <cp:keywords/>
  <cp:lastModifiedBy>Robert Martin</cp:lastModifiedBy>
  <cp:revision>8</cp:revision>
  <dcterms:created xsi:type="dcterms:W3CDTF">2026-06-01T15:13:00Z</dcterms:created>
  <dcterms:modified xsi:type="dcterms:W3CDTF">2026-06-01T23:00:00Z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Revision 2 Draft — June 2026</vt:lpwstr>
  </property>
  <property fmtid="{D5CDD505-2E9C-101B-9397-08002B2CF9AE}" pid="3" name="subtitle">
    <vt:lpwstr>Fast Licensing Accident Response Engine</vt:lpwstr>
  </property>
</Properties>
</file>