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D26F" w14:textId="77777777" w:rsidR="000F504F" w:rsidRDefault="00406E9C">
      <w:pPr>
        <w:pStyle w:val="Title"/>
        <w:pageBreakBefore w:val="0"/>
      </w:pPr>
      <w:r>
        <w:t>FLARE Code Theory Manual</w:t>
      </w:r>
    </w:p>
    <w:p w14:paraId="1700D8AC" w14:textId="77777777" w:rsidR="000F504F" w:rsidRDefault="00406E9C">
      <w:pPr>
        <w:pStyle w:val="Subtitle"/>
        <w:pageBreakBefore w:val="0"/>
      </w:pPr>
      <w:r>
        <w:t>Fast Licensing Accident Response Engine</w:t>
      </w:r>
    </w:p>
    <w:p w14:paraId="16850AFD" w14:textId="77777777" w:rsidR="000F504F" w:rsidRDefault="00406E9C">
      <w:pPr>
        <w:pStyle w:val="Author"/>
        <w:pageBreakBefore w:val="0"/>
      </w:pPr>
      <w:r>
        <w:t>Robert P. Martin</w:t>
      </w:r>
    </w:p>
    <w:p w14:paraId="090350D9" w14:textId="0FA886F5" w:rsidR="000F504F" w:rsidRDefault="00406E9C">
      <w:pPr>
        <w:pStyle w:val="Date"/>
        <w:pageBreakBefore w:val="0"/>
      </w:pPr>
      <w:r>
        <w:t xml:space="preserve">Revision </w:t>
      </w:r>
      <w:r w:rsidR="00255F6A">
        <w:t>1</w:t>
      </w:r>
      <w:r>
        <w:t xml:space="preserve"> — June 2026</w:t>
      </w:r>
    </w:p>
    <w:p>
      <w:pPr>
        <w:pageBreakBefore w:val="0"/>
      </w:pPr>
      <w:r>
        <w:rPr>
          <w:i/>
        </w:rPr>
        <w:t>Documentation maintenance — October 2026 (Revision 1 unchanged). This update aligns the manuals with the available FLARE development source, adds PRA Model/Success Criteria/branch-deck features, updates functional recirculation, and incorporates the FLARE Population Map. The original June 2026 Rev. 1 history is retained. These are documentation changes, not a new software qualification or licensing endorsement.</w:t>
      </w:r>
      <w:r>
        <w:t xml:space="preserve"> Chapter 9 was replaced on 24 October 2026 with the consolidated NOTBADTRAD theory update, retaining Sections 9.1–9.15. Other chapters and appendices are unchanged by this replacement.</w:t>
      </w:r>
    </w:p>
    <w:p w14:paraId="5F414C81" w14:textId="77777777" w:rsidR="000F504F" w:rsidRDefault="00406E9C">
      <w:pPr>
        <w:pStyle w:val="TOCHeading"/>
        <w:pageBreakBefore/>
        <w:spacing w:after="240"/>
      </w:pPr>
      <w:r>
        <w:rPr>
          <w:b/>
        </w:rPr>
        <w:t>Table of Contents</w:t>
      </w:r>
    </w:p>
    <w:p>
      <w:pPr>
        <w:pageBreakBefore w:val="0"/>
        <w:spacing w:before="0" w:after="80"/>
      </w:pPr>
      <w:r>
        <w:t>Select any chapter from Word’s Navigation Pane (View &gt; Navigation Pane). The list below identifies the major sections; the document headings provide detailed navigation.</w:t>
      </w:r>
    </w:p>
    <w:p>
      <w:pPr>
        <w:pageBreakBefore w:val="0"/>
        <w:spacing w:before="0" w:after="80"/>
      </w:pPr>
      <w:r>
        <w:t>Preface</w:t>
      </w:r>
    </w:p>
    <w:p>
      <w:pPr>
        <w:pageBreakBefore w:val="0"/>
        <w:spacing w:before="0" w:after="0" w:line="40" w:lineRule="exact"/>
      </w:pPr>
      <w:r/>
    </w:p>
    <w:p>
      <w:pPr>
        <w:pageBreakBefore w:val="0"/>
        <w:spacing w:before="0" w:after="80"/>
      </w:pPr>
      <w:r>
        <w:t>Chapter 1 — Introduction and Regulatory Context</w:t>
      </w:r>
    </w:p>
    <w:p>
      <w:pPr>
        <w:pageBreakBefore w:val="0"/>
        <w:spacing w:before="0" w:after="80"/>
      </w:pPr>
      <w:r>
        <w:t>Chapter 2 — Thermal-Hydraulic System Model</w:t>
      </w:r>
    </w:p>
    <w:p>
      <w:pPr>
        <w:pageBreakBefore w:val="0"/>
        <w:spacing w:before="0" w:after="80"/>
      </w:pPr>
      <w:r>
        <w:t>Chapter 3 — Accumulator and ECCS Models</w:t>
      </w:r>
    </w:p>
    <w:p>
      <w:pPr>
        <w:pageBreakBefore w:val="0"/>
        <w:spacing w:before="0" w:after="80"/>
      </w:pPr>
      <w:r>
        <w:t>Chapter 4 — Core and Fuel Models</w:t>
      </w:r>
    </w:p>
    <w:p>
      <w:pPr>
        <w:pageBreakBefore w:val="0"/>
        <w:spacing w:before="0" w:after="80"/>
      </w:pPr>
      <w:r>
        <w:t>4.6 Statistical Rod-State Model, Hot Pin, and Mean Oxidizing Rod</w:t>
      </w:r>
    </w:p>
    <w:p>
      <w:pPr>
        <w:pageBreakBefore w:val="0"/>
        <w:spacing w:before="0" w:after="80"/>
      </w:pPr>
      <w:r>
        <w:t>4.7 Zirconium Oxidation and Hydrogen Generation</w:t>
      </w:r>
    </w:p>
    <w:p>
      <w:pPr>
        <w:pageBreakBefore w:val="0"/>
        <w:spacing w:before="0" w:after="80"/>
      </w:pPr>
      <w:r>
        <w:t>Chapter 5 — Point Kinetics and Reactivity Models</w:t>
      </w:r>
    </w:p>
    <w:p>
      <w:pPr>
        <w:pageBreakBefore w:val="0"/>
        <w:spacing w:before="0" w:after="80"/>
      </w:pPr>
      <w:r>
        <w:t>Chapter 6 — Trip and Protection System Models</w:t>
      </w:r>
    </w:p>
    <w:p>
      <w:pPr>
        <w:pageBreakBefore w:val="0"/>
        <w:spacing w:before="0" w:after="80"/>
      </w:pPr>
      <w:r>
        <w:t>Chapter 7 — FLARECON Containment Response Model</w:t>
      </w:r>
    </w:p>
    <w:p>
      <w:pPr>
        <w:pageBreakBefore w:val="0"/>
        <w:spacing w:before="0" w:after="80"/>
      </w:pPr>
      <w:r>
        <w:t>Chapter 8 — Uncertainty Analysis</w:t>
      </w:r>
    </w:p>
    <w:p>
      <w:pPr>
        <w:pageBreakBefore w:val="0"/>
        <w:spacing w:before="0" w:after="80"/>
      </w:pPr>
      <w:r>
        <w:t>Chapter 9 — Source-Term and Radiological Dose Models: NOTBADTRAD</w:t>
      </w:r>
    </w:p>
    <w:p>
      <w:pPr>
        <w:pageBreakBefore w:val="0"/>
        <w:spacing w:before="0" w:after="80"/>
      </w:pPr>
      <w:r>
        <w:t>Chapter 10 — Risk Assessment Tool Theory</w:t>
      </w:r>
    </w:p>
    <w:p>
      <w:pPr>
        <w:pageBreakBefore w:val="0"/>
        <w:spacing w:before="0" w:after="0" w:line="40" w:lineRule="exact"/>
      </w:pPr>
      <w:r/>
    </w:p>
    <w:p>
      <w:pPr>
        <w:pageBreakBefore w:val="0"/>
        <w:spacing w:before="0" w:after="80"/>
      </w:pPr>
      <w:r>
        <w:t>Chapter 11 — PRA Model, Event Trees, and Deck Translation</w:t>
      </w:r>
    </w:p>
    <w:p>
      <w:pPr>
        <w:pageBreakBefore w:val="0"/>
        <w:spacing w:before="0" w:after="80"/>
      </w:pPr>
      <w:r>
        <w:t>Chapter 12 — Population Map Analytical Basis</w:t>
      </w:r>
    </w:p>
    <w:p>
      <w:pPr>
        <w:pageBreakBefore w:val="0"/>
        <w:spacing w:before="0" w:after="80"/>
      </w:pPr>
      <w:r>
        <w:t>Appendix A — Nomenclature</w:t>
      </w:r>
    </w:p>
    <w:p>
      <w:pPr>
        <w:pageBreakBefore w:val="0"/>
        <w:spacing w:before="0" w:after="0" w:line="40" w:lineRule="exact"/>
      </w:pPr>
      <w:r/>
    </w:p>
    <w:p>
      <w:pPr>
        <w:pageBreakBefore w:val="0"/>
        <w:spacing w:before="0" w:after="80"/>
      </w:pPr>
      <w:r>
        <w:t>Appendix B — Model Flags Reference</w:t>
      </w:r>
    </w:p>
    <w:p>
      <w:pPr>
        <w:pageBreakBefore w:val="0"/>
        <w:spacing w:before="0" w:after="0" w:line="40" w:lineRule="exact"/>
      </w:pPr>
      <w:r/>
    </w:p>
    <w:p>
      <w:pPr>
        <w:pageBreakBefore w:val="0"/>
        <w:spacing w:before="0" w:after="80"/>
      </w:pPr>
      <w:r>
        <w:t>References</w:t>
      </w:r>
    </w:p>
    <w:p w14:paraId="28D68A05" w14:textId="3FB88409" w:rsidR="000F504F" w:rsidRDefault="00406E9C">
      <w:pPr>
        <w:pStyle w:val="Heading1"/>
        <w:keepNext/>
        <w:pageBreakBefore/>
      </w:pPr>
      <w:r>
        <w:lastRenderedPageBreak/>
        <w:t>Preface</w:t>
      </w:r>
      <w:bookmarkEnd w:id="2"/>
    </w:p>
    <w:p w14:paraId="49799A3D" w14:textId="77777777" w:rsidR="000F504F" w:rsidRDefault="00406E9C">
      <w:pPr>
        <w:pStyle w:val="FirstParagraph"/>
      </w:pPr>
      <w:r>
        <w:t>FLARE (Fast Licensing Accident Response Engine) is a reduced-order reactor safety analysis code developed for rapid evaluation of design-basis and selected beyond-design-basis transients in pressurized-water reactors and small modular reactors. It is not intended to replace production licensing codes such as RELAP5, TRACE, CATHARE, ATHLET, or containment codes used in formal safety analysis. Its purpose is narrower: FLARE provides a transparent, computationally affordable, single-node analytical framework f</w:t>
      </w:r>
      <w:r>
        <w:t>or understanding the dominant mass, energy, power, fuel-temperature, source-term, and containment-response trends that govern light-water reactor accident progression.</w:t>
      </w:r>
    </w:p>
    <w:p w14:paraId="591EE762" w14:textId="77777777" w:rsidR="000F504F" w:rsidRDefault="00406E9C">
      <w:pPr>
        <w:pStyle w:val="BodyText"/>
      </w:pPr>
      <w:r>
        <w:t>This manual documents the mathematical basis of FLARE. The emphasis is on traceability: the reader should be able to understand how physical conservation laws are simplified, how those simplifications are translated into governing equations and constitutive relations, and how the numerical solution is advanced in time. The manual therefore distinguishes among governing conservation equations, closure or constitutive relations, numerical approximations, and user-controlled modeling assumptions. This distinct</w:t>
      </w:r>
      <w:r>
        <w:t>ion is essential because many differences among accident-analysis codes arise not from disagreement about conservation laws, but from differences in closure, nodalization, solution method, and judgment about which phenomena must be represented explicitly.</w:t>
      </w:r>
    </w:p>
    <w:p w14:paraId="568D7AA6" w14:textId="77777777" w:rsidR="00AC2963" w:rsidRDefault="00AC2963">
      <w:pPr>
        <w:pStyle w:val="Heading1"/>
        <w:keepNext/>
      </w:pPr>
      <w:bookmarkStart w:id="3" w:name="_Toc231232848"/>
      <w:r>
        <w:br w:type="page"/>
      </w:r>
    </w:p>
    <w:p w14:paraId="2CAD6B73" w14:textId="65D27989" w:rsidR="000F504F" w:rsidRDefault="00406E9C">
      <w:pPr>
        <w:pStyle w:val="Heading1"/>
        <w:keepNext/>
      </w:pPr>
      <w:r>
        <w:lastRenderedPageBreak/>
        <w:t>Chapter 1 — Introduction and Regulatory Context</w:t>
      </w:r>
      <w:bookmarkEnd w:id="3"/>
    </w:p>
    <w:p w14:paraId="13FFE449" w14:textId="77777777" w:rsidR="000F504F" w:rsidRDefault="00406E9C">
      <w:pPr>
        <w:pStyle w:val="Heading2"/>
        <w:keepNext/>
      </w:pPr>
      <w:bookmarkStart w:id="4" w:name="_Toc231232849"/>
      <w:r>
        <w:t>1.1 Purpose and Scope</w:t>
      </w:r>
      <w:bookmarkEnd w:id="4"/>
    </w:p>
    <w:p w14:paraId="5AE57F43" w14:textId="77777777" w:rsidR="000F504F" w:rsidRDefault="00406E9C">
      <w:pPr>
        <w:pStyle w:val="FirstParagraph"/>
      </w:pPr>
      <w:r>
        <w:t>Design-basis accident analysis is a multi-physics calculation. Even highly idealized accidents combine reactor kinetics, single-phase and two-phase thermal-hydraulics, heat transfer, transient conduction, material oxidation, engineered safety-system actuation, and radiological transport. The purpose of FLARE is to assemble those coupled effects into a transparent reduced-order model that is suitable for scoping analysis, methods demonstrations, sensitivity studies, uncertainty analysis, risk-informed screen</w:t>
      </w:r>
      <w:r>
        <w:t>ing, and educational use.</w:t>
      </w:r>
    </w:p>
    <w:p w14:paraId="315016C4" w14:textId="77777777" w:rsidR="000F504F" w:rsidRDefault="00406E9C">
      <w:pPr>
        <w:pStyle w:val="BodyText"/>
      </w:pPr>
      <w:r>
        <w:t>The principal safety quantities of interest are the integrity of the fuel cladding, the pressure boundary of the reactor coolant system, and the containment barrier. In FLARE, those barriers are represented by the following calculated figures of merit:</w:t>
      </w:r>
    </w:p>
    <w:tbl>
      <w:tblPr>
        <w:tblStyle w:val="Table"/>
        <w:tblW w:w="5000" w:type="pct"/>
        <w:tblLayout w:type="fixed"/>
        <w:tblLook w:val="0020" w:firstRow="1" w:lastRow="0" w:firstColumn="0" w:lastColumn="0" w:noHBand="0" w:noVBand="0"/>
      </w:tblPr>
      <w:tblGrid>
        <w:gridCol w:w="3336"/>
        <w:gridCol w:w="3336"/>
        <w:gridCol w:w="3336"/>
      </w:tblGrid>
      <w:tr w:rsidR="000F504F" w14:paraId="44FCAA01" w14:textId="77777777" w:rsidTr="000F504F">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86267B" w14:textId="77777777" w:rsidR="000F504F" w:rsidRDefault="00406E9C">
            <w:pPr>
              <w:pStyle w:val="Compact"/>
            </w:pPr>
            <w:r>
              <w:t>Barrier or function</w:t>
            </w:r>
          </w:p>
        </w:tc>
        <w:tc>
          <w:tcPr>
            <w:tcW w:w="2640" w:type="dxa"/>
          </w:tcPr>
          <w:p w14:paraId="7D7F2F3F" w14:textId="77777777" w:rsidR="000F504F" w:rsidRDefault="00406E9C">
            <w:pPr>
              <w:pStyle w:val="Compact"/>
            </w:pPr>
            <w:r>
              <w:t>Primary FLARE metric</w:t>
            </w:r>
          </w:p>
        </w:tc>
        <w:tc>
          <w:tcPr>
            <w:tcW w:w="2640" w:type="dxa"/>
          </w:tcPr>
          <w:p w14:paraId="134479AD" w14:textId="77777777" w:rsidR="000F504F" w:rsidRDefault="00406E9C">
            <w:pPr>
              <w:pStyle w:val="Compact"/>
            </w:pPr>
            <w:r>
              <w:t>Typical use</w:t>
            </w:r>
          </w:p>
        </w:tc>
      </w:tr>
      <w:tr w:rsidR="000F504F" w14:paraId="53E6CE4D" w14:textId="77777777">
        <w:tc>
          <w:tcPr>
            <w:tcW w:w="2640" w:type="dxa"/>
          </w:tcPr>
          <w:p w14:paraId="2C12BF22" w14:textId="77777777" w:rsidR="000F504F" w:rsidRDefault="00406E9C">
            <w:pPr>
              <w:pStyle w:val="Compact"/>
            </w:pPr>
            <w:r>
              <w:t>Fuel cladding temperature</w:t>
            </w:r>
          </w:p>
        </w:tc>
        <w:tc>
          <w:tcPr>
            <w:tcW w:w="2640" w:type="dxa"/>
          </w:tcPr>
          <w:p w14:paraId="663B3BDD" w14:textId="77777777" w:rsidR="000F504F" w:rsidRDefault="00406E9C">
            <w:pPr>
              <w:pStyle w:val="Compact"/>
            </w:pPr>
            <w:r>
              <w:t xml:space="preserve">Peak cladding temperature, </w:t>
            </w:r>
            <m:oMath>
              <m:sSub>
                <m:sSubPr>
                  <m:ctrlPr>
                    <w:rPr>
                      <w:rFonts w:ascii="Cambria Math" w:hAnsi="Cambria Math"/>
                    </w:rPr>
                  </m:ctrlPr>
                </m:sSubPr>
                <m:e>
                  <m:r>
                    <w:rPr>
                      <w:rFonts w:ascii="Cambria Math" w:hAnsi="Cambria Math"/>
                    </w:rPr>
                    <m:t>T</m:t>
                  </m:r>
                </m:e>
                <m:sub>
                  <m:r>
                    <w:rPr>
                      <w:rFonts w:ascii="Cambria Math" w:hAnsi="Cambria Math"/>
                    </w:rPr>
                    <m:t>clad</m:t>
                  </m:r>
                  <m:r>
                    <m:rPr>
                      <m:sty m:val="p"/>
                    </m:rPr>
                    <w:rPr>
                      <w:rFonts w:ascii="Cambria Math" w:hAnsi="Cambria Math"/>
                    </w:rPr>
                    <m:t>,</m:t>
                  </m:r>
                  <m:r>
                    <w:rPr>
                      <w:rFonts w:ascii="Cambria Math" w:hAnsi="Cambria Math"/>
                    </w:rPr>
                    <m:t>max</m:t>
                  </m:r>
                </m:sub>
              </m:sSub>
            </m:oMath>
          </w:p>
        </w:tc>
        <w:tc>
          <w:tcPr>
            <w:tcW w:w="2640" w:type="dxa"/>
          </w:tcPr>
          <w:p w14:paraId="09747630" w14:textId="77777777" w:rsidR="000F504F" w:rsidRDefault="00406E9C">
            <w:pPr>
              <w:pStyle w:val="Compact"/>
            </w:pPr>
            <w:r>
              <w:t>Comparison to the 10 CFR 50.46 PCT limit.</w:t>
            </w:r>
          </w:p>
        </w:tc>
      </w:tr>
      <w:tr w:rsidR="000F504F" w14:paraId="29E575D3" w14:textId="77777777">
        <w:tc>
          <w:tcPr>
            <w:tcW w:w="2640" w:type="dxa"/>
          </w:tcPr>
          <w:p w14:paraId="58854905" w14:textId="77777777" w:rsidR="000F504F" w:rsidRDefault="00406E9C">
            <w:pPr>
              <w:pStyle w:val="Compact"/>
            </w:pPr>
            <w:r>
              <w:t>Fuel cladding oxidation</w:t>
            </w:r>
          </w:p>
        </w:tc>
        <w:tc>
          <w:tcPr>
            <w:tcW w:w="2640" w:type="dxa"/>
          </w:tcPr>
          <w:p w14:paraId="0C4F37FC" w14:textId="77777777" w:rsidR="000F504F" w:rsidRDefault="00406E9C">
            <w:pPr>
              <w:pStyle w:val="Compact"/>
            </w:pPr>
            <w:r>
              <w:t>Hot-pin equivalent cladding reacted, ECR</w:t>
            </w:r>
          </w:p>
        </w:tc>
        <w:tc>
          <w:tcPr>
            <w:tcW w:w="2640" w:type="dxa"/>
          </w:tcPr>
          <w:p w14:paraId="562378FD" w14:textId="77777777" w:rsidR="000F504F" w:rsidRDefault="00406E9C">
            <w:pPr>
              <w:pStyle w:val="Compact"/>
            </w:pPr>
            <w:r>
              <w:t>Local oxidation screening and hydrogen generation.</w:t>
            </w:r>
          </w:p>
        </w:tc>
      </w:tr>
      <w:tr w:rsidR="000F504F" w14:paraId="77233ADB" w14:textId="77777777">
        <w:tc>
          <w:tcPr>
            <w:tcW w:w="2640" w:type="dxa"/>
          </w:tcPr>
          <w:p w14:paraId="62E5F96A" w14:textId="77777777" w:rsidR="000F504F" w:rsidRDefault="00406E9C">
            <w:pPr>
              <w:pStyle w:val="Compact"/>
            </w:pPr>
            <w:r>
              <w:t>Core-wide oxidation</w:t>
            </w:r>
          </w:p>
        </w:tc>
        <w:tc>
          <w:tcPr>
            <w:tcW w:w="2640" w:type="dxa"/>
          </w:tcPr>
          <w:p w14:paraId="2B9E4894" w14:textId="77777777" w:rsidR="000F504F" w:rsidRDefault="00406E9C">
            <w:pPr>
              <w:pStyle w:val="Compact"/>
            </w:pPr>
            <w:r>
              <w:t xml:space="preserve">Total hydrogen generation, </w:t>
            </w: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oMath>
          </w:p>
        </w:tc>
        <w:tc>
          <w:tcPr>
            <w:tcW w:w="2640" w:type="dxa"/>
          </w:tcPr>
          <w:p w14:paraId="72530CE9" w14:textId="77777777" w:rsidR="000F504F" w:rsidRDefault="00406E9C">
            <w:pPr>
              <w:pStyle w:val="Compact"/>
            </w:pPr>
            <w:r>
              <w:t>Core-wide oxidation and containment combustible-gas challenge.</w:t>
            </w:r>
          </w:p>
        </w:tc>
      </w:tr>
      <w:tr w:rsidR="000F504F" w14:paraId="024E93EB" w14:textId="77777777">
        <w:tc>
          <w:tcPr>
            <w:tcW w:w="2640" w:type="dxa"/>
          </w:tcPr>
          <w:p w14:paraId="1D95D946" w14:textId="77777777" w:rsidR="000F504F" w:rsidRDefault="00406E9C">
            <w:pPr>
              <w:pStyle w:val="Compact"/>
            </w:pPr>
            <w:r>
              <w:t>Reactor coolant inventory</w:t>
            </w:r>
          </w:p>
        </w:tc>
        <w:tc>
          <w:tcPr>
            <w:tcW w:w="2640" w:type="dxa"/>
          </w:tcPr>
          <w:p w14:paraId="18BD13B2" w14:textId="77777777" w:rsidR="000F504F" w:rsidRDefault="00406E9C">
            <w:pPr>
              <w:pStyle w:val="Compact"/>
            </w:pPr>
            <w:r>
              <w:t>RCS mass and collapsed vessel level</w:t>
            </w:r>
          </w:p>
        </w:tc>
        <w:tc>
          <w:tcPr>
            <w:tcW w:w="2640" w:type="dxa"/>
          </w:tcPr>
          <w:p w14:paraId="28A94F29" w14:textId="77777777" w:rsidR="000F504F" w:rsidRDefault="00406E9C">
            <w:pPr>
              <w:pStyle w:val="Compact"/>
            </w:pPr>
            <w:r>
              <w:t>ECCS refill/reflood and long-term cooling trends.</w:t>
            </w:r>
          </w:p>
        </w:tc>
      </w:tr>
      <w:tr w:rsidR="000F504F" w14:paraId="16F9B09F" w14:textId="77777777">
        <w:tc>
          <w:tcPr>
            <w:tcW w:w="2640" w:type="dxa"/>
          </w:tcPr>
          <w:p w14:paraId="1B8D3E71" w14:textId="77777777" w:rsidR="000F504F" w:rsidRDefault="00406E9C">
            <w:pPr>
              <w:pStyle w:val="Compact"/>
            </w:pPr>
            <w:r>
              <w:t>RCS pressure boundary</w:t>
            </w:r>
          </w:p>
        </w:tc>
        <w:tc>
          <w:tcPr>
            <w:tcW w:w="2640" w:type="dxa"/>
          </w:tcPr>
          <w:p w14:paraId="14A14501" w14:textId="77777777" w:rsidR="000F504F" w:rsidRDefault="00406E9C">
            <w:pPr>
              <w:pStyle w:val="Compact"/>
            </w:pPr>
            <w:r>
              <w:t>RCS pressure and relief/break discharge</w:t>
            </w:r>
          </w:p>
        </w:tc>
        <w:tc>
          <w:tcPr>
            <w:tcW w:w="2640" w:type="dxa"/>
          </w:tcPr>
          <w:p w14:paraId="09E0FA94" w14:textId="77777777" w:rsidR="000F504F" w:rsidRDefault="00406E9C">
            <w:pPr>
              <w:pStyle w:val="Compact"/>
            </w:pPr>
            <w:r>
              <w:t>Overpressure and depressurization behavior.</w:t>
            </w:r>
          </w:p>
        </w:tc>
      </w:tr>
      <w:tr w:rsidR="000F504F" w14:paraId="48102466" w14:textId="77777777">
        <w:tc>
          <w:tcPr>
            <w:tcW w:w="2640" w:type="dxa"/>
          </w:tcPr>
          <w:p w14:paraId="03F987BA" w14:textId="77777777" w:rsidR="000F504F" w:rsidRDefault="00406E9C">
            <w:pPr>
              <w:pStyle w:val="Compact"/>
            </w:pPr>
            <w:r>
              <w:t>Containment integrity</w:t>
            </w:r>
          </w:p>
        </w:tc>
        <w:tc>
          <w:tcPr>
            <w:tcW w:w="2640" w:type="dxa"/>
          </w:tcPr>
          <w:p w14:paraId="16D89462" w14:textId="77777777" w:rsidR="000F504F" w:rsidRDefault="00406E9C">
            <w:pPr>
              <w:pStyle w:val="Compact"/>
            </w:pPr>
            <w:r>
              <w:t>FLARECON pressure and temperature</w:t>
            </w:r>
          </w:p>
        </w:tc>
        <w:tc>
          <w:tcPr>
            <w:tcW w:w="2640" w:type="dxa"/>
          </w:tcPr>
          <w:p w14:paraId="0DC134B8" w14:textId="77777777" w:rsidR="000F504F" w:rsidRDefault="00406E9C">
            <w:pPr>
              <w:pStyle w:val="Compact"/>
            </w:pPr>
            <w:r>
              <w:t>Dry-containment pressure and heat-removal margin.</w:t>
            </w:r>
          </w:p>
        </w:tc>
      </w:tr>
      <w:tr w:rsidR="000F504F" w14:paraId="0E2B6392" w14:textId="77777777">
        <w:tc>
          <w:tcPr>
            <w:tcW w:w="2640" w:type="dxa"/>
          </w:tcPr>
          <w:p w14:paraId="2E5147AE" w14:textId="77777777" w:rsidR="000F504F" w:rsidRDefault="00406E9C">
            <w:pPr>
              <w:pStyle w:val="Compact"/>
            </w:pPr>
            <w:r>
              <w:t>Radiological consequences</w:t>
            </w:r>
          </w:p>
        </w:tc>
        <w:tc>
          <w:tcPr>
            <w:tcW w:w="2640" w:type="dxa"/>
          </w:tcPr>
          <w:p w14:paraId="7F37A3E4" w14:textId="77777777" w:rsidR="000F504F" w:rsidRDefault="00406E9C">
            <w:pPr>
              <w:pStyle w:val="Compact"/>
            </w:pPr>
            <w:r>
              <w:t>EAB, LPZ, and control-room TEDE</w:t>
            </w:r>
          </w:p>
        </w:tc>
        <w:tc>
          <w:tcPr>
            <w:tcW w:w="2640" w:type="dxa"/>
          </w:tcPr>
          <w:p w14:paraId="14975F30" w14:textId="77777777" w:rsidR="000F504F" w:rsidRDefault="00406E9C">
            <w:pPr>
              <w:pStyle w:val="Compact"/>
            </w:pPr>
            <w:r>
              <w:t>Source-term and dose screening.</w:t>
            </w:r>
          </w:p>
        </w:tc>
      </w:tr>
    </w:tbl>
    <w:p w14:paraId="3197952F" w14:textId="77777777" w:rsidR="000F504F" w:rsidRDefault="00406E9C">
      <w:pPr>
        <w:pStyle w:val="BodyText"/>
      </w:pPr>
      <w:r>
        <w:t>FLARE is deliberately positioned between hand calculation and high-fidelity best-estimate analysis. It is more mechanistic than a single algebraic screening calculation, but it is much simpler than a six-equation two-fluid thermal-hydraulic system code. Its usefulness depends on the analyst understanding the assumptions embedded in the model and using the results in a manner consistent with those assumptions.</w:t>
      </w:r>
    </w:p>
    <w:p w14:paraId="1F42E7F2" w14:textId="77777777" w:rsidR="000F504F" w:rsidRDefault="00406E9C">
      <w:pPr>
        <w:pStyle w:val="Heading2"/>
        <w:keepNext/>
      </w:pPr>
      <w:bookmarkStart w:id="5" w:name="_Toc231232850"/>
      <w:r>
        <w:t>1.2 Analytical Requirements and Model Fidelity</w:t>
      </w:r>
      <w:bookmarkEnd w:id="5"/>
    </w:p>
    <w:p w14:paraId="64C8E768" w14:textId="77777777" w:rsidR="000F504F" w:rsidRDefault="00406E9C">
      <w:pPr>
        <w:pStyle w:val="FirstParagraph"/>
      </w:pPr>
      <w:r>
        <w:t>A rigorous evaluation model begins with analytical requirements. For formal licensing methods, those requirements are commonly developed by identifying the plant design, event class, acceptance criteria, and phenomena that can significantly influence calculated margin. The same discipline is useful for a reduced-order code. The necessary level of detail depends on the purpose of the calculation.</w:t>
      </w:r>
    </w:p>
    <w:p w14:paraId="0A627F57" w14:textId="77777777" w:rsidR="000F504F" w:rsidRDefault="00406E9C">
      <w:pPr>
        <w:pStyle w:val="BodyText"/>
      </w:pPr>
      <w:r>
        <w:t>During a large-break LOCA, peak cladding temperature is strongly influenced by blowdown rate, inventory loss, accumulator injection, decay heat, heat-transfer regime, and post-CHF cooling. By contrast, containment peak pressure is primarily influenced by mass and enthalpy release, containment free volume, condensation, wall heat capacity, spray heat removal, and sump cooling. A model adequate for containment pressure screening may be inadequate for fine-resolution prediction of reflood heat transfer. Conver</w:t>
      </w:r>
      <w:r>
        <w:t>sely, a detailed hot-channel model may add little value to a calculation whose purpose is only to determine whether containment pressure remains bounded.</w:t>
      </w:r>
    </w:p>
    <w:p w14:paraId="7FBBD80F" w14:textId="77777777" w:rsidR="000F504F" w:rsidRDefault="00406E9C">
      <w:pPr>
        <w:pStyle w:val="BodyText"/>
      </w:pPr>
      <w:r>
        <w:lastRenderedPageBreak/>
        <w:t>FLARE adopts the following modeling hierarchy. The reactor coolant system is represented by a single homogeneous-equilibrium control volume. Break, PORV, injection, pump, and steam-generator behavior are represented as boundary or closure models. The core thermal response is represented by a separate hot-channel heat-structure model driven by the system pressure, coolant enthalpy, flow, and power history. The radiological source term is calculated from fuel-damage indicators and user-selected release fracti</w:t>
      </w:r>
      <w:r>
        <w:t>ons. The containment response is calculated by FLARECON as a separate, one-way-coupled, lumped-parameter dry-containment model.</w:t>
      </w:r>
    </w:p>
    <w:p w14:paraId="645CC523" w14:textId="77777777" w:rsidR="000F504F" w:rsidRDefault="00406E9C">
      <w:pPr>
        <w:pStyle w:val="BodyText"/>
      </w:pPr>
      <w:r>
        <w:t>This hierarchy should be interpreted as an intentional model-form choice. It provides transparency and speed at the cost of spatial resolution and detailed two-phase flow topology.</w:t>
      </w:r>
    </w:p>
    <w:p w14:paraId="5603BC23" w14:textId="77777777" w:rsidR="000F504F" w:rsidRDefault="00406E9C">
      <w:pPr>
        <w:pStyle w:val="Heading2"/>
        <w:keepNext/>
      </w:pPr>
      <w:bookmarkStart w:id="6" w:name="_Toc231232851"/>
      <w:r>
        <w:t>1.3 Code Architecture</w:t>
      </w:r>
      <w:bookmarkEnd w:id="6"/>
    </w:p>
    <w:p w14:paraId="68555E2F" w14:textId="77777777" w:rsidR="000F504F" w:rsidRDefault="00406E9C">
      <w:pPr>
        <w:pStyle w:val="FirstParagraph"/>
      </w:pPr>
      <w:r>
        <w:t xml:space="preserve">The FLARE code system is organized as a compact set of Python modules. The primary reactor coolant system calculation is performed by </w:t>
      </w:r>
      <w:r>
        <w:rPr>
          <w:rStyle w:val="VerbatimChar"/>
        </w:rPr>
        <w:t>flare_sim.py</w:t>
      </w:r>
      <w:r>
        <w:t xml:space="preserve">, which reads an Excel input workbook and produces Excel and CSV output. The FLARECON containment calculation is performed by </w:t>
      </w:r>
      <w:r>
        <w:rPr>
          <w:rStyle w:val="VerbatimChar"/>
        </w:rPr>
        <w:t>flarecon_sim.py</w:t>
      </w:r>
      <w:r>
        <w:t>, either as a stand-alone containment response calculation or as a one-way coupled calculation driven by FLARE RCS output. The user interface, uncertainty-analysis tool, risk tool, model editor, plant analyzer, and batch workers provide pre-processing, post-processing, visualization, and automation around those calculation kernels.</w:t>
      </w:r>
    </w:p>
    <w:p w14:paraId="2E0B1840" w14:textId="77777777" w:rsidR="000F504F" w:rsidRDefault="00406E9C">
      <w:pPr>
        <w:pStyle w:val="BodyText"/>
      </w:pPr>
      <w:r>
        <w:t xml:space="preserve">The primary RCS simulation function is </w:t>
      </w:r>
      <w:r>
        <w:rPr>
          <w:rStyle w:val="VerbatimChar"/>
        </w:rPr>
        <w:t>pwr_sim()</w:t>
      </w:r>
      <w:r>
        <w:t xml:space="preserve">. It reads the input command block, initializes the thermodynamic state, constructs the required closure parameters, and advances the solution in time using an operator-split approach. The containment functions </w:t>
      </w:r>
      <w:r>
        <w:rPr>
          <w:rStyle w:val="VerbatimChar"/>
        </w:rPr>
        <w:t>run_flarecon()</w:t>
      </w:r>
      <w:r>
        <w:t xml:space="preserve"> and </w:t>
      </w:r>
      <w:r>
        <w:rPr>
          <w:rStyle w:val="VerbatimChar"/>
        </w:rPr>
        <w:t>run_integrated_flarecon()</w:t>
      </w:r>
      <w:r>
        <w:t xml:space="preserve"> read the RCS output, construct source terms for mass, enthalpy, and hydrogen addition to containment, and integrate the containment gas and wall response.</w:t>
      </w:r>
    </w:p>
    <w:p w14:paraId="7AAE2DA8" w14:textId="77777777" w:rsidR="000F504F" w:rsidRDefault="00406E9C">
      <w:pPr>
        <w:pStyle w:val="Heading2"/>
        <w:keepNext/>
      </w:pPr>
      <w:bookmarkStart w:id="7" w:name="_Toc231232852"/>
      <w:r>
        <w:t>1.4 Single-Node Approximation</w:t>
      </w:r>
      <w:bookmarkEnd w:id="7"/>
    </w:p>
    <w:p w14:paraId="071A8124" w14:textId="77777777" w:rsidR="000F504F" w:rsidRDefault="00406E9C">
      <w:pPr>
        <w:pStyle w:val="FirstParagraph"/>
      </w:pPr>
      <w:r>
        <w:t>The central simplification in FLARE is the single-node approximation for the reactor coolant system. The model assumes that the primary coolant inventory can be represented as a single well-mixed control volume with uniform pressure and specific enthalpy. The state of the coolant is therefore described by two independent thermodynamic variables:</w:t>
      </w:r>
    </w:p>
    <w:p w14:paraId="1ED90657" w14:textId="77777777" w:rsidR="000F504F" w:rsidRDefault="00406E9C">
      <w:pPr>
        <w:pStyle w:val="BodyText"/>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RCS</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P</m:t>
                    </m:r>
                  </m:e>
                </m:mr>
                <m:mr>
                  <m:e>
                    <m:r>
                      <w:rPr>
                        <w:rFonts w:ascii="Cambria Math" w:hAnsi="Cambria Math"/>
                      </w:rPr>
                      <m:t>h</m:t>
                    </m:r>
                  </m:e>
                </m:mr>
              </m:m>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14:paraId="06D4FD4B" w14:textId="77777777" w:rsidR="000F504F" w:rsidRDefault="00406E9C">
      <w:pPr>
        <w:pStyle w:val="FirstParagraph"/>
      </w:pPr>
      <w:r>
        <w:t>All fluid properties are evaluated from this state. The assumption is most defensible when the analyst is interested in global pressure, global inventory, integrated break flow, and the approximate timing of safety-system response. It is least defensible when the calculation depends on phase separation, counter-current flow limitation, hot-leg condensation, lower-plenum refill distribution, multidimensional vessel behavior, or detailed reflood heat transfer.</w:t>
      </w:r>
    </w:p>
    <w:p w14:paraId="3405D6E0" w14:textId="77777777" w:rsidR="000F504F" w:rsidRDefault="00406E9C">
      <w:pPr>
        <w:pStyle w:val="Heading1"/>
        <w:keepNext/>
      </w:pPr>
      <w:bookmarkStart w:id="8" w:name="_Toc231232853"/>
      <w:r>
        <w:t>Chapter 2 — Thermal-Hydraulic System Model</w:t>
      </w:r>
      <w:bookmarkEnd w:id="8"/>
    </w:p>
    <w:p w14:paraId="5F1124CB" w14:textId="77777777" w:rsidR="000F504F" w:rsidRDefault="00406E9C">
      <w:pPr>
        <w:pStyle w:val="Heading2"/>
        <w:keepNext/>
      </w:pPr>
      <w:bookmarkStart w:id="9" w:name="_Toc231232854"/>
      <w:r>
        <w:t>2.1 Modeling Basis</w:t>
      </w:r>
      <w:bookmarkEnd w:id="9"/>
    </w:p>
    <w:p w14:paraId="2FBD5C49" w14:textId="77777777" w:rsidR="000F504F" w:rsidRDefault="00406E9C">
      <w:pPr>
        <w:pStyle w:val="FirstParagraph"/>
      </w:pPr>
      <w:r>
        <w:t>The thermal-hydraulic system model is based on the homogeneous equilibrium model (HEM). In HEM, liquid and vapor are assumed to be in mechanical and thermal equilibrium. Mechanical equilibrium means that the phases share a common velocity; thermal equilibrium means that the phases share a common temperature when both are present. The mixture can therefore be represented by a single pressure, a single specific enthalpy, and equilibrium mixture properties.</w:t>
      </w:r>
    </w:p>
    <w:p w14:paraId="0E8A1C83" w14:textId="77777777" w:rsidR="000F504F" w:rsidRDefault="00406E9C">
      <w:pPr>
        <w:pStyle w:val="BodyText"/>
      </w:pPr>
      <w:r>
        <w:t xml:space="preserve">The HEM assumptions are severe simplifications of the two-fluid model, but they are useful for a single-node scoping code. A two-fluid model requires separate liquid and vapor mass, momentum, and energy equations plus closure for interfacial drag, interfacial heat transfer, wall friction, wall heat transfer, </w:t>
      </w:r>
      <w:r>
        <w:lastRenderedPageBreak/>
        <w:t>entrainment, deposition, and flow-regime transition. FLARE instead collapses those details into mixture properties and boundary-flow correlations. The practical implication is that FLARE can track pressure, enthalpy, inventory, blowdown, injection, and heat removal efficiently, while accepting limited fidelity for void distribution and phasic slip inside the system volume.</w:t>
      </w:r>
    </w:p>
    <w:p w14:paraId="637485B6" w14:textId="77777777" w:rsidR="000F504F" w:rsidRDefault="00406E9C">
      <w:pPr>
        <w:pStyle w:val="Heading2"/>
        <w:keepNext/>
      </w:pPr>
      <w:bookmarkStart w:id="10" w:name="_Toc231232855"/>
      <w:r>
        <w:t>2.2 Control-Volume Mass Balance</w:t>
      </w:r>
      <w:bookmarkEnd w:id="10"/>
    </w:p>
    <w:p w14:paraId="083A72D5" w14:textId="77777777" w:rsidR="000F504F" w:rsidRDefault="00406E9C">
      <w:pPr>
        <w:pStyle w:val="FirstParagraph"/>
      </w:pPr>
      <w:r>
        <w:t xml:space="preserve">Let </w:t>
      </w:r>
      <m:oMath>
        <m:r>
          <w:rPr>
            <w:rFonts w:ascii="Cambria Math" w:hAnsi="Cambria Math"/>
          </w:rPr>
          <m:t>M</m:t>
        </m:r>
      </m:oMath>
      <w:r>
        <w:t xml:space="preserve"> denote the total fluid mass in the reactor coolant system control volume. Mass can enter through safety injection, accumulator injection, charging/makeup, or other specified sources. Mass can leave through a break, a PORV, letdown, or other specified sinks. The global mass balance is</w:t>
      </w:r>
    </w:p>
    <w:p w14:paraId="45541571"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in</m:t>
                  </m:r>
                  <m:r>
                    <m:rPr>
                      <m:sty m:val="p"/>
                    </m:rPr>
                    <w:rPr>
                      <w:rFonts w:ascii="Cambria Math" w:hAnsi="Cambria Math"/>
                    </w:rPr>
                    <m:t>,</m:t>
                  </m:r>
                  <m:r>
                    <w:rPr>
                      <w:rFonts w:ascii="Cambria Math" w:hAnsi="Cambria Math"/>
                    </w:rPr>
                    <m:t>j</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out</m:t>
                  </m:r>
                  <m:r>
                    <m:rPr>
                      <m:sty m:val="p"/>
                    </m:rPr>
                    <w:rPr>
                      <w:rFonts w:ascii="Cambria Math" w:hAnsi="Cambria Math"/>
                    </w:rPr>
                    <m:t>,</m:t>
                  </m:r>
                  <m:r>
                    <w:rPr>
                      <w:rFonts w:ascii="Cambria Math" w:hAnsi="Cambria Math"/>
                    </w:rPr>
                    <m:t>k</m:t>
                  </m:r>
                </m:sub>
              </m:sSub>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m:t>
              </m:r>
            </m:e>
          </m:d>
        </m:oMath>
      </m:oMathPara>
    </w:p>
    <w:p w14:paraId="45C77581" w14:textId="77777777" w:rsidR="000F504F" w:rsidRDefault="00406E9C">
      <w:pPr>
        <w:pStyle w:val="FirstParagraph"/>
      </w:pPr>
      <w:r>
        <w:t>For the standard FLARE PWR model, this is written as</w:t>
      </w:r>
    </w:p>
    <w:p w14:paraId="0FF3AD75"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break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PORV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letdown</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m:t>
              </m:r>
            </m:e>
          </m:d>
        </m:oMath>
      </m:oMathPara>
    </w:p>
    <w:p w14:paraId="125221F2" w14:textId="77777777" w:rsidR="000F504F" w:rsidRDefault="00406E9C">
      <w:pPr>
        <w:pStyle w:val="FirstParagraph"/>
      </w:pPr>
      <w: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in</m:t>
            </m:r>
          </m:sub>
        </m:sSub>
      </m:oMath>
      <w:r>
        <w:t xml:space="preserve"> is the total injected flow rate,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break</m:t>
            </m:r>
          </m:sub>
        </m:sSub>
      </m:oMath>
      <w:r>
        <w:t xml:space="preserve"> is the break discharge,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PORV</m:t>
            </m:r>
          </m:sub>
        </m:sSub>
      </m:oMath>
      <w:r>
        <w:t xml:space="preserve"> is the relief-valve discharge,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letdown</m:t>
            </m:r>
          </m:sub>
        </m:sSub>
      </m:oMath>
      <w:r>
        <w:t xml:space="preserve"> is any specified letdown flow. The explicit inventory update is</w:t>
      </w:r>
    </w:p>
    <w:p w14:paraId="73ECFC7B" w14:textId="77777777" w:rsidR="000F504F" w:rsidRDefault="00406E9C">
      <w:pPr>
        <w:pStyle w:val="BodyText"/>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n</m:t>
              </m:r>
            </m:sup>
          </m:sSup>
          <m:r>
            <m:rPr>
              <m:sty m:val="p"/>
            </m:rPr>
            <w:rPr>
              <w:rFonts w:ascii="Cambria Math" w:hAnsi="Cambria Math"/>
            </w:rPr>
            <m:t>+</m:t>
          </m:r>
          <m:r>
            <w:rPr>
              <w:rFonts w:ascii="Cambria Math" w:hAnsi="Cambria Math"/>
            </w:rPr>
            <m:t>Δt</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in</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break</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PORV</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letdown</m:t>
                  </m:r>
                </m:sub>
                <m:sup>
                  <m:r>
                    <w:rPr>
                      <w:rFonts w:ascii="Cambria Math" w:hAnsi="Cambria Math"/>
                    </w:rPr>
                    <m:t>n</m:t>
                  </m:r>
                </m:sup>
              </m:sSub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m:t>
              </m:r>
            </m:e>
          </m:d>
        </m:oMath>
      </m:oMathPara>
    </w:p>
    <w:p w14:paraId="659EE408" w14:textId="77777777" w:rsidR="000F504F" w:rsidRDefault="00406E9C">
      <w:pPr>
        <w:pStyle w:val="FirstParagraph"/>
      </w:pPr>
      <w:r>
        <w:t>Mass is constrained to remain non-negative and, where appropriate, to remain above a small numerical floor to avoid singular property evaluations.</w:t>
      </w:r>
    </w:p>
    <w:p w14:paraId="1B9EEFBC" w14:textId="77777777" w:rsidR="000F504F" w:rsidRDefault="00406E9C">
      <w:pPr>
        <w:pStyle w:val="Heading2"/>
        <w:keepNext/>
      </w:pPr>
      <w:bookmarkStart w:id="11" w:name="_Toc231232856"/>
      <w:r>
        <w:t>2.3 Volume Constraint and State Variable Selection</w:t>
      </w:r>
      <w:bookmarkEnd w:id="11"/>
    </w:p>
    <w:p w14:paraId="3B5FB732" w14:textId="77777777" w:rsidR="000F504F" w:rsidRDefault="00406E9C">
      <w:pPr>
        <w:pStyle w:val="FirstParagraph"/>
      </w:pPr>
      <w:r>
        <w:t>The RCS metal volume is treated as fixed over the transient. The coolant volume is therefore</w:t>
      </w:r>
    </w:p>
    <w:p w14:paraId="6203BFF8" w14:textId="77777777" w:rsidR="000F504F" w:rsidRDefault="00406E9C">
      <w:pPr>
        <w:pStyle w:val="BodyText"/>
      </w:pPr>
      <m:oMathPara>
        <m:oMathParaPr>
          <m:jc m:val="center"/>
        </m:oMathParaPr>
        <m:oMath>
          <m:r>
            <w:rPr>
              <w:rFonts w:ascii="Cambria Math" w:hAnsi="Cambria Math"/>
            </w:rPr>
            <m:t>V</m:t>
          </m:r>
          <m:r>
            <m:rPr>
              <m:sty m:val="p"/>
            </m:rPr>
            <w:rPr>
              <w:rFonts w:ascii="Cambria Math" w:hAnsi="Cambria Math"/>
            </w:rPr>
            <m:t>=</m:t>
          </m:r>
          <m:r>
            <w:rPr>
              <w:rFonts w:ascii="Cambria Math" w:hAnsi="Cambria Math"/>
            </w:rPr>
            <m:t>Mv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2.4</m:t>
              </m:r>
            </m:e>
          </m:d>
        </m:oMath>
      </m:oMathPara>
    </w:p>
    <w:p w14:paraId="44E87FE2" w14:textId="77777777" w:rsidR="000F504F" w:rsidRDefault="00406E9C">
      <w:pPr>
        <w:pStyle w:val="FirstParagraph"/>
      </w:pPr>
      <w:r>
        <w:t xml:space="preserve">where </w:t>
      </w:r>
      <m:oMath>
        <m:r>
          <w:rPr>
            <w:rFonts w:ascii="Cambria Math" w:hAnsi="Cambria Math"/>
          </w:rPr>
          <m:t>v</m:t>
        </m:r>
      </m:oMath>
      <w:r>
        <w:t xml:space="preserve"> is the mixture specific volume. For a fixed system volume, the differential form is</w:t>
      </w:r>
    </w:p>
    <w:p w14:paraId="267EE56F" w14:textId="77777777" w:rsidR="000F504F" w:rsidRDefault="00406E9C">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w:rPr>
              <w:rFonts w:ascii="Cambria Math" w:hAnsi="Cambria Math"/>
            </w:rPr>
            <m:t> </m:t>
          </m:r>
          <m:r>
            <w:rPr>
              <w:rFonts w:ascii="Cambria Math" w:hAnsi="Cambria Math"/>
            </w:rPr>
            <m:t>dM</m:t>
          </m:r>
          <m:r>
            <m:rPr>
              <m:sty m:val="p"/>
            </m:rPr>
            <w:rPr>
              <w:rFonts w:ascii="Cambria Math" w:hAnsi="Cambria Math"/>
            </w:rPr>
            <m:t>+</m:t>
          </m:r>
          <m:r>
            <w:rPr>
              <w:rFonts w:ascii="Cambria Math" w:hAnsi="Cambria Math"/>
            </w:rPr>
            <m:t>M</m:t>
          </m:r>
          <m:r>
            <w:rPr>
              <w:rFonts w:ascii="Cambria Math" w:hAnsi="Cambria Math"/>
            </w:rPr>
            <m:t> </m:t>
          </m:r>
          <m:r>
            <w:rPr>
              <w:rFonts w:ascii="Cambria Math" w:hAnsi="Cambria Math"/>
            </w:rPr>
            <m:t>dv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14:paraId="6D348F1D" w14:textId="77777777" w:rsidR="000F504F" w:rsidRDefault="00406E9C">
      <w:pPr>
        <w:pStyle w:val="FirstParagraph"/>
      </w:pPr>
      <w:r>
        <w:t>Expanding the specific-volume differential in terms of pressure and enthalpy gives</w:t>
      </w:r>
    </w:p>
    <w:p w14:paraId="146349CB" w14:textId="77777777" w:rsidR="000F504F" w:rsidRDefault="00406E9C">
      <w:pPr>
        <w:pStyle w:val="BodyText"/>
      </w:pPr>
      <m:oMathPara>
        <m:oMathParaPr>
          <m:jc m:val="center"/>
        </m:oMathParaPr>
        <m:oMath>
          <m:r>
            <w:rPr>
              <w:rFonts w:ascii="Cambria Math" w:hAnsi="Cambria Math"/>
            </w:rPr>
            <m:t>dv</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P</m:t>
                      </m:r>
                    </m:den>
                  </m:f>
                </m:e>
              </m:d>
            </m:e>
            <m:sub>
              <m:r>
                <w:rPr>
                  <w:rFonts w:ascii="Cambria Math" w:hAnsi="Cambria Math"/>
                </w:rPr>
                <m:t>h</m:t>
              </m:r>
            </m:sub>
          </m:sSub>
          <m:r>
            <w:rPr>
              <w:rFonts w:ascii="Cambria Math" w:hAnsi="Cambria Math"/>
            </w:rPr>
            <m:t>dP</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h</m:t>
                      </m:r>
                    </m:den>
                  </m:f>
                </m:e>
              </m:d>
            </m:e>
            <m:sub>
              <m:r>
                <w:rPr>
                  <w:rFonts w:ascii="Cambria Math" w:hAnsi="Cambria Math"/>
                </w:rPr>
                <m:t>P</m:t>
              </m:r>
            </m:sub>
          </m:sSub>
          <m:r>
            <w:rPr>
              <w:rFonts w:ascii="Cambria Math" w:hAnsi="Cambria Math"/>
            </w:rPr>
            <m:t>d</m:t>
          </m:r>
          <m:r>
            <w:rPr>
              <w:rFonts w:ascii="Cambria Math" w:hAnsi="Cambria Math"/>
            </w:rPr>
            <m:t>h</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2.6</m:t>
              </m:r>
            </m:e>
          </m:d>
        </m:oMath>
      </m:oMathPara>
    </w:p>
    <w:p w14:paraId="4012A6C5" w14:textId="77777777" w:rsidR="000F504F" w:rsidRDefault="00406E9C">
      <w:pPr>
        <w:pStyle w:val="FirstParagraph"/>
      </w:pPr>
      <w:r>
        <w:t>Substitution into the volume constraint gives the second equation required to solve for the pressure and enthalpy increments:</w:t>
      </w:r>
    </w:p>
    <w:p w14:paraId="2694ABFC" w14:textId="77777777" w:rsidR="000F504F" w:rsidRDefault="00406E9C">
      <w:pPr>
        <w:pStyle w:val="BodyText"/>
      </w:pPr>
      <m:oMathPara>
        <m:oMathParaPr>
          <m:jc m:val="center"/>
        </m:oMathParaPr>
        <m:oMath>
          <m:r>
            <w:rPr>
              <w:rFonts w:ascii="Cambria Math" w:hAnsi="Cambria Math"/>
            </w:rPr>
            <m:t>M</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P</m:t>
                      </m:r>
                    </m:den>
                  </m:f>
                </m:e>
              </m:d>
            </m:e>
            <m:sub>
              <m:r>
                <w:rPr>
                  <w:rFonts w:ascii="Cambria Math" w:hAnsi="Cambria Math"/>
                </w:rPr>
                <m:t>h</m:t>
              </m:r>
            </m:sub>
          </m:sSub>
          <m:f>
            <m:fPr>
              <m:ctrlPr>
                <w:rPr>
                  <w:rFonts w:ascii="Cambria Math" w:hAnsi="Cambria Math"/>
                </w:rPr>
              </m:ctrlPr>
            </m:fPr>
            <m:num>
              <m:r>
                <w:rPr>
                  <w:rFonts w:ascii="Cambria Math" w:hAnsi="Cambria Math"/>
                </w:rPr>
                <m:t>dP</m:t>
              </m:r>
            </m:num>
            <m:den>
              <m:r>
                <w:rPr>
                  <w:rFonts w:ascii="Cambria Math" w:hAnsi="Cambria Math"/>
                </w:rPr>
                <m:t>dt</m:t>
              </m:r>
            </m:den>
          </m:f>
          <m:r>
            <m:rPr>
              <m:sty m:val="p"/>
            </m:rPr>
            <w:rPr>
              <w:rFonts w:ascii="Cambria Math" w:hAnsi="Cambria Math"/>
            </w:rPr>
            <m:t>+</m:t>
          </m:r>
          <m:r>
            <w:rPr>
              <w:rFonts w:ascii="Cambria Math" w:hAnsi="Cambria Math"/>
            </w:rPr>
            <m:t>M</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h</m:t>
                      </m:r>
                    </m:den>
                  </m:f>
                </m:e>
              </m:d>
            </m:e>
            <m:sub>
              <m:r>
                <w:rPr>
                  <w:rFonts w:ascii="Cambria Math" w:hAnsi="Cambria Math"/>
                </w:rPr>
                <m:t>P</m:t>
              </m:r>
            </m:sub>
          </m:sSub>
          <m:f>
            <m:fPr>
              <m:ctrlPr>
                <w:rPr>
                  <w:rFonts w:ascii="Cambria Math" w:hAnsi="Cambria Math"/>
                </w:rPr>
              </m:ctrlPr>
            </m:fPr>
            <m:num>
              <m:r>
                <w:rPr>
                  <w:rFonts w:ascii="Cambria Math" w:hAnsi="Cambria Math"/>
                </w:rPr>
                <m:t>d</m:t>
              </m:r>
              <m: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v</m:t>
          </m:r>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2.7</m:t>
              </m:r>
            </m:e>
          </m:d>
        </m:oMath>
      </m:oMathPara>
    </w:p>
    <w:p w14:paraId="3096A2E9" w14:textId="77777777" w:rsidR="000F504F" w:rsidRDefault="00406E9C">
      <w:pPr>
        <w:pStyle w:val="FirstParagraph"/>
      </w:pPr>
      <w:r>
        <w:t>This relation is the reason that pressure and enthalpy are attractive state variables for a lumped HEM model. Mass conservation determines the amount of material added or removed; the fixed-volume constraint determines how the thermodynamic state must change to accommodate that inventory change.</w:t>
      </w:r>
    </w:p>
    <w:p w14:paraId="1DF49F9C" w14:textId="77777777" w:rsidR="000F504F" w:rsidRDefault="00406E9C">
      <w:pPr>
        <w:pStyle w:val="Heading2"/>
        <w:keepNext/>
      </w:pPr>
      <w:bookmarkStart w:id="12" w:name="_Toc231232857"/>
      <w:r>
        <w:t>2.4 Energy Balance</w:t>
      </w:r>
      <w:bookmarkEnd w:id="12"/>
    </w:p>
    <w:p w14:paraId="4C9BEAC7" w14:textId="77777777" w:rsidR="000F504F" w:rsidRDefault="00406E9C">
      <w:pPr>
        <w:pStyle w:val="FirstParagraph"/>
      </w:pPr>
      <w:r>
        <w:t>Let the total internal energy of the coolant be approximated by</w:t>
      </w:r>
    </w:p>
    <w:p w14:paraId="148ABC99" w14:textId="77777777" w:rsidR="000F504F" w:rsidRDefault="00406E9C">
      <w:pPr>
        <w:pStyle w:val="BodyText"/>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Me</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2.8</m:t>
              </m:r>
            </m:e>
          </m:d>
        </m:oMath>
      </m:oMathPara>
    </w:p>
    <w:p w14:paraId="2971E711" w14:textId="77777777" w:rsidR="000F504F" w:rsidRDefault="00406E9C">
      <w:pPr>
        <w:pStyle w:val="FirstParagraph"/>
      </w:pPr>
      <w:r>
        <w:lastRenderedPageBreak/>
        <w:t xml:space="preserve">where </w:t>
      </w:r>
      <m:oMath>
        <m:r>
          <w:rPr>
            <w:rFonts w:ascii="Cambria Math" w:hAnsi="Cambria Math"/>
          </w:rPr>
          <m:t>e</m:t>
        </m:r>
      </m:oMath>
      <w:r>
        <w:t xml:space="preserve"> is specific internal energy. Neglecting kinetic and potential energy storage inside the lumped volume, the first law for the control volume is</w:t>
      </w:r>
    </w:p>
    <w:p w14:paraId="11BA3478"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Me</m:t>
                  </m:r>
                </m:e>
              </m:d>
            </m:num>
            <m:den>
              <m:r>
                <w:rPr>
                  <w:rFonts w:ascii="Cambria Math" w:hAnsi="Cambria Math"/>
                </w:rPr>
                <m:t>dt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in</m:t>
                  </m:r>
                  <m:r>
                    <m:rPr>
                      <m:sty m:val="p"/>
                    </m:rPr>
                    <w:rPr>
                      <w:rFonts w:ascii="Cambria Math" w:hAnsi="Cambria Math"/>
                    </w:rPr>
                    <m:t>,</m:t>
                  </m:r>
                  <m:r>
                    <w:rPr>
                      <w:rFonts w:ascii="Cambria Math" w:hAnsi="Cambria Math"/>
                    </w:rPr>
                    <m:t>j</m:t>
                  </m:r>
                </m:sub>
              </m:sSub>
            </m:e>
          </m:nary>
          <m:sSub>
            <m:sSubPr>
              <m:ctrlPr>
                <w:rPr>
                  <w:rFonts w:ascii="Cambria Math" w:hAnsi="Cambria Math"/>
                </w:rPr>
              </m:ctrlPr>
            </m:sSubPr>
            <m:e>
              <m:r>
                <w:rPr>
                  <w:rFonts w:ascii="Cambria Math" w:hAnsi="Cambria Math"/>
                </w:rPr>
                <m:t>h</m:t>
              </m:r>
            </m:e>
            <m:sub>
              <m:r>
                <w:rPr>
                  <w:rFonts w:ascii="Cambria Math" w:hAnsi="Cambria Math"/>
                </w:rPr>
                <m:t>in</m:t>
              </m:r>
              <m:r>
                <m:rPr>
                  <m:sty m:val="p"/>
                </m:rPr>
                <w:rPr>
                  <w:rFonts w:ascii="Cambria Math" w:hAnsi="Cambria Math"/>
                </w:rPr>
                <m:t>,</m:t>
              </m:r>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out</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h</m:t>
              </m:r>
            </m:e>
            <m:sub>
              <m:r>
                <w:rPr>
                  <w:rFonts w:ascii="Cambria Math" w:hAnsi="Cambria Math"/>
                </w:rPr>
                <m:t>out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struct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loss</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2.9</m:t>
              </m:r>
            </m:e>
          </m:d>
        </m:oMath>
      </m:oMathPara>
    </w:p>
    <w:p w14:paraId="2F7BA966" w14:textId="77777777" w:rsidR="000F504F" w:rsidRDefault="00406E9C">
      <w:pPr>
        <w:pStyle w:val="FirstParagraph"/>
      </w:pPr>
      <w:r>
        <w:t>Expanding the left-hand side,</w:t>
      </w:r>
    </w:p>
    <w:p w14:paraId="361E84AC"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Me</m:t>
                  </m:r>
                </m:e>
              </m:d>
            </m:num>
            <m:den>
              <m:r>
                <w:rPr>
                  <w:rFonts w:ascii="Cambria Math" w:hAnsi="Cambria Math"/>
                </w:rPr>
                <m:t>dt</m:t>
              </m:r>
            </m:den>
          </m:f>
          <m:r>
            <m:rPr>
              <m:sty m:val="p"/>
            </m:rPr>
            <w:rPr>
              <w:rFonts w:ascii="Cambria Math" w:hAnsi="Cambria Math"/>
            </w:rPr>
            <m:t>=</m:t>
          </m:r>
          <m:r>
            <w:rPr>
              <w:rFonts w:ascii="Cambria Math" w:hAnsi="Cambria Math"/>
            </w:rPr>
            <m:t>M</m:t>
          </m:r>
          <m:f>
            <m:fPr>
              <m:ctrlPr>
                <w:rPr>
                  <w:rFonts w:ascii="Cambria Math" w:hAnsi="Cambria Math"/>
                </w:rPr>
              </m:ctrlPr>
            </m:fPr>
            <m:num>
              <m:r>
                <w:rPr>
                  <w:rFonts w:ascii="Cambria Math" w:hAnsi="Cambria Math"/>
                </w:rPr>
                <m:t>de</m:t>
              </m:r>
            </m:num>
            <m:den>
              <m:r>
                <w:rPr>
                  <w:rFonts w:ascii="Cambria Math" w:hAnsi="Cambria Math"/>
                </w:rPr>
                <m:t>dt</m:t>
              </m:r>
            </m:den>
          </m:f>
          <m:r>
            <m:rPr>
              <m:sty m:val="p"/>
            </m:rPr>
            <w:rPr>
              <w:rFonts w:ascii="Cambria Math" w:hAnsi="Cambria Math"/>
            </w:rPr>
            <m:t>+</m:t>
          </m:r>
          <m:r>
            <w:rPr>
              <w:rFonts w:ascii="Cambria Math" w:hAnsi="Cambria Math"/>
            </w:rPr>
            <m:t>e</m:t>
          </m:r>
          <m:f>
            <m:fPr>
              <m:ctrlPr>
                <w:rPr>
                  <w:rFonts w:ascii="Cambria Math" w:hAnsi="Cambria Math"/>
                </w:rPr>
              </m:ctrlPr>
            </m:fPr>
            <m:num>
              <m:r>
                <w:rPr>
                  <w:rFonts w:ascii="Cambria Math" w:hAnsi="Cambria Math"/>
                </w:rPr>
                <m:t>dM</m:t>
              </m:r>
            </m:num>
            <m:den>
              <m:r>
                <w:rPr>
                  <w:rFonts w:ascii="Cambria Math" w:hAnsi="Cambria Math"/>
                </w:rPr>
                <m:t>dt</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2.10</m:t>
              </m:r>
            </m:e>
          </m:d>
        </m:oMath>
      </m:oMathPara>
    </w:p>
    <w:p w14:paraId="4BD4936D" w14:textId="77777777" w:rsidR="000F504F" w:rsidRDefault="00406E9C">
      <w:pPr>
        <w:pStyle w:val="FirstParagraph"/>
      </w:pPr>
      <w:r>
        <w:t>The internal-energy differential is</w:t>
      </w:r>
    </w:p>
    <w:p w14:paraId="35288761" w14:textId="77777777" w:rsidR="000F504F" w:rsidRDefault="00406E9C">
      <w:pPr>
        <w:pStyle w:val="BodyText"/>
      </w:pPr>
      <m:oMathPara>
        <m:oMathParaPr>
          <m:jc m:val="center"/>
        </m:oMathParaPr>
        <m:oMath>
          <m:r>
            <w:rPr>
              <w:rFonts w:ascii="Cambria Math" w:hAnsi="Cambria Math"/>
            </w:rPr>
            <m:t>de</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P</m:t>
                      </m:r>
                    </m:den>
                  </m:f>
                </m:e>
              </m:d>
            </m:e>
            <m:sub>
              <m:r>
                <w:rPr>
                  <w:rFonts w:ascii="Cambria Math" w:hAnsi="Cambria Math"/>
                </w:rPr>
                <m:t>h</m:t>
              </m:r>
            </m:sub>
          </m:sSub>
          <m:r>
            <w:rPr>
              <w:rFonts w:ascii="Cambria Math" w:hAnsi="Cambria Math"/>
            </w:rPr>
            <m:t>dP</m:t>
          </m:r>
          <m:r>
            <m:rPr>
              <m:sty m:val="p"/>
            </m:rPr>
            <w:rPr>
              <w:rFonts w:ascii="Cambria Math" w:hAnsi="Cambria Math"/>
            </w:rPr>
            <m: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h</m:t>
                      </m:r>
                    </m:den>
                  </m:f>
                </m:e>
              </m:d>
            </m:e>
            <m:sub>
              <m:r>
                <w:rPr>
                  <w:rFonts w:ascii="Cambria Math" w:hAnsi="Cambria Math"/>
                </w:rPr>
                <m:t>P</m:t>
              </m:r>
            </m:sub>
          </m:sSub>
          <m:r>
            <w:rPr>
              <w:rFonts w:ascii="Cambria Math" w:hAnsi="Cambria Math"/>
            </w:rPr>
            <m:t>d</m:t>
          </m:r>
          <m:r>
            <w:rPr>
              <w:rFonts w:ascii="Cambria Math" w:hAnsi="Cambria Math"/>
            </w:rPr>
            <m:t>h</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2.11</m:t>
              </m:r>
            </m:e>
          </m:d>
        </m:oMath>
      </m:oMathPara>
    </w:p>
    <w:p w14:paraId="6EDE525A" w14:textId="77777777" w:rsidR="000F504F" w:rsidRDefault="00406E9C">
      <w:pPr>
        <w:pStyle w:val="FirstParagraph"/>
      </w:pPr>
      <w:r>
        <w:t>Combining these relations gives the pressure-enthalpy energy equation:</w:t>
      </w:r>
    </w:p>
    <w:p w14:paraId="620A36C9" w14:textId="77777777" w:rsidR="000F504F" w:rsidRDefault="00406E9C">
      <w:pPr>
        <w:pStyle w:val="BodyText"/>
      </w:pPr>
      <m:oMathPara>
        <m:oMathParaPr>
          <m:jc m:val="center"/>
        </m:oMathParaPr>
        <m:oMath>
          <m:r>
            <w:rPr>
              <w:rFonts w:ascii="Cambria Math" w:hAnsi="Cambria Math"/>
            </w:rPr>
            <m:t>M</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P</m:t>
                      </m:r>
                    </m:den>
                  </m:f>
                </m:e>
              </m:d>
            </m:e>
            <m:sub>
              <m:r>
                <w:rPr>
                  <w:rFonts w:ascii="Cambria Math" w:hAnsi="Cambria Math"/>
                </w:rPr>
                <m:t>h</m:t>
              </m:r>
            </m:sub>
          </m:sSub>
          <m:f>
            <m:fPr>
              <m:ctrlPr>
                <w:rPr>
                  <w:rFonts w:ascii="Cambria Math" w:hAnsi="Cambria Math"/>
                </w:rPr>
              </m:ctrlPr>
            </m:fPr>
            <m:num>
              <m:r>
                <w:rPr>
                  <w:rFonts w:ascii="Cambria Math" w:hAnsi="Cambria Math"/>
                </w:rPr>
                <m:t>dP</m:t>
              </m:r>
            </m:num>
            <m:den>
              <m:r>
                <w:rPr>
                  <w:rFonts w:ascii="Cambria Math" w:hAnsi="Cambria Math"/>
                </w:rPr>
                <m:t>dt</m:t>
              </m:r>
            </m:den>
          </m:f>
          <m:r>
            <m:rPr>
              <m:sty m:val="p"/>
            </m:rPr>
            <w:rPr>
              <w:rFonts w:ascii="Cambria Math" w:hAnsi="Cambria Math"/>
            </w:rPr>
            <m:t>+</m:t>
          </m:r>
          <m:r>
            <w:rPr>
              <w:rFonts w:ascii="Cambria Math" w:hAnsi="Cambria Math"/>
            </w:rPr>
            <m:t>M</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h</m:t>
                      </m:r>
                    </m:den>
                  </m:f>
                </m:e>
              </m:d>
            </m:e>
            <m:sub>
              <m:r>
                <w:rPr>
                  <w:rFonts w:ascii="Cambria Math" w:hAnsi="Cambria Math"/>
                </w:rPr>
                <m:t>P</m:t>
              </m:r>
            </m:sub>
          </m:sSub>
          <m:f>
            <m:fPr>
              <m:ctrlPr>
                <w:rPr>
                  <w:rFonts w:ascii="Cambria Math" w:hAnsi="Cambria Math"/>
                </w:rPr>
              </m:ctrlPr>
            </m:fPr>
            <m:num>
              <m:r>
                <w:rPr>
                  <w:rFonts w:ascii="Cambria Math" w:hAnsi="Cambria Math"/>
                </w:rPr>
                <m:t>d</m:t>
              </m:r>
              <m:r>
                <w:rPr>
                  <w:rFonts w:ascii="Cambria Math" w:hAnsi="Cambria Math"/>
                </w:rPr>
                <m:t>h</m:t>
              </m:r>
            </m:num>
            <m:den>
              <m:r>
                <w:rPr>
                  <w:rFonts w:ascii="Cambria Math" w:hAnsi="Cambria Math"/>
                </w:rPr>
                <m:t>dt</m:t>
              </m:r>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in</m:t>
                  </m:r>
                  <m:r>
                    <m:rPr>
                      <m:sty m:val="p"/>
                    </m:rPr>
                    <w:rPr>
                      <w:rFonts w:ascii="Cambria Math" w:hAnsi="Cambria Math"/>
                    </w:rPr>
                    <m:t>,</m:t>
                  </m:r>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e</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out</m:t>
                  </m:r>
                  <m:r>
                    <m:rPr>
                      <m:sty m:val="p"/>
                    </m:rPr>
                    <w:rPr>
                      <w:rFonts w:ascii="Cambria Math" w:hAnsi="Cambria Math"/>
                    </w:rPr>
                    <m:t>,</m:t>
                  </m:r>
                  <m:r>
                    <w:rPr>
                      <w:rFonts w:ascii="Cambria Math" w:hAnsi="Cambria Math"/>
                    </w:rPr>
                    <m:t>k</m:t>
                  </m:r>
                </m:sub>
              </m:sSub>
            </m:e>
          </m:nary>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out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core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struct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loss</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2.12</m:t>
              </m:r>
            </m:e>
          </m:d>
        </m:oMath>
      </m:oMathPara>
    </w:p>
    <w:p w14:paraId="3CE4B308" w14:textId="77777777" w:rsidR="000F504F" w:rsidRDefault="00406E9C">
      <w:pPr>
        <w:pStyle w:val="FirstParagraph"/>
      </w:pPr>
      <w:r>
        <w:t>For the standard FLARE configuration, this becomes</w:t>
      </w:r>
    </w:p>
    <w:p w14:paraId="2CB516F8" w14:textId="77777777" w:rsidR="000F504F" w:rsidRDefault="00406E9C">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in</m:t>
                        </m:r>
                      </m:sub>
                    </m:sSub>
                    <m:r>
                      <m:rPr>
                        <m:sty m:val="p"/>
                      </m:rPr>
                      <w:rPr>
                        <w:rFonts w:ascii="Cambria Math" w:hAnsi="Cambria Math"/>
                      </w:rPr>
                      <m:t>-</m:t>
                    </m:r>
                    <m:r>
                      <w:rPr>
                        <w:rFonts w:ascii="Cambria Math" w:hAnsi="Cambria Math"/>
                      </w:rPr>
                      <m:t>e</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break</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b</m:t>
                        </m:r>
                      </m:sub>
                    </m:sSub>
                    <m:r>
                      <m:rPr>
                        <m:sty m:val="p"/>
                      </m:rPr>
                      <w:rPr>
                        <w:rFonts w:ascii="Cambria Math" w:hAnsi="Cambria Math"/>
                      </w:rPr>
                      <m:t>-</m:t>
                    </m:r>
                    <m:r>
                      <w:rPr>
                        <w:rFonts w:ascii="Cambria Math" w:hAnsi="Cambria Math"/>
                      </w:rPr>
                      <m:t>e</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PORV</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PORV</m:t>
                        </m:r>
                      </m:sub>
                    </m:sSub>
                    <m:r>
                      <m:rPr>
                        <m:sty m:val="p"/>
                      </m:rPr>
                      <w:rPr>
                        <w:rFonts w:ascii="Cambria Math" w:hAnsi="Cambria Math"/>
                      </w:rPr>
                      <m:t>-</m:t>
                    </m:r>
                    <m:r>
                      <w:rPr>
                        <w:rFonts w:ascii="Cambria Math" w:hAnsi="Cambria Math"/>
                      </w:rPr>
                      <m:t>e</m:t>
                    </m:r>
                  </m:e>
                </m:d>
              </m:e>
            </m:mr>
            <m:mr>
              <m:e/>
              <m:e>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net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SG</m:t>
                    </m:r>
                  </m:sub>
                </m:sSub>
                <m:r>
                  <m:rPr>
                    <m:sty m:val="p"/>
                  </m:rPr>
                  <w:rPr>
                    <w:rFonts w:ascii="Cambria Math" w:hAnsi="Cambria Math"/>
                  </w:rPr>
                  <m:t>.</m:t>
                </m:r>
              </m:e>
            </m:mr>
          </m:m>
          <m:r>
            <w:rPr>
              <w:rFonts w:ascii="Cambria Math" w:hAnsi="Cambria Math"/>
            </w:rPr>
            <m:t>  </m:t>
          </m:r>
          <m:d>
            <m:dPr>
              <m:ctrlPr>
                <w:rPr>
                  <w:rFonts w:ascii="Cambria Math" w:hAnsi="Cambria Math"/>
                </w:rPr>
              </m:ctrlPr>
            </m:dPr>
            <m:e>
              <m:r>
                <w:rPr>
                  <w:rFonts w:ascii="Cambria Math" w:hAnsi="Cambria Math"/>
                </w:rPr>
                <m:t>2.13</m:t>
              </m:r>
            </m:e>
          </m:d>
        </m:oMath>
      </m:oMathPara>
    </w:p>
    <w:p w14:paraId="3A3EF280" w14:textId="77777777" w:rsidR="000F504F" w:rsidRDefault="00406E9C">
      <w:pPr>
        <w:pStyle w:val="Heading2"/>
        <w:keepNext/>
      </w:pPr>
      <w:bookmarkStart w:id="13" w:name="_Toc231232858"/>
      <w:r>
        <w:t>2.5 Semi-Implicit Pressure-Enthalpy Update</w:t>
      </w:r>
      <w:bookmarkEnd w:id="13"/>
    </w:p>
    <w:p w14:paraId="1BE9DA24" w14:textId="77777777" w:rsidR="000F504F" w:rsidRDefault="00406E9C">
      <w:pPr>
        <w:pStyle w:val="FirstParagraph"/>
      </w:pPr>
      <w:r>
        <w:t>Equations (2.7) and (2.12) form a coupled linear system for the new pressure and enthalpy increments. In compact form,</w:t>
      </w:r>
    </w:p>
    <w:p w14:paraId="75624F0C" w14:textId="77777777" w:rsidR="000F504F" w:rsidRDefault="00406E9C">
      <w:pPr>
        <w:pStyle w:val="BodyText"/>
      </w:pPr>
      <m:oMathPara>
        <m:oMathParaPr>
          <m:jc m:val="center"/>
        </m:oMathParaPr>
        <m:oMath>
          <m:r>
            <m:rPr>
              <m:sty m:val="b"/>
            </m:rPr>
            <w:rPr>
              <w:rFonts w:ascii="Cambria Math" w:hAnsi="Cambria Math"/>
            </w:rPr>
            <m:t>A</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ΔP</m:t>
                    </m:r>
                  </m:e>
                </m:mr>
                <m:mr>
                  <m:e>
                    <m:r>
                      <w:rPr>
                        <w:rFonts w:ascii="Cambria Math" w:hAnsi="Cambria Math"/>
                      </w:rPr>
                      <m:t>Δ</m:t>
                    </m:r>
                    <m:r>
                      <w:rPr>
                        <w:rFonts w:ascii="Cambria Math" w:hAnsi="Cambria Math"/>
                      </w:rPr>
                      <m:t>h</m:t>
                    </m:r>
                  </m:e>
                </m:mr>
              </m:m>
            </m:e>
          </m:d>
          <m:r>
            <m:rPr>
              <m:sty m:val="p"/>
            </m:rPr>
            <w:rPr>
              <w:rFonts w:ascii="Cambria Math" w:hAnsi="Cambria Math"/>
            </w:rPr>
            <m:t>=</m:t>
          </m:r>
          <m:r>
            <w:rPr>
              <w:rFonts w:ascii="Cambria Math" w:hAnsi="Cambria Math"/>
            </w:rPr>
            <m:t>Δt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E</m:t>
                        </m:r>
                      </m:sub>
                    </m:sSub>
                  </m:e>
                </m:mr>
                <m:mr>
                  <m:e>
                    <m:sSub>
                      <m:sSubPr>
                        <m:ctrlPr>
                          <w:rPr>
                            <w:rFonts w:ascii="Cambria Math" w:hAnsi="Cambria Math"/>
                          </w:rPr>
                        </m:ctrlPr>
                      </m:sSubPr>
                      <m:e>
                        <m:r>
                          <w:rPr>
                            <w:rFonts w:ascii="Cambria Math" w:hAnsi="Cambria Math"/>
                          </w:rPr>
                          <m:t>B</m:t>
                        </m:r>
                      </m:e>
                      <m:sub>
                        <m:r>
                          <w:rPr>
                            <w:rFonts w:ascii="Cambria Math" w:hAnsi="Cambria Math"/>
                          </w:rPr>
                          <m:t>V</m:t>
                        </m:r>
                      </m:sub>
                    </m:sSub>
                  </m:e>
                </m:mr>
              </m:m>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2.14</m:t>
              </m:r>
            </m:e>
          </m:d>
        </m:oMath>
      </m:oMathPara>
    </w:p>
    <w:p w14:paraId="577F737F" w14:textId="77777777" w:rsidR="000F504F" w:rsidRDefault="00406E9C">
      <w:pPr>
        <w:pStyle w:val="FirstParagraph"/>
      </w:pPr>
      <w:r>
        <w:t>where</w:t>
      </w:r>
    </w:p>
    <w:p w14:paraId="4F7EBDF4" w14:textId="77777777" w:rsidR="000F504F" w:rsidRDefault="00406E9C">
      <w:pPr>
        <w:pStyle w:val="BodyText"/>
      </w:pPr>
      <m:oMathPara>
        <m:oMathParaPr>
          <m:jc m:val="center"/>
        </m:oMathParaPr>
        <m:oMath>
          <m:r>
            <m:rPr>
              <m:sty m:val="b"/>
            </m:rPr>
            <w:rPr>
              <w:rFonts w:ascii="Cambria Math" w:hAnsi="Cambria Math"/>
            </w:rPr>
            <m:t>A</m:t>
          </m:r>
          <m:r>
            <m:rPr>
              <m:sty m:val="p"/>
            </m:rPr>
            <w:rPr>
              <w:rFonts w:ascii="Cambria Math" w:hAnsi="Cambria Math"/>
            </w:rPr>
            <m:t>=</m:t>
          </m:r>
          <m:r>
            <w:rPr>
              <w:rFonts w:ascii="Cambria Math" w:hAnsi="Cambria Math"/>
            </w:rPr>
            <m:t>M</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P</m:t>
                                </m:r>
                              </m:den>
                            </m:f>
                          </m:e>
                        </m:d>
                      </m:e>
                      <m:sub>
                        <m:r>
                          <w:rPr>
                            <w:rFonts w:ascii="Cambria Math" w:hAnsi="Cambria Math"/>
                          </w:rPr>
                          <m:t>h</m:t>
                        </m:r>
                      </m:sub>
                    </m:sSub>
                  </m:e>
                  <m:e>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e</m:t>
                                </m:r>
                              </m:num>
                              <m:den>
                                <m:r>
                                  <m:rPr>
                                    <m:sty m:val="p"/>
                                  </m:rPr>
                                  <w:rPr>
                                    <w:rFonts w:ascii="Cambria Math" w:hAnsi="Cambria Math"/>
                                  </w:rPr>
                                  <m:t>∂</m:t>
                                </m:r>
                                <m:r>
                                  <w:rPr>
                                    <w:rFonts w:ascii="Cambria Math" w:hAnsi="Cambria Math"/>
                                  </w:rPr>
                                  <m:t>h</m:t>
                                </m:r>
                              </m:den>
                            </m:f>
                          </m:e>
                        </m:d>
                      </m:e>
                      <m:sub>
                        <m:r>
                          <w:rPr>
                            <w:rFonts w:ascii="Cambria Math" w:hAnsi="Cambria Math"/>
                          </w:rPr>
                          <m:t>P</m:t>
                        </m:r>
                      </m:sub>
                    </m:sSub>
                  </m:e>
                </m:mr>
                <m:mr>
                  <m:e>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P</m:t>
                                </m:r>
                              </m:den>
                            </m:f>
                          </m:e>
                        </m:d>
                      </m:e>
                      <m:sub>
                        <m:r>
                          <w:rPr>
                            <w:rFonts w:ascii="Cambria Math" w:hAnsi="Cambria Math"/>
                          </w:rPr>
                          <m:t>h</m:t>
                        </m:r>
                      </m:sub>
                    </m:sSub>
                  </m:e>
                  <m:e>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r>
                                  <w:rPr>
                                    <w:rFonts w:ascii="Cambria Math" w:hAnsi="Cambria Math"/>
                                  </w:rPr>
                                  <m:t>h</m:t>
                                </m:r>
                              </m:den>
                            </m:f>
                          </m:e>
                        </m:d>
                      </m:e>
                      <m:sub>
                        <m:r>
                          <w:rPr>
                            <w:rFonts w:ascii="Cambria Math" w:hAnsi="Cambria Math"/>
                          </w:rPr>
                          <m:t>P</m:t>
                        </m:r>
                      </m:sub>
                    </m:sSub>
                  </m:e>
                </m:mr>
              </m:m>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2.15</m:t>
              </m:r>
            </m:e>
          </m:d>
        </m:oMath>
      </m:oMathPara>
    </w:p>
    <w:p w14:paraId="4C4A2C48" w14:textId="77777777" w:rsidR="000F504F" w:rsidRDefault="00406E9C">
      <w:pPr>
        <w:pStyle w:val="FirstParagraph"/>
      </w:pPr>
      <w:r>
        <w:t>and</w:t>
      </w:r>
    </w:p>
    <w:p w14:paraId="54919C8C"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V</m:t>
              </m:r>
            </m:sub>
          </m:sSub>
          <m:r>
            <m:rPr>
              <m:sty m:val="p"/>
            </m:rPr>
            <w:rPr>
              <w:rFonts w:ascii="Cambria Math" w:hAnsi="Cambria Math"/>
            </w:rPr>
            <m:t>=-</m:t>
          </m:r>
          <m:r>
            <w:rPr>
              <w:rFonts w:ascii="Cambria Math" w:hAnsi="Cambria Math"/>
            </w:rPr>
            <m:t>v</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break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PORV</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letdown</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2.16</m:t>
              </m:r>
            </m:e>
          </m:d>
        </m:oMath>
      </m:oMathPara>
    </w:p>
    <w:p w14:paraId="712F9141" w14:textId="77777777" w:rsidR="000F504F" w:rsidRDefault="00406E9C">
      <w:pPr>
        <w:pStyle w:val="FirstParagraph"/>
      </w:pPr>
      <w:r>
        <w:t>The updated state is</w:t>
      </w:r>
    </w:p>
    <w:p w14:paraId="48E4681E" w14:textId="77777777" w:rsidR="000F504F" w:rsidRDefault="00406E9C">
      <w:pPr>
        <w:pStyle w:val="BodyText"/>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P</m:t>
                        </m:r>
                      </m:e>
                      <m:sup>
                        <m:r>
                          <w:rPr>
                            <w:rFonts w:ascii="Cambria Math" w:hAnsi="Cambria Math"/>
                          </w:rPr>
                          <m:t>n</m:t>
                        </m:r>
                        <m:r>
                          <m:rPr>
                            <m:sty m:val="p"/>
                          </m:rPr>
                          <w:rPr>
                            <w:rFonts w:ascii="Cambria Math" w:hAnsi="Cambria Math"/>
                          </w:rPr>
                          <m:t>+</m:t>
                        </m:r>
                        <m:r>
                          <w:rPr>
                            <w:rFonts w:ascii="Cambria Math" w:hAnsi="Cambria Math"/>
                          </w:rPr>
                          <m:t>1</m:t>
                        </m:r>
                      </m:sup>
                    </m:sSup>
                  </m:e>
                </m:mr>
                <m:mr>
                  <m:e>
                    <m:sSup>
                      <m:sSupPr>
                        <m:ctrlPr>
                          <w:rPr>
                            <w:rFonts w:ascii="Cambria Math" w:hAnsi="Cambria Math"/>
                          </w:rPr>
                        </m:ctrlPr>
                      </m:sSupPr>
                      <m:e>
                        <m:r>
                          <w:rPr>
                            <w:rFonts w:ascii="Cambria Math" w:hAnsi="Cambria Math"/>
                          </w:rPr>
                          <m:t>h</m:t>
                        </m:r>
                      </m:e>
                      <m:sup>
                        <m:r>
                          <w:rPr>
                            <w:rFonts w:ascii="Cambria Math" w:hAnsi="Cambria Math"/>
                          </w:rPr>
                          <m:t>n</m:t>
                        </m:r>
                        <m:r>
                          <m:rPr>
                            <m:sty m:val="p"/>
                          </m:rPr>
                          <w:rPr>
                            <w:rFonts w:ascii="Cambria Math" w:hAnsi="Cambria Math"/>
                          </w:rPr>
                          <m:t>+</m:t>
                        </m:r>
                        <m:r>
                          <w:rPr>
                            <w:rFonts w:ascii="Cambria Math" w:hAnsi="Cambria Math"/>
                          </w:rPr>
                          <m:t>1</m:t>
                        </m:r>
                      </m:sup>
                    </m:sSup>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P</m:t>
                        </m:r>
                      </m:e>
                      <m:sup>
                        <m:r>
                          <w:rPr>
                            <w:rFonts w:ascii="Cambria Math" w:hAnsi="Cambria Math"/>
                          </w:rPr>
                          <m:t>n</m:t>
                        </m:r>
                      </m:sup>
                    </m:sSup>
                  </m:e>
                </m:mr>
                <m:mr>
                  <m:e>
                    <m:sSup>
                      <m:sSupPr>
                        <m:ctrlPr>
                          <w:rPr>
                            <w:rFonts w:ascii="Cambria Math" w:hAnsi="Cambria Math"/>
                          </w:rPr>
                        </m:ctrlPr>
                      </m:sSupPr>
                      <m:e>
                        <m:r>
                          <w:rPr>
                            <w:rFonts w:ascii="Cambria Math" w:hAnsi="Cambria Math"/>
                          </w:rPr>
                          <m:t>h</m:t>
                        </m:r>
                      </m:e>
                      <m:sup>
                        <m:r>
                          <w:rPr>
                            <w:rFonts w:ascii="Cambria Math" w:hAnsi="Cambria Math"/>
                          </w:rPr>
                          <m:t>n</m:t>
                        </m:r>
                      </m:sup>
                    </m:sSup>
                  </m:e>
                </m:mr>
              </m:m>
            </m:e>
          </m:d>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Δt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E</m:t>
                        </m:r>
                      </m:sub>
                    </m:sSub>
                  </m:e>
                </m:mr>
                <m:mr>
                  <m:e>
                    <m:sSub>
                      <m:sSubPr>
                        <m:ctrlPr>
                          <w:rPr>
                            <w:rFonts w:ascii="Cambria Math" w:hAnsi="Cambria Math"/>
                          </w:rPr>
                        </m:ctrlPr>
                      </m:sSubPr>
                      <m:e>
                        <m:r>
                          <w:rPr>
                            <w:rFonts w:ascii="Cambria Math" w:hAnsi="Cambria Math"/>
                          </w:rPr>
                          <m:t>B</m:t>
                        </m:r>
                      </m:e>
                      <m:sub>
                        <m:r>
                          <w:rPr>
                            <w:rFonts w:ascii="Cambria Math" w:hAnsi="Cambria Math"/>
                          </w:rPr>
                          <m:t>V</m:t>
                        </m:r>
                      </m:sub>
                    </m:sSub>
                  </m:e>
                </m:mr>
              </m:m>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2.17</m:t>
              </m:r>
            </m:e>
          </m:d>
        </m:oMath>
      </m:oMathPara>
    </w:p>
    <w:p w14:paraId="7D7B2A53" w14:textId="77777777" w:rsidR="000F504F" w:rsidRDefault="00406E9C">
      <w:pPr>
        <w:pStyle w:val="FirstParagraph"/>
      </w:pPr>
      <w:r>
        <w:t>The method is semi-implicit in the sense that the pressure-enthalpy coupling imposed by the thermodynamic derivatives is solved as a coupled matrix problem, while many source terms are evaluated from the current or previously updated time level. This provides better numerical behavior than a fully explicit pressure update without requiring an iterative nonlinear solve at every time step.</w:t>
      </w:r>
    </w:p>
    <w:p w14:paraId="7913B3C6" w14:textId="77777777" w:rsidR="000F504F" w:rsidRDefault="00406E9C">
      <w:pPr>
        <w:pStyle w:val="Heading2"/>
        <w:keepNext/>
      </w:pPr>
      <w:bookmarkStart w:id="14" w:name="_Toc231232859"/>
      <w:r>
        <w:lastRenderedPageBreak/>
        <w:t>2.6 Equation of State and Mixture Properties</w:t>
      </w:r>
      <w:bookmarkEnd w:id="14"/>
    </w:p>
    <w:p w14:paraId="03E4BC6D" w14:textId="77777777" w:rsidR="000F504F" w:rsidRDefault="00406E9C">
      <w:pPr>
        <w:pStyle w:val="FirstParagraph"/>
      </w:pPr>
      <w:r>
        <w:t xml:space="preserve">Water and steam properties are evaluated using the IAPWS-IF97 formulation as implemented in the FLARE property interface. In single-phase liquid or vapor states, the property functions return </w:t>
      </w:r>
      <m:oMath>
        <m:r>
          <w:rPr>
            <w:rFonts w:ascii="Cambria Math" w:hAnsi="Cambria Math"/>
          </w:rPr>
          <m:t>v</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oMath>
      <w:r>
        <w:t xml:space="preserve">, </w:t>
      </w:r>
      <m:oMath>
        <m:r>
          <w:rPr>
            <w:rFonts w:ascii="Cambria Math" w:hAnsi="Cambria Math"/>
          </w:rPr>
          <m:t>e</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oMath>
      <w:r>
        <w:t xml:space="preserve">, </w:t>
      </w:r>
      <m:oMath>
        <m:r>
          <w:rPr>
            <w:rFonts w:ascii="Cambria Math" w:hAnsi="Cambria Math"/>
          </w:rPr>
          <m:t>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oMath>
      <w:r>
        <w:t>, density, viscosity, thermal conductivity, and specific heat directly. In saturated conditions, equilibrium quality is evaluated as</w:t>
      </w:r>
    </w:p>
    <w:p w14:paraId="791D610F"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eq</m:t>
              </m:r>
            </m:sub>
          </m:sSub>
          <m:r>
            <m:rPr>
              <m:sty m:val="p"/>
            </m:rPr>
            <w:rPr>
              <w:rFonts w:ascii="Cambria Math" w:hAnsi="Cambria Math"/>
            </w:rPr>
            <m:t>=</m:t>
          </m:r>
          <m:f>
            <m:fPr>
              <m:ctrlPr>
                <w:rPr>
                  <w:rFonts w:ascii="Cambria Math" w:hAnsi="Cambria Math"/>
                </w:rPr>
              </m:ctrlPr>
            </m:fPr>
            <m:num>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d>
                <m:dPr>
                  <m:ctrlPr>
                    <w:rPr>
                      <w:rFonts w:ascii="Cambria Math" w:hAnsi="Cambria Math"/>
                    </w:rPr>
                  </m:ctrlPr>
                </m:dPr>
                <m:e>
                  <m:r>
                    <w:rPr>
                      <w:rFonts w:ascii="Cambria Math" w:hAnsi="Cambria Math"/>
                    </w:rPr>
                    <m:t>P</m:t>
                  </m:r>
                </m:e>
              </m:d>
            </m:num>
            <m:den>
              <m:sSub>
                <m:sSubPr>
                  <m:ctrlPr>
                    <w:rPr>
                      <w:rFonts w:ascii="Cambria Math" w:hAnsi="Cambria Math"/>
                    </w:rPr>
                  </m:ctrlPr>
                </m:sSubPr>
                <m:e>
                  <m:r>
                    <w:rPr>
                      <w:rFonts w:ascii="Cambria Math" w:hAnsi="Cambria Math"/>
                    </w:rPr>
                    <m:t>h</m:t>
                  </m:r>
                </m:e>
                <m:sub>
                  <m:r>
                    <w:rPr>
                      <w:rFonts w:ascii="Cambria Math" w:hAnsi="Cambria Math"/>
                    </w:rPr>
                    <m:t>g</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d>
                <m:dPr>
                  <m:ctrlPr>
                    <w:rPr>
                      <w:rFonts w:ascii="Cambria Math" w:hAnsi="Cambria Math"/>
                    </w:rPr>
                  </m:ctrlPr>
                </m:dPr>
                <m:e>
                  <m:r>
                    <w:rPr>
                      <w:rFonts w:ascii="Cambria Math" w:hAnsi="Cambria Math"/>
                    </w:rPr>
                    <m:t>P</m:t>
                  </m:r>
                </m:e>
              </m:d>
            </m:den>
          </m:f>
          <m:r>
            <m:rPr>
              <m:sty m:val="p"/>
            </m:rPr>
            <w:rPr>
              <w:rFonts w:ascii="Cambria Math" w:hAnsi="Cambria Math"/>
            </w:rPr>
            <m:t>=</m:t>
          </m:r>
          <m:f>
            <m:fPr>
              <m:ctrlPr>
                <w:rPr>
                  <w:rFonts w:ascii="Cambria Math" w:hAnsi="Cambria Math"/>
                </w:rPr>
              </m:ctrlPr>
            </m:fPr>
            <m:num>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num>
            <m:den>
              <m:sSub>
                <m:sSubPr>
                  <m:ctrlPr>
                    <w:rPr>
                      <w:rFonts w:ascii="Cambria Math" w:hAnsi="Cambria Math"/>
                    </w:rPr>
                  </m:ctrlPr>
                </m:sSubPr>
                <m:e>
                  <m:r>
                    <w:rPr>
                      <w:rFonts w:ascii="Cambria Math" w:hAnsi="Cambria Math"/>
                    </w:rPr>
                    <m:t>h</m:t>
                  </m:r>
                </m:e>
                <m:sub>
                  <m:r>
                    <w:rPr>
                      <w:rFonts w:ascii="Cambria Math" w:hAnsi="Cambria Math"/>
                    </w:rPr>
                    <m:t>fg</m:t>
                  </m:r>
                </m:sub>
              </m:sSub>
            </m:den>
          </m:f>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2.18</m:t>
              </m:r>
            </m:e>
          </m:d>
        </m:oMath>
      </m:oMathPara>
    </w:p>
    <w:p w14:paraId="772176E1" w14:textId="77777777" w:rsidR="000F504F" w:rsidRDefault="00406E9C">
      <w:pPr>
        <w:pStyle w:val="FirstParagraph"/>
      </w:pPr>
      <w:r>
        <w:t>The saturated mixture specific volume is</w:t>
      </w:r>
    </w:p>
    <w:p w14:paraId="59DA8E72" w14:textId="77777777" w:rsidR="000F504F" w:rsidRDefault="00406E9C">
      <w:pPr>
        <w:pStyle w:val="BodyText"/>
      </w:pPr>
      <m:oMathPara>
        <m:oMathParaPr>
          <m:jc m:val="center"/>
        </m:oMathParaPr>
        <m:oMath>
          <m:r>
            <w:rPr>
              <w:rFonts w:ascii="Cambria Math" w:hAnsi="Cambria Math"/>
            </w:rPr>
            <m:t>v</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e>
          </m:d>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sSub>
            <m:sSubPr>
              <m:ctrlPr>
                <w:rPr>
                  <w:rFonts w:ascii="Cambria Math" w:hAnsi="Cambria Math"/>
                </w:rPr>
              </m:ctrlPr>
            </m:sSubPr>
            <m:e>
              <m:r>
                <w:rPr>
                  <w:rFonts w:ascii="Cambria Math" w:hAnsi="Cambria Math"/>
                </w:rPr>
                <m:t>v</m:t>
              </m:r>
            </m:e>
            <m:sub>
              <m:r>
                <w:rPr>
                  <w:rFonts w:ascii="Cambria Math" w:hAnsi="Cambria Math"/>
                </w:rPr>
                <m:t>fg</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2.19</m:t>
              </m:r>
            </m:e>
          </m:d>
        </m:oMath>
      </m:oMathPara>
    </w:p>
    <w:p w14:paraId="30979D3B" w14:textId="77777777" w:rsidR="000F504F" w:rsidRDefault="00406E9C">
      <w:pPr>
        <w:pStyle w:val="FirstParagraph"/>
      </w:pPr>
      <w:r>
        <w:t>Similarly, the mixture internal energy is</w:t>
      </w:r>
    </w:p>
    <w:p w14:paraId="4377B6E7" w14:textId="77777777" w:rsidR="000F504F" w:rsidRDefault="00406E9C">
      <w:pPr>
        <w:pStyle w:val="BodyText"/>
      </w:pPr>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e>
          </m:d>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sSub>
            <m:sSubPr>
              <m:ctrlPr>
                <w:rPr>
                  <w:rFonts w:ascii="Cambria Math" w:hAnsi="Cambria Math"/>
                </w:rPr>
              </m:ctrlPr>
            </m:sSubPr>
            <m:e>
              <m:r>
                <w:rPr>
                  <w:rFonts w:ascii="Cambria Math" w:hAnsi="Cambria Math"/>
                </w:rPr>
                <m:t>e</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sSub>
            <m:sSubPr>
              <m:ctrlPr>
                <w:rPr>
                  <w:rFonts w:ascii="Cambria Math" w:hAnsi="Cambria Math"/>
                </w:rPr>
              </m:ctrlPr>
            </m:sSubPr>
            <m:e>
              <m:r>
                <w:rPr>
                  <w:rFonts w:ascii="Cambria Math" w:hAnsi="Cambria Math"/>
                </w:rPr>
                <m:t>e</m:t>
              </m:r>
            </m:e>
            <m:sub>
              <m:r>
                <w:rPr>
                  <w:rFonts w:ascii="Cambria Math" w:hAnsi="Cambria Math"/>
                </w:rPr>
                <m:t>fg</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2.20</m:t>
              </m:r>
            </m:e>
          </m:d>
        </m:oMath>
      </m:oMathPara>
    </w:p>
    <w:p w14:paraId="62B086EB" w14:textId="77777777" w:rsidR="000F504F" w:rsidRDefault="00406E9C">
      <w:pPr>
        <w:pStyle w:val="FirstParagraph"/>
      </w:pPr>
      <w:r>
        <w:t xml:space="preserve">In practice, FLARE uses tabulated property calls and finite-difference derivatives rather than relying exclusively on closed-form saturation derivatives. For a generic property </w:t>
      </w:r>
      <m:oMath>
        <m:r>
          <w:rPr>
            <w:rFonts w:ascii="Cambria Math" w:hAnsi="Cambria Math"/>
          </w:rPr>
          <m:t>ϕ</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e>
        </m:d>
      </m:oMath>
      <w:r>
        <w:t>, the finite-difference approximations are</w:t>
      </w:r>
    </w:p>
    <w:p w14:paraId="2934DEC2" w14:textId="77777777" w:rsidR="000F504F" w:rsidRDefault="00406E9C">
      <w:pPr>
        <w:pStyle w:val="BodyText"/>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P</m:t>
                      </m:r>
                    </m:den>
                  </m:f>
                </m:e>
              </m:d>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ϕ</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δP</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δP</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δP</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2.21</m:t>
              </m:r>
            </m:e>
          </m:d>
        </m:oMath>
      </m:oMathPara>
    </w:p>
    <w:p w14:paraId="6C5275D7" w14:textId="77777777" w:rsidR="000F504F" w:rsidRDefault="00406E9C">
      <w:pPr>
        <w:pStyle w:val="FirstParagraph"/>
      </w:pPr>
      <m:oMathPara>
        <m:oMathParaPr>
          <m:jc m:val="center"/>
        </m:oMathParaPr>
        <m:oMath>
          <m:sSub>
            <m:sSubPr>
              <m:ctrlPr>
                <w:rPr>
                  <w:rFonts w:ascii="Cambria Math" w:hAnsi="Cambria Math"/>
                </w:rPr>
              </m:ctrlPr>
            </m:sSubPr>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h</m:t>
                      </m:r>
                    </m:den>
                  </m:f>
                </m:e>
              </m:d>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ϕ</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δ</m:t>
                  </m:r>
                  <m:r>
                    <w:rPr>
                      <w:rFonts w:ascii="Cambria Math" w:hAnsi="Cambria Math"/>
                    </w:rPr>
                    <m:t>h</m:t>
                  </m:r>
                </m:e>
              </m:d>
              <m:r>
                <m:rPr>
                  <m:sty m:val="p"/>
                </m:rPr>
                <w:rPr>
                  <w:rFonts w:ascii="Cambria Math" w:hAnsi="Cambria Math"/>
                </w:rPr>
                <m:t>-</m:t>
              </m:r>
              <m:r>
                <w:rPr>
                  <w:rFonts w:ascii="Cambria Math" w:hAnsi="Cambria Math"/>
                </w:rPr>
                <m:t>ϕ</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δ</m:t>
                  </m:r>
                  <m:r>
                    <w:rPr>
                      <w:rFonts w:ascii="Cambria Math" w:hAnsi="Cambria Math"/>
                    </w:rPr>
                    <m:t>h</m:t>
                  </m:r>
                </m:e>
              </m:d>
            </m:num>
            <m:den>
              <m:r>
                <w:rPr>
                  <w:rFonts w:ascii="Cambria Math" w:hAnsi="Cambria Math"/>
                </w:rPr>
                <m:t>2</m:t>
              </m:r>
              <m:r>
                <w:rPr>
                  <w:rFonts w:ascii="Cambria Math" w:hAnsi="Cambria Math"/>
                </w:rPr>
                <m:t>δ</m:t>
              </m:r>
              <m:r>
                <w:rPr>
                  <w:rFonts w:ascii="Cambria Math" w:hAnsi="Cambria Math"/>
                </w:rPr>
                <m:t>h</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2.22</m:t>
              </m:r>
            </m:e>
          </m:d>
        </m:oMath>
      </m:oMathPara>
    </w:p>
    <w:p w14:paraId="327FB03E" w14:textId="77777777" w:rsidR="000F504F" w:rsidRDefault="00406E9C">
      <w:pPr>
        <w:pStyle w:val="FirstParagraph"/>
      </w:pPr>
      <w:r>
        <w:t>Near saturation boundaries, derivative evaluation is guarded to avoid invalid property calls and discontinuous state jumps.</w:t>
      </w:r>
    </w:p>
    <w:p w14:paraId="67990D2B" w14:textId="77777777" w:rsidR="000F504F" w:rsidRDefault="00406E9C">
      <w:pPr>
        <w:pStyle w:val="Heading2"/>
        <w:keepNext/>
      </w:pPr>
      <w:bookmarkStart w:id="15" w:name="_Toc231232860"/>
      <w:r>
        <w:t>2.7 Break Flow Model</w:t>
      </w:r>
      <w:bookmarkEnd w:id="15"/>
    </w:p>
    <w:p w14:paraId="759B11DF" w14:textId="77777777" w:rsidR="000F504F" w:rsidRDefault="00406E9C">
      <w:pPr>
        <w:pStyle w:val="FirstParagraph"/>
      </w:pPr>
      <w:r>
        <w:t xml:space="preserve">For a circular break of equivalent diameter </w:t>
      </w:r>
      <m:oMath>
        <m:sSub>
          <m:sSubPr>
            <m:ctrlPr>
              <w:rPr>
                <w:rFonts w:ascii="Cambria Math" w:hAnsi="Cambria Math"/>
              </w:rPr>
            </m:ctrlPr>
          </m:sSubPr>
          <m:e>
            <m:r>
              <w:rPr>
                <w:rFonts w:ascii="Cambria Math" w:hAnsi="Cambria Math"/>
              </w:rPr>
              <m:t>D</m:t>
            </m:r>
          </m:e>
          <m:sub>
            <m:r>
              <w:rPr>
                <w:rFonts w:ascii="Cambria Math" w:hAnsi="Cambria Math"/>
              </w:rPr>
              <m:t>b</m:t>
            </m:r>
          </m:sub>
        </m:sSub>
      </m:oMath>
      <w:r>
        <w:t>, the break area is</w:t>
      </w:r>
    </w:p>
    <w:p w14:paraId="59097D63"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D</m:t>
                  </m:r>
                </m:e>
                <m:sub>
                  <m:r>
                    <w:rPr>
                      <w:rFonts w:ascii="Cambria Math" w:hAnsi="Cambria Math"/>
                    </w:rPr>
                    <m:t>b</m:t>
                  </m:r>
                </m:sub>
                <m:sup>
                  <m:r>
                    <w:rPr>
                      <w:rFonts w:ascii="Cambria Math" w:hAnsi="Cambria Math"/>
                    </w:rPr>
                    <m:t>2</m:t>
                  </m:r>
                </m:sup>
              </m:sSubSup>
            </m:num>
            <m:den>
              <m:r>
                <w:rPr>
                  <w:rFonts w:ascii="Cambria Math" w:hAnsi="Cambria Math"/>
                </w:rPr>
                <m:t>4</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2.23</m:t>
              </m:r>
            </m:e>
          </m:d>
        </m:oMath>
      </m:oMathPara>
    </w:p>
    <w:p w14:paraId="5C1C3606" w14:textId="77777777" w:rsidR="000F504F" w:rsidRDefault="00406E9C">
      <w:pPr>
        <w:pStyle w:val="FirstParagraph"/>
      </w:pPr>
      <w:r>
        <w:t>The break mass flow rate is</w:t>
      </w:r>
    </w:p>
    <w:p w14:paraId="41517612"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break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A</m:t>
              </m:r>
            </m:e>
            <m:sub>
              <m:r>
                <w:rPr>
                  <w:rFonts w:ascii="Cambria Math" w:hAnsi="Cambria Math"/>
                </w:rPr>
                <m:t>b</m:t>
              </m:r>
            </m:sub>
          </m:sSub>
          <m:r>
            <w:rPr>
              <w:rFonts w:ascii="Cambria Math" w:hAnsi="Cambria Math"/>
            </w:rPr>
            <m:t>G</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2.24</m:t>
              </m:r>
            </m:e>
          </m:d>
        </m:oMath>
      </m:oMathPara>
    </w:p>
    <w:p w14:paraId="6D2B6DF9" w14:textId="77777777" w:rsidR="000F504F" w:rsidRDefault="00406E9C">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d</m:t>
            </m:r>
          </m:sub>
        </m:sSub>
      </m:oMath>
      <w:r>
        <w:t xml:space="preserve"> is the discharge coefficient and </w:t>
      </w:r>
      <m:oMath>
        <m:r>
          <w:rPr>
            <w:rFonts w:ascii="Cambria Math" w:hAnsi="Cambria Math"/>
          </w:rPr>
          <m:t>G</m:t>
        </m:r>
      </m:oMath>
      <w:r>
        <w:t xml:space="preserve"> is the predicted critical or subcritical mass flux. For strongly subcooled liquid discharge, FLARE uses a Bernoulli-type limiting model:</w:t>
      </w:r>
    </w:p>
    <w:p w14:paraId="3626D6B4"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sub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d</m:t>
              </m:r>
            </m:sub>
          </m:sSub>
          <m:sSub>
            <m:sSubPr>
              <m:ctrlPr>
                <w:rPr>
                  <w:rFonts w:ascii="Cambria Math" w:hAnsi="Cambria Math"/>
                </w:rPr>
              </m:ctrlPr>
            </m:sSubPr>
            <m:e>
              <m:r>
                <w:rPr>
                  <w:rFonts w:ascii="Cambria Math" w:hAnsi="Cambria Math"/>
                </w:rPr>
                <m:t>A</m:t>
              </m:r>
            </m:e>
            <m:sub>
              <m:r>
                <w:rPr>
                  <w:rFonts w:ascii="Cambria Math" w:hAnsi="Cambria Math"/>
                </w:rPr>
                <m:t>b</m:t>
              </m:r>
            </m:sub>
          </m:sSub>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RCS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back</m:t>
                      </m:r>
                    </m:sub>
                  </m:sSub>
                </m:e>
              </m:d>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2.25</m:t>
              </m:r>
            </m:e>
          </m:d>
        </m:oMath>
      </m:oMathPara>
    </w:p>
    <w:p w14:paraId="0B078AF0" w14:textId="77777777" w:rsidR="000F504F" w:rsidRDefault="00406E9C">
      <w:pPr>
        <w:pStyle w:val="FirstParagraph"/>
      </w:pPr>
      <w:r>
        <w:t xml:space="preserve">For saturated or flashing conditions, FLARE evaluates a Moody-type equilibrium critical-flow model. The critical mass flux is determined by searching over the throat pressure </w:t>
      </w:r>
      <m:oMath>
        <m:sSub>
          <m:sSubPr>
            <m:ctrlPr>
              <w:rPr>
                <w:rFonts w:ascii="Cambria Math" w:hAnsi="Cambria Math"/>
              </w:rPr>
            </m:ctrlPr>
          </m:sSubPr>
          <m:e>
            <m:r>
              <w:rPr>
                <w:rFonts w:ascii="Cambria Math" w:hAnsi="Cambria Math"/>
              </w:rPr>
              <m:t>P</m:t>
            </m:r>
          </m:e>
          <m:sub>
            <m:r>
              <w:rPr>
                <w:rFonts w:ascii="Cambria Math" w:hAnsi="Cambria Math"/>
              </w:rPr>
              <m:t>c</m:t>
            </m:r>
          </m:sub>
        </m:sSub>
      </m:oMath>
      <w:r>
        <w:t xml:space="preserve"> and selecting the maximum value:</w:t>
      </w:r>
    </w:p>
    <w:p w14:paraId="3B69E0F8"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crit</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sSub>
                <m:sSubPr>
                  <m:ctrlPr>
                    <w:rPr>
                      <w:rFonts w:ascii="Cambria Math" w:hAnsi="Cambria Math"/>
                    </w:rPr>
                  </m:ctrlPr>
                </m:sSubPr>
                <m:e>
                  <m:r>
                    <w:rPr>
                      <w:rFonts w:ascii="Cambria Math" w:hAnsi="Cambria Math"/>
                    </w:rPr>
                    <m:t>P</m:t>
                  </m:r>
                </m:e>
                <m:sub>
                  <m:r>
                    <w:rPr>
                      <w:rFonts w:ascii="Cambria Math" w:hAnsi="Cambria Math"/>
                    </w:rPr>
                    <m:t>c</m:t>
                  </m:r>
                </m:sub>
              </m:sSub>
            </m:lim>
          </m:limLow>
          <m:d>
            <m:dPr>
              <m:begChr m:val="["/>
              <m:endChr m:val="]"/>
              <m:ctrlPr>
                <w:rPr>
                  <w:rFonts w:ascii="Cambria Math" w:hAnsi="Cambria Math"/>
                </w:rPr>
              </m:ctrlPr>
            </m:dPr>
            <m:e>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S</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back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2.26</m:t>
              </m:r>
            </m:e>
          </m:d>
        </m:oMath>
      </m:oMathPara>
    </w:p>
    <w:p w14:paraId="67E86461" w14:textId="77777777" w:rsidR="000F504F" w:rsidRDefault="00406E9C">
      <w:pPr>
        <w:pStyle w:val="FirstParagraph"/>
      </w:pPr>
      <w:r>
        <w:t>The upstream stagnation enthalpy is treated as approximately conserved between the upstream control volume and the throat:</w:t>
      </w:r>
    </w:p>
    <w:p w14:paraId="595FD8B8"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c</m:t>
                  </m:r>
                </m:sub>
                <m:sup>
                  <m:r>
                    <w:rPr>
                      <w:rFonts w:ascii="Cambria Math" w:hAnsi="Cambria Math"/>
                    </w:rPr>
                    <m:t>2</m:t>
                  </m:r>
                </m:sup>
              </m:sSubSup>
            </m:num>
            <m:den>
              <m:r>
                <w:rPr>
                  <w:rFonts w:ascii="Cambria Math" w:hAnsi="Cambria Math"/>
                </w:rPr>
                <m:t>2</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2.27</m:t>
              </m:r>
            </m:e>
          </m:d>
        </m:oMath>
      </m:oMathPara>
    </w:p>
    <w:p w14:paraId="4D09F1DF" w14:textId="77777777" w:rsidR="000F504F" w:rsidRDefault="00406E9C">
      <w:pPr>
        <w:pStyle w:val="FirstParagraph"/>
      </w:pPr>
      <w:r>
        <w:lastRenderedPageBreak/>
        <w:t>The equilibrium throat quality is</w:t>
      </w:r>
    </w:p>
    <w:p w14:paraId="1190C87D"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sub>
                  </m:sSub>
                </m:e>
              </m:d>
            </m:num>
            <m:den>
              <m:sSub>
                <m:sSubPr>
                  <m:ctrlPr>
                    <w:rPr>
                      <w:rFonts w:ascii="Cambria Math" w:hAnsi="Cambria Math"/>
                    </w:rPr>
                  </m:ctrlPr>
                </m:sSubPr>
                <m:e>
                  <m:r>
                    <w:rPr>
                      <w:rFonts w:ascii="Cambria Math" w:hAnsi="Cambria Math"/>
                    </w:rPr>
                    <m:t>h</m:t>
                  </m:r>
                </m:e>
                <m:sub>
                  <m:r>
                    <w:rPr>
                      <w:rFonts w:ascii="Cambria Math" w:hAnsi="Cambria Math"/>
                    </w:rPr>
                    <m:t>fg</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sub>
                  </m:sSub>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2.28</m:t>
              </m:r>
            </m:e>
          </m:d>
        </m:oMath>
      </m:oMathPara>
    </w:p>
    <w:p w14:paraId="7A681A08" w14:textId="77777777" w:rsidR="000F504F" w:rsidRDefault="00406E9C">
      <w:pPr>
        <w:pStyle w:val="FirstParagraph"/>
      </w:pPr>
      <w:r>
        <w:t>FLARE supports three slip options:</w:t>
      </w:r>
    </w:p>
    <w:p w14:paraId="06BB8EB5"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HEM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Moody</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Fauske</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sub>
                      </m:sSub>
                    </m:num>
                    <m:den>
                      <m:sSub>
                        <m:sSubPr>
                          <m:ctrlPr>
                            <w:rPr>
                              <w:rFonts w:ascii="Cambria Math" w:hAnsi="Cambria Math"/>
                            </w:rPr>
                          </m:ctrlPr>
                        </m:sSubPr>
                        <m:e>
                          <m:r>
                            <w:rPr>
                              <w:rFonts w:ascii="Cambria Math" w:hAnsi="Cambria Math"/>
                            </w:rPr>
                            <m:t>v</m:t>
                          </m:r>
                        </m:e>
                        <m:sub>
                          <m:r>
                            <w:rPr>
                              <w:rFonts w:ascii="Cambria Math" w:hAnsi="Cambria Math"/>
                            </w:rPr>
                            <m:t>f</m:t>
                          </m:r>
                        </m:sub>
                      </m:sSub>
                    </m:den>
                  </m:f>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2.29</m:t>
              </m:r>
            </m:e>
          </m:d>
        </m:oMath>
      </m:oMathPara>
    </w:p>
    <w:p w14:paraId="645E7B83" w14:textId="77777777" w:rsidR="000F504F" w:rsidRDefault="00406E9C">
      <w:pPr>
        <w:pStyle w:val="FirstParagraph"/>
      </w:pPr>
      <w:r>
        <w:t>If the containment or back pressure becomes sufficiently high relative to RCS pressure, the break is transitioned to a subcritical orifice model. The pressure ratio is</w:t>
      </w:r>
    </w:p>
    <w:p w14:paraId="17B52E8D" w14:textId="77777777" w:rsidR="000F504F" w:rsidRDefault="00406E9C">
      <w:pPr>
        <w:pStyle w:val="BodyText"/>
      </w:pPr>
      <m:oMathPara>
        <m:oMathParaPr>
          <m:jc m:val="center"/>
        </m:oMathParaPr>
        <m:oMath>
          <m:r>
            <w:rPr>
              <w:rFonts w:ascii="Cambria Math" w:hAnsi="Cambria Math"/>
            </w:rPr>
            <m:t>Π</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back</m:t>
                  </m:r>
                </m:sub>
              </m:sSub>
            </m:num>
            <m:den>
              <m:sSub>
                <m:sSubPr>
                  <m:ctrlPr>
                    <w:rPr>
                      <w:rFonts w:ascii="Cambria Math" w:hAnsi="Cambria Math"/>
                    </w:rPr>
                  </m:ctrlPr>
                </m:sSubPr>
                <m:e>
                  <m:r>
                    <w:rPr>
                      <w:rFonts w:ascii="Cambria Math" w:hAnsi="Cambria Math"/>
                    </w:rPr>
                    <m:t>P</m:t>
                  </m:r>
                </m:e>
                <m:sub>
                  <m:r>
                    <w:rPr>
                      <w:rFonts w:ascii="Cambria Math" w:hAnsi="Cambria Math"/>
                    </w:rPr>
                    <m:t>RCS</m:t>
                  </m:r>
                </m:sub>
              </m:sSub>
            </m:den>
          </m:f>
          <m:r>
            <m:rPr>
              <m:sty m:val="p"/>
            </m:rPr>
            <w:rPr>
              <w:rFonts w:ascii="Cambria Math" w:hAnsi="Cambria Math"/>
            </w:rPr>
            <m:t>,</m:t>
          </m:r>
          <m:r>
            <w:rPr>
              <w:rFonts w:ascii="Cambria Math" w:hAnsi="Cambria Math"/>
            </w:rPr>
            <m:t>  </m:t>
          </m:r>
          <m:r>
            <w:rPr>
              <w:rFonts w:ascii="Cambria Math" w:hAnsi="Cambria Math"/>
            </w:rPr>
            <m:t>Π</m:t>
          </m:r>
          <m:r>
            <m:rPr>
              <m:sty m:val="p"/>
            </m:rPr>
            <w:rPr>
              <w:rFonts w:ascii="Cambria Math" w:hAnsi="Cambria Math"/>
            </w:rPr>
            <m:t>&gt;</m:t>
          </m:r>
          <m:sSub>
            <m:sSubPr>
              <m:ctrlPr>
                <w:rPr>
                  <w:rFonts w:ascii="Cambria Math" w:hAnsi="Cambria Math"/>
                </w:rPr>
              </m:ctrlPr>
            </m:sSubPr>
            <m:e>
              <m:r>
                <w:rPr>
                  <w:rFonts w:ascii="Cambria Math" w:hAnsi="Cambria Math"/>
                </w:rPr>
                <m:t>Π</m:t>
              </m:r>
            </m:e>
            <m:sub>
              <m:r>
                <w:rPr>
                  <w:rFonts w:ascii="Cambria Math" w:hAnsi="Cambria Math"/>
                </w:rPr>
                <m:t>crit</m:t>
              </m:r>
            </m:sub>
          </m:sSub>
          <m:r>
            <m:rPr>
              <m:sty m:val="p"/>
            </m:rPr>
            <w:rPr>
              <w:rFonts w:ascii="Cambria Math" w:hAnsi="Cambria Math"/>
            </w:rPr>
            <m:t>⇒subcritical flow.</m:t>
          </m:r>
          <m:r>
            <w:rPr>
              <w:rFonts w:ascii="Cambria Math" w:hAnsi="Cambria Math"/>
            </w:rPr>
            <m:t>  </m:t>
          </m:r>
          <m:d>
            <m:dPr>
              <m:ctrlPr>
                <w:rPr>
                  <w:rFonts w:ascii="Cambria Math" w:hAnsi="Cambria Math"/>
                </w:rPr>
              </m:ctrlPr>
            </m:dPr>
            <m:e>
              <m:r>
                <w:rPr>
                  <w:rFonts w:ascii="Cambria Math" w:hAnsi="Cambria Math"/>
                </w:rPr>
                <m:t>2.30</m:t>
              </m:r>
            </m:e>
          </m:d>
        </m:oMath>
      </m:oMathPara>
    </w:p>
    <w:p w14:paraId="1CC7A886" w14:textId="77777777" w:rsidR="000F504F" w:rsidRDefault="00406E9C">
      <w:pPr>
        <w:pStyle w:val="FirstParagraph"/>
      </w:pPr>
      <w:r>
        <w:t xml:space="preserve">The default value </w:t>
      </w:r>
      <m:oMath>
        <m:sSub>
          <m:sSubPr>
            <m:ctrlPr>
              <w:rPr>
                <w:rFonts w:ascii="Cambria Math" w:hAnsi="Cambria Math"/>
              </w:rPr>
            </m:ctrlPr>
          </m:sSubPr>
          <m:e>
            <m:r>
              <w:rPr>
                <w:rFonts w:ascii="Cambria Math" w:hAnsi="Cambria Math"/>
              </w:rPr>
              <m:t>Π</m:t>
            </m:r>
          </m:e>
          <m:sub>
            <m:r>
              <w:rPr>
                <w:rFonts w:ascii="Cambria Math" w:hAnsi="Cambria Math"/>
              </w:rPr>
              <m:t>crit</m:t>
            </m:r>
          </m:sub>
        </m:sSub>
        <m:r>
          <m:rPr>
            <m:sty m:val="p"/>
          </m:rPr>
          <w:rPr>
            <w:rFonts w:ascii="Cambria Math" w:hAnsi="Cambria Math"/>
          </w:rPr>
          <m:t>=</m:t>
        </m:r>
        <m:r>
          <w:rPr>
            <w:rFonts w:ascii="Cambria Math" w:hAnsi="Cambria Math"/>
          </w:rPr>
          <m:t>0.55</m:t>
        </m:r>
      </m:oMath>
      <w:r>
        <w:t xml:space="preserve"> is a user-controllable screening parameter rather than a universal physical constant.</w:t>
      </w:r>
    </w:p>
    <w:p w14:paraId="3298D33B" w14:textId="77777777" w:rsidR="000F504F" w:rsidRDefault="00406E9C">
      <w:pPr>
        <w:pStyle w:val="Heading2"/>
        <w:keepNext/>
      </w:pPr>
      <w:bookmarkStart w:id="16" w:name="_Toc231232861"/>
      <w:r>
        <w:t>2.8 PORV, Steam Generator, and Pump Models</w:t>
      </w:r>
      <w:bookmarkEnd w:id="16"/>
    </w:p>
    <w:p w14:paraId="2BEC3AE7" w14:textId="77777777" w:rsidR="000F504F" w:rsidRDefault="00406E9C">
      <w:pPr>
        <w:pStyle w:val="FirstParagraph"/>
      </w:pPr>
      <w:r>
        <w:t xml:space="preserve">The PORV model consists of a pressure-dependent state machine and a flow model. The state variable </w:t>
      </w:r>
      <m:oMath>
        <m:sSub>
          <m:sSubPr>
            <m:ctrlPr>
              <w:rPr>
                <w:rFonts w:ascii="Cambria Math" w:hAnsi="Cambria Math"/>
              </w:rPr>
            </m:ctrlPr>
          </m:sSubPr>
          <m:e>
            <m:r>
              <w:rPr>
                <w:rFonts w:ascii="Cambria Math" w:hAnsi="Cambria Math"/>
              </w:rPr>
              <m:t>f</m:t>
            </m:r>
          </m:e>
          <m:sub>
            <m:r>
              <w:rPr>
                <w:rFonts w:ascii="Cambria Math" w:hAnsi="Cambria Math"/>
              </w:rPr>
              <m:t>v</m:t>
            </m:r>
          </m:sub>
        </m:sSub>
      </m:oMath>
      <w:r>
        <w:t xml:space="preserve"> represents the fractional valve opening, with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r>
          <m:rPr>
            <m:sty m:val="p"/>
          </m:rPr>
          <w:rPr>
            <w:rFonts w:ascii="Cambria Math" w:hAnsi="Cambria Math"/>
          </w:rPr>
          <m:t>≤</m:t>
        </m:r>
        <m:r>
          <w:rPr>
            <w:rFonts w:ascii="Cambria Math" w:hAnsi="Cambria Math"/>
          </w:rPr>
          <m:t>1</m:t>
        </m:r>
      </m:oMath>
      <w:r>
        <w:t>. During an opening stroke,</w:t>
      </w:r>
    </w:p>
    <w:p w14:paraId="209C79CD"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v</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open</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2.31</m:t>
              </m:r>
            </m:e>
          </m:d>
        </m:oMath>
      </m:oMathPara>
    </w:p>
    <w:p w14:paraId="2DF964B2" w14:textId="77777777" w:rsidR="000F504F" w:rsidRDefault="00406E9C">
      <w:pPr>
        <w:pStyle w:val="FirstParagraph"/>
      </w:pPr>
      <w:r>
        <w:t>and during a closing stroke,</w:t>
      </w:r>
    </w:p>
    <w:p w14:paraId="5398D57B"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v</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r>
                    <w:rPr>
                      <w:rFonts w:ascii="Cambria Math" w:hAnsi="Cambria Math"/>
                    </w:rPr>
                    <m:t>close</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2.32</m:t>
              </m:r>
            </m:e>
          </m:d>
        </m:oMath>
      </m:oMathPara>
    </w:p>
    <w:p w14:paraId="2942C134" w14:textId="77777777" w:rsidR="000F504F" w:rsidRDefault="00406E9C">
      <w:pPr>
        <w:pStyle w:val="FirstParagraph"/>
      </w:pPr>
      <w:r>
        <w:t xml:space="preserve">The effective valve area is </w:t>
      </w:r>
      <m:oMath>
        <m:sSub>
          <m:sSubPr>
            <m:ctrlPr>
              <w:rPr>
                <w:rFonts w:ascii="Cambria Math" w:hAnsi="Cambria Math"/>
              </w:rPr>
            </m:ctrlPr>
          </m:sSubPr>
          <m:e>
            <m:r>
              <w:rPr>
                <w:rFonts w:ascii="Cambria Math" w:hAnsi="Cambria Math"/>
              </w:rPr>
              <m:t>A</m:t>
            </m:r>
          </m:e>
          <m:sub>
            <m:r>
              <w:rPr>
                <w:rFonts w:ascii="Cambria Math" w:hAnsi="Cambria Math"/>
              </w:rPr>
              <m:t>PORV</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v</m:t>
            </m:r>
          </m:sub>
        </m:sSub>
        <m:sSub>
          <m:sSubPr>
            <m:ctrlPr>
              <w:rPr>
                <w:rFonts w:ascii="Cambria Math" w:hAnsi="Cambria Math"/>
              </w:rPr>
            </m:ctrlPr>
          </m:sSubPr>
          <m:e>
            <m:r>
              <w:rPr>
                <w:rFonts w:ascii="Cambria Math" w:hAnsi="Cambria Math"/>
              </w:rPr>
              <m:t>A</m:t>
            </m:r>
          </m:e>
          <m:sub>
            <m:r>
              <w:rPr>
                <w:rFonts w:ascii="Cambria Math" w:hAnsi="Cambria Math"/>
              </w:rPr>
              <m:t>PORV</m:t>
            </m:r>
            <m:r>
              <m:rPr>
                <m:sty m:val="p"/>
              </m:rPr>
              <w:rPr>
                <w:rFonts w:ascii="Cambria Math" w:hAnsi="Cambria Math"/>
              </w:rPr>
              <m:t>,</m:t>
            </m:r>
            <m:r>
              <w:rPr>
                <w:rFonts w:ascii="Cambria Math" w:hAnsi="Cambria Math"/>
              </w:rPr>
              <m:t>max</m:t>
            </m:r>
          </m:sub>
        </m:sSub>
      </m:oMath>
      <w:r>
        <w:t xml:space="preserve"> and the discharge enthalpy is normally the RCS stagnation enthalpy.</w:t>
      </w:r>
    </w:p>
    <w:p w14:paraId="00FAA27D" w14:textId="77777777" w:rsidR="000F504F" w:rsidRDefault="00406E9C">
      <w:pPr>
        <w:pStyle w:val="BodyText"/>
      </w:pPr>
      <w:r>
        <w:t>The steam generator model is a lumped heat-exchanger model:</w:t>
      </w:r>
    </w:p>
    <w:p w14:paraId="2A384A8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SG</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eff</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pri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sec</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SG</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2.33</m:t>
              </m:r>
            </m:e>
          </m:d>
        </m:oMath>
      </m:oMathPara>
    </w:p>
    <w:p w14:paraId="4C903B4B" w14:textId="77777777" w:rsidR="000F504F" w:rsidRDefault="00406E9C">
      <w:pPr>
        <w:pStyle w:val="FirstParagraph"/>
      </w:pPr>
      <w:r>
        <w:t>The effective heat-transfer conductance scales with primary flow:</w:t>
      </w:r>
    </w:p>
    <w:p w14:paraId="543F8333" w14:textId="77777777" w:rsidR="000F504F" w:rsidRDefault="00406E9C">
      <w:pPr>
        <w:pStyle w:val="BodyText"/>
      </w:pPr>
      <m:oMathPara>
        <m:oMathParaPr>
          <m:jc m:val="center"/>
        </m:oMathParaPr>
        <m:oMath>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eff</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A</m:t>
              </m:r>
            </m:e>
            <m:sub>
              <m:r>
                <w:rPr>
                  <w:rFonts w:ascii="Cambria Math" w:hAnsi="Cambria Math"/>
                </w:rPr>
                <m:t>rated</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pri</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rated</m:t>
                          </m:r>
                        </m:sub>
                      </m:sSub>
                    </m:den>
                  </m:f>
                </m:e>
              </m:d>
            </m:e>
            <m:sup>
              <m:r>
                <w:rPr>
                  <w:rFonts w:ascii="Cambria Math" w:hAnsi="Cambria Math"/>
                </w:rPr>
                <m:t>n</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2.34</m:t>
              </m:r>
            </m:e>
          </m:d>
        </m:oMath>
      </m:oMathPara>
    </w:p>
    <w:p w14:paraId="239920AF" w14:textId="77777777" w:rsidR="000F504F" w:rsidRDefault="00406E9C">
      <w:pPr>
        <w:pStyle w:val="FirstParagraph"/>
      </w:pPr>
      <w:r>
        <w:t>A primary-flow capacity diagnostic is calculated as</w:t>
      </w:r>
    </w:p>
    <w:p w14:paraId="4487954B"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flow</m:t>
              </m:r>
              <m:r>
                <m:rPr>
                  <m:sty m:val="p"/>
                </m:rPr>
                <w:rPr>
                  <w:rFonts w:ascii="Cambria Math" w:hAnsi="Cambria Math"/>
                </w:rPr>
                <m:t>-</m:t>
              </m:r>
              <m:r>
                <w:rPr>
                  <w:rFonts w:ascii="Cambria Math" w:hAnsi="Cambria Math"/>
                </w:rPr>
                <m:t>cap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pri</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pri</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pri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sec</m:t>
                  </m:r>
                </m:sub>
              </m:sSub>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2.35</m:t>
              </m:r>
            </m:e>
          </m:d>
        </m:oMath>
      </m:oMathPara>
    </w:p>
    <w:p w14:paraId="20772F2C" w14:textId="77777777" w:rsidR="000F504F" w:rsidRDefault="00406E9C">
      <w:pPr>
        <w:pStyle w:val="FirstParagraph"/>
      </w:pPr>
      <w:r>
        <w:t>RCP coastdown is represented by a first-order decay in normalized pump speed:</w:t>
      </w:r>
    </w:p>
    <w:p w14:paraId="1759650E" w14:textId="77777777" w:rsidR="000F504F" w:rsidRDefault="00406E9C">
      <w:pPr>
        <w:pStyle w:val="BodyText"/>
      </w:pPr>
      <m:oMathPara>
        <m:oMathParaPr>
          <m:jc m:val="center"/>
        </m:oMathParaPr>
        <m:oMath>
          <m:r>
            <w:rPr>
              <w:rFonts w:ascii="Cambria Math" w:hAnsi="Cambria Math"/>
            </w:rPr>
            <m:t>ω</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trip</m:t>
                      </m:r>
                    </m:sub>
                  </m:sSub>
                </m:num>
                <m:den>
                  <m:sSub>
                    <m:sSubPr>
                      <m:ctrlPr>
                        <w:rPr>
                          <w:rFonts w:ascii="Cambria Math" w:hAnsi="Cambria Math"/>
                        </w:rPr>
                      </m:ctrlPr>
                    </m:sSubPr>
                    <m:e>
                      <m:r>
                        <w:rPr>
                          <w:rFonts w:ascii="Cambria Math" w:hAnsi="Cambria Math"/>
                        </w:rPr>
                        <m:t>τ</m:t>
                      </m:r>
                    </m:e>
                    <m:sub>
                      <m:r>
                        <w:rPr>
                          <w:rFonts w:ascii="Cambria Math" w:hAnsi="Cambria Math"/>
                        </w:rPr>
                        <m:t>p</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pri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rated</m:t>
              </m:r>
            </m:sub>
          </m:sSub>
          <m:d>
            <m:dPr>
              <m:ctrlPr>
                <w:rPr>
                  <w:rFonts w:ascii="Cambria Math" w:hAnsi="Cambria Math"/>
                </w:rPr>
              </m:ctrlPr>
            </m:dPr>
            <m:e>
              <m:f>
                <m:fPr>
                  <m:ctrlPr>
                    <w:rPr>
                      <w:rFonts w:ascii="Cambria Math" w:hAnsi="Cambria Math"/>
                    </w:rPr>
                  </m:ctrlPr>
                </m:fPr>
                <m:num>
                  <m:r>
                    <w:rPr>
                      <w:rFonts w:ascii="Cambria Math" w:hAnsi="Cambria Math"/>
                    </w:rPr>
                    <m:t>ω</m:t>
                  </m:r>
                </m:num>
                <m:den>
                  <m:sSub>
                    <m:sSubPr>
                      <m:ctrlPr>
                        <w:rPr>
                          <w:rFonts w:ascii="Cambria Math" w:hAnsi="Cambria Math"/>
                        </w:rPr>
                      </m:ctrlPr>
                    </m:sSubPr>
                    <m:e>
                      <m:r>
                        <w:rPr>
                          <w:rFonts w:ascii="Cambria Math" w:hAnsi="Cambria Math"/>
                        </w:rPr>
                        <m:t>ω</m:t>
                      </m:r>
                    </m:e>
                    <m:sub>
                      <m:r>
                        <w:rPr>
                          <w:rFonts w:ascii="Cambria Math" w:hAnsi="Cambria Math"/>
                        </w:rPr>
                        <m:t>0</m:t>
                      </m:r>
                    </m:sub>
                  </m:sSub>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2.36</m:t>
              </m:r>
            </m:e>
          </m:d>
        </m:oMath>
      </m:oMathPara>
    </w:p>
    <w:p w14:paraId="5B869B28" w14:textId="77777777" w:rsidR="000F504F" w:rsidRDefault="00406E9C">
      <w:pPr>
        <w:pStyle w:val="FirstParagraph"/>
      </w:pPr>
      <w:r>
        <w:t>The model does not solve a full pump/system hydraulic curve balance. It provides a reasonable coastdown forcing function for the heat-transfer and steam-generator models.</w:t>
      </w:r>
    </w:p>
    <w:p w14:paraId="55FB3BE6" w14:textId="77777777" w:rsidR="000F504F" w:rsidRDefault="00406E9C">
      <w:pPr>
        <w:pStyle w:val="Heading2"/>
        <w:keepNext/>
      </w:pPr>
      <w:bookmarkStart w:id="17" w:name="_Toc231232862"/>
      <w:r>
        <w:lastRenderedPageBreak/>
        <w:t>2.9 Collapsed Level and Inventory Diagnostics</w:t>
      </w:r>
      <w:bookmarkEnd w:id="17"/>
    </w:p>
    <w:p w14:paraId="2235D5C0" w14:textId="77777777" w:rsidR="000F504F" w:rsidRDefault="00406E9C">
      <w:pPr>
        <w:pStyle w:val="FirstParagraph"/>
      </w:pPr>
      <w:r>
        <w:t>The collapsed liquid level is a diagnostic measure of inventory. The liquid volume is estimated from the mass and equilibrium quality:</w:t>
      </w:r>
    </w:p>
    <w:p w14:paraId="0655EF82"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eq</m:t>
                      </m:r>
                    </m:sub>
                  </m:sSub>
                </m:e>
              </m:d>
              <m:r>
                <w:rPr>
                  <w:rFonts w:ascii="Cambria Math" w:hAnsi="Cambria Math"/>
                </w:rPr>
                <m:t>M</m:t>
              </m:r>
            </m:num>
            <m:den>
              <m:sSub>
                <m:sSubPr>
                  <m:ctrlPr>
                    <w:rPr>
                      <w:rFonts w:ascii="Cambria Math" w:hAnsi="Cambria Math"/>
                    </w:rPr>
                  </m:ctrlPr>
                </m:sSubPr>
                <m:e>
                  <m:r>
                    <w:rPr>
                      <w:rFonts w:ascii="Cambria Math" w:hAnsi="Cambria Math"/>
                    </w:rPr>
                    <m:t>ρ</m:t>
                  </m:r>
                </m:e>
                <m:sub>
                  <m:r>
                    <w:rPr>
                      <w:rFonts w:ascii="Cambria Math" w:hAnsi="Cambria Math"/>
                    </w:rPr>
                    <m:t>f</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2.37</m:t>
              </m:r>
            </m:e>
          </m:d>
        </m:oMath>
      </m:oMathPara>
    </w:p>
    <w:p w14:paraId="29D21004" w14:textId="77777777" w:rsidR="000F504F" w:rsidRDefault="00406E9C">
      <w:pPr>
        <w:pStyle w:val="FirstParagraph"/>
      </w:pPr>
      <w:r>
        <w:t>The collapsed level in the vessel is then</w:t>
      </w:r>
    </w:p>
    <w:p w14:paraId="7ABD2F5C"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vessel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m:t>
                  </m:r>
                </m:sub>
              </m:sSub>
            </m:num>
            <m:den>
              <m:sSub>
                <m:sSubPr>
                  <m:ctrlPr>
                    <w:rPr>
                      <w:rFonts w:ascii="Cambria Math" w:hAnsi="Cambria Math"/>
                    </w:rPr>
                  </m:ctrlPr>
                </m:sSubPr>
                <m:e>
                  <m:r>
                    <w:rPr>
                      <w:rFonts w:ascii="Cambria Math" w:hAnsi="Cambria Math"/>
                    </w:rPr>
                    <m:t>A</m:t>
                  </m:r>
                </m:e>
                <m:sub>
                  <m:r>
                    <w:rPr>
                      <w:rFonts w:ascii="Cambria Math" w:hAnsi="Cambria Math"/>
                    </w:rPr>
                    <m:t>vessel</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2.38</m:t>
              </m:r>
            </m:e>
          </m:d>
        </m:oMath>
      </m:oMathPara>
    </w:p>
    <w:p w14:paraId="46CEC852" w14:textId="77777777" w:rsidR="000F504F" w:rsidRDefault="00406E9C">
      <w:pPr>
        <w:pStyle w:val="FirstParagraph"/>
      </w:pPr>
      <w:r>
        <w:t>subject to the lower and upper geometric bounds specified by the input model. This diagnostic is useful for identifying core uncovery, reflood, and dry-core transitions, but it should not be interpreted as a spatially resolved vessel level.</w:t>
      </w:r>
    </w:p>
    <w:p w14:paraId="05E7BAD9" w14:textId="77777777" w:rsidR="000F504F" w:rsidRDefault="00406E9C">
      <w:pPr>
        <w:pStyle w:val="Heading1"/>
        <w:keepNext/>
      </w:pPr>
      <w:bookmarkStart w:id="18" w:name="_Toc231232863"/>
      <w:r>
        <w:t>Chapter 3 — Accumulator and ECCS Models</w:t>
      </w:r>
      <w:bookmarkEnd w:id="18"/>
    </w:p>
    <w:p w14:paraId="25F7CE22" w14:textId="77777777" w:rsidR="000F504F" w:rsidRDefault="00406E9C">
      <w:pPr>
        <w:pStyle w:val="Heading2"/>
        <w:keepNext/>
      </w:pPr>
      <w:bookmarkStart w:id="19" w:name="_Toc231232864"/>
      <w:r>
        <w:t>3.1 Accumulator Thermodynamic Model</w:t>
      </w:r>
      <w:bookmarkEnd w:id="19"/>
    </w:p>
    <w:p w14:paraId="2EABA3C7" w14:textId="77777777" w:rsidR="000F504F" w:rsidRDefault="00406E9C">
      <w:pPr>
        <w:pStyle w:val="FirstParagraph"/>
      </w:pPr>
      <w:r>
        <w:t>The accumulator is represented as a liquid water volume pressurized by a nitrogen gas space. The gas pressure follows a polytropic expansion law:</w:t>
      </w:r>
    </w:p>
    <w:p w14:paraId="09B6D054"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m:t>
              </m:r>
            </m:sub>
          </m:sSub>
          <m:sSubSup>
            <m:sSubSupPr>
              <m:ctrlPr>
                <w:rPr>
                  <w:rFonts w:ascii="Cambria Math" w:hAnsi="Cambria Math"/>
                </w:rPr>
              </m:ctrlPr>
            </m:sSubSupPr>
            <m:e>
              <m:r>
                <w:rPr>
                  <w:rFonts w:ascii="Cambria Math" w:hAnsi="Cambria Math"/>
                </w:rPr>
                <m:t>V</m:t>
              </m:r>
            </m:e>
            <m:sub>
              <m:r>
                <w:rPr>
                  <w:rFonts w:ascii="Cambria Math" w:hAnsi="Cambria Math"/>
                </w:rPr>
                <m:t>g</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acc</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m:t>
              </m:r>
            </m:e>
          </m:d>
        </m:oMath>
      </m:oMathPara>
    </w:p>
    <w:p w14:paraId="4562E17C" w14:textId="77777777" w:rsidR="000F504F" w:rsidRDefault="00406E9C">
      <w:pPr>
        <w:pStyle w:val="FirstParagraph"/>
      </w:pPr>
      <w:r>
        <w:t xml:space="preserve">If the initial gas pressure and gas volume are </w:t>
      </w:r>
      <m:oMath>
        <m:sSub>
          <m:sSubPr>
            <m:ctrlPr>
              <w:rPr>
                <w:rFonts w:ascii="Cambria Math" w:hAnsi="Cambria Math"/>
              </w:rPr>
            </m:ctrlPr>
          </m:sSubPr>
          <m:e>
            <m:r>
              <w:rPr>
                <w:rFonts w:ascii="Cambria Math" w:hAnsi="Cambria Math"/>
              </w:rPr>
              <m:t>P</m:t>
            </m:r>
          </m:e>
          <m:sub>
            <m:r>
              <w:rPr>
                <w:rFonts w:ascii="Cambria Math" w:hAnsi="Cambria Math"/>
              </w:rPr>
              <m:t>g</m:t>
            </m:r>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g</m:t>
            </m:r>
            <m:r>
              <w:rPr>
                <w:rFonts w:ascii="Cambria Math" w:hAnsi="Cambria Math"/>
              </w:rPr>
              <m:t>0</m:t>
            </m:r>
          </m:sub>
        </m:sSub>
      </m:oMath>
      <w:r>
        <w:t>, then</w:t>
      </w:r>
    </w:p>
    <w:p w14:paraId="7D712A02"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g</m:t>
              </m:r>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g</m:t>
                          </m:r>
                          <m:r>
                            <w:rPr>
                              <w:rFonts w:ascii="Cambria Math" w:hAnsi="Cambria Math"/>
                            </w:rPr>
                            <m:t>0</m:t>
                          </m:r>
                        </m:sub>
                      </m:sSub>
                    </m:num>
                    <m:den>
                      <m:sSub>
                        <m:sSubPr>
                          <m:ctrlPr>
                            <w:rPr>
                              <w:rFonts w:ascii="Cambria Math" w:hAnsi="Cambria Math"/>
                            </w:rPr>
                          </m:ctrlPr>
                        </m:sSubPr>
                        <m:e>
                          <m:r>
                            <w:rPr>
                              <w:rFonts w:ascii="Cambria Math" w:hAnsi="Cambria Math"/>
                            </w:rPr>
                            <m:t>V</m:t>
                          </m:r>
                        </m:e>
                        <m:sub>
                          <m:r>
                            <w:rPr>
                              <w:rFonts w:ascii="Cambria Math" w:hAnsi="Cambria Math"/>
                            </w:rPr>
                            <m:t>g</m:t>
                          </m:r>
                        </m:sub>
                      </m:sSub>
                    </m:den>
                  </m:f>
                </m:e>
              </m:d>
            </m:e>
            <m:sup>
              <m:r>
                <w:rPr>
                  <w:rFonts w:ascii="Cambria Math" w:hAnsi="Cambria Math"/>
                </w:rPr>
                <m:t>n</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m:t>
              </m:r>
            </m:e>
          </m:d>
        </m:oMath>
      </m:oMathPara>
    </w:p>
    <w:p w14:paraId="7965985E" w14:textId="77777777" w:rsidR="000F504F" w:rsidRDefault="00406E9C">
      <w:pPr>
        <w:pStyle w:val="FirstParagraph"/>
      </w:pPr>
      <w:r>
        <w:t>As water leaves the accumulator, the gas volume increases:</w:t>
      </w:r>
    </w:p>
    <w:p w14:paraId="499341EA"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g</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m:t>
              </m:r>
            </m:e>
          </m:d>
        </m:oMath>
      </m:oMathPara>
    </w:p>
    <w:p w14:paraId="315479E9" w14:textId="77777777" w:rsidR="000F504F" w:rsidRDefault="00406E9C">
      <w:pPr>
        <w:pStyle w:val="FirstParagraph"/>
      </w:pPr>
      <w:r>
        <w:t>Accumulator injection is enabled when</w:t>
      </w:r>
    </w:p>
    <w:p w14:paraId="10D5B990"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RCS</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rPr>
                <m:t>h</m:t>
              </m:r>
              <m:r>
                <w:rPr>
                  <w:rFonts w:ascii="Cambria Math" w:hAnsi="Cambria Math"/>
                </w:rPr>
                <m:t>eck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m:t>
              </m:r>
            </m:e>
          </m:d>
        </m:oMath>
      </m:oMathPara>
    </w:p>
    <w:p w14:paraId="723C7B96" w14:textId="77777777" w:rsidR="000F504F" w:rsidRDefault="00406E9C">
      <w:pPr>
        <w:pStyle w:val="FirstParagraph"/>
      </w:pPr>
      <w:r>
        <w:t>The accumulator discharge flow is calculated as an orifice-like hydraulic flow:</w:t>
      </w:r>
    </w:p>
    <w:p w14:paraId="155E2520"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acc</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acc</m:t>
              </m:r>
              <m:r>
                <m:rPr>
                  <m:sty m:val="p"/>
                </m:rPr>
                <w:rPr>
                  <w:rFonts w:ascii="Cambria Math" w:hAnsi="Cambria Math"/>
                </w:rPr>
                <m:t>,</m:t>
              </m:r>
              <m:r>
                <w:rPr>
                  <w:rFonts w:ascii="Cambria Math" w:hAnsi="Cambria Math"/>
                </w:rPr>
                <m:t>d</m:t>
              </m:r>
            </m:sub>
          </m:sSub>
          <m:sSub>
            <m:sSubPr>
              <m:ctrlPr>
                <w:rPr>
                  <w:rFonts w:ascii="Cambria Math" w:hAnsi="Cambria Math"/>
                </w:rPr>
              </m:ctrlPr>
            </m:sSubPr>
            <m:e>
              <m:r>
                <w:rPr>
                  <w:rFonts w:ascii="Cambria Math" w:hAnsi="Cambria Math"/>
                </w:rPr>
                <m:t>A</m:t>
              </m:r>
            </m:e>
            <m:sub>
              <m:r>
                <w:rPr>
                  <w:rFonts w:ascii="Cambria Math" w:hAnsi="Cambria Math"/>
                </w:rPr>
                <m:t>acc</m:t>
              </m:r>
              <m:r>
                <m:rPr>
                  <m:sty m:val="p"/>
                </m:rPr>
                <w:rPr>
                  <w:rFonts w:ascii="Cambria Math" w:hAnsi="Cambria Math"/>
                </w:rPr>
                <m:t>,</m:t>
              </m:r>
              <m:r>
                <w:rPr>
                  <w:rFonts w:ascii="Cambria Math" w:hAnsi="Cambria Math"/>
                </w:rPr>
                <m:t>line</m:t>
              </m:r>
            </m:sub>
          </m:sSub>
          <m:rad>
            <m:radPr>
              <m:degHide m:val="1"/>
              <m:ctrlPr>
                <w:rPr>
                  <w:rFonts w:ascii="Cambria Math" w:hAnsi="Cambria Math"/>
                </w:rPr>
              </m:ctrlPr>
            </m:radPr>
            <m:deg/>
            <m:e>
              <m:r>
                <w:rPr>
                  <w:rFonts w:ascii="Cambria Math" w:hAnsi="Cambria Math"/>
                </w:rPr>
                <m:t>2</m:t>
              </m:r>
              <m:sSub>
                <m:sSubPr>
                  <m:ctrlPr>
                    <w:rPr>
                      <w:rFonts w:ascii="Cambria Math" w:hAnsi="Cambria Math"/>
                    </w:rPr>
                  </m:ctrlPr>
                </m:sSubPr>
                <m:e>
                  <m:r>
                    <w:rPr>
                      <w:rFonts w:ascii="Cambria Math" w:hAnsi="Cambria Math"/>
                    </w:rPr>
                    <m:t>ρ</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RCS</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c</m:t>
                      </m:r>
                      <m:r>
                        <w:rPr>
                          <w:rFonts w:ascii="Cambria Math" w:hAnsi="Cambria Math"/>
                        </w:rPr>
                        <m:t>h</m:t>
                      </m:r>
                      <m:r>
                        <w:rPr>
                          <w:rFonts w:ascii="Cambria Math" w:hAnsi="Cambria Math"/>
                        </w:rPr>
                        <m:t>eck</m:t>
                      </m:r>
                    </m:sub>
                  </m:sSub>
                </m:e>
              </m:d>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m:t>
              </m:r>
            </m:e>
          </m:d>
        </m:oMath>
      </m:oMathPara>
    </w:p>
    <w:p w14:paraId="57C30B60" w14:textId="77777777" w:rsidR="000F504F" w:rsidRDefault="00406E9C">
      <w:pPr>
        <w:pStyle w:val="FirstParagraph"/>
      </w:pPr>
      <w:r>
        <w:t>The water inventory update is</w:t>
      </w:r>
    </w:p>
    <w:p w14:paraId="7098380A"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w</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acc</m:t>
                  </m:r>
                </m:sub>
              </m:sSub>
            </m:num>
            <m:den>
              <m:sSub>
                <m:sSubPr>
                  <m:ctrlPr>
                    <w:rPr>
                      <w:rFonts w:ascii="Cambria Math" w:hAnsi="Cambria Math"/>
                    </w:rPr>
                  </m:ctrlPr>
                </m:sSubPr>
                <m:e>
                  <m:r>
                    <w:rPr>
                      <w:rFonts w:ascii="Cambria Math" w:hAnsi="Cambria Math"/>
                    </w:rPr>
                    <m:t>ρ</m:t>
                  </m:r>
                </m:e>
                <m:sub>
                  <m:r>
                    <w:rPr>
                      <w:rFonts w:ascii="Cambria Math" w:hAnsi="Cambria Math"/>
                    </w:rPr>
                    <m:t>w</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m:t>
              </m:r>
            </m:e>
          </m:d>
        </m:oMath>
      </m:oMathPara>
    </w:p>
    <w:p w14:paraId="1AAAD37E" w14:textId="77777777" w:rsidR="000F504F" w:rsidRDefault="00406E9C">
      <w:pPr>
        <w:pStyle w:val="FirstParagraph"/>
      </w:pPr>
      <w:r>
        <w:t xml:space="preserve">When </w:t>
      </w:r>
      <m:oMath>
        <m:sSub>
          <m:sSubPr>
            <m:ctrlPr>
              <w:rPr>
                <w:rFonts w:ascii="Cambria Math" w:hAnsi="Cambria Math"/>
              </w:rPr>
            </m:ctrlPr>
          </m:sSubPr>
          <m:e>
            <m:r>
              <w:rPr>
                <w:rFonts w:ascii="Cambria Math" w:hAnsi="Cambria Math"/>
              </w:rPr>
              <m:t>V</m:t>
            </m:r>
          </m:e>
          <m:sub>
            <m:r>
              <w:rPr>
                <w:rFonts w:ascii="Cambria Math" w:hAnsi="Cambria Math"/>
              </w:rPr>
              <m:t>w</m:t>
            </m:r>
          </m:sub>
        </m:sSub>
      </m:oMath>
      <w:r>
        <w:t xml:space="preserve"> reaches the specified unusable or depleted volume, injection is terminated. The accumulator enthalpy is calculated from the specified accumulator water temperature and appears in the RCS energy equation through the term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acc</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acc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RCS</m:t>
                </m:r>
              </m:sub>
            </m:sSub>
          </m:e>
        </m:d>
      </m:oMath>
      <w:r>
        <w:t>.</w:t>
      </w:r>
    </w:p>
    <w:p w14:paraId="268045FE" w14:textId="77777777" w:rsidR="000F504F" w:rsidRDefault="00406E9C">
      <w:pPr>
        <w:pStyle w:val="Heading2"/>
        <w:keepNext/>
      </w:pPr>
      <w:bookmarkStart w:id="20" w:name="_Toc231232865"/>
      <w:r>
        <w:lastRenderedPageBreak/>
        <w:t>3.2 Pumped Safety Injection</w:t>
      </w:r>
      <w:bookmarkEnd w:id="20"/>
    </w:p>
    <w:p w14:paraId="2209E41D" w14:textId="77777777" w:rsidR="000F504F" w:rsidRDefault="00406E9C">
      <w:pPr>
        <w:pStyle w:val="FirstParagraph"/>
      </w:pPr>
      <w:r>
        <w:t xml:space="preserve">High-pressure and low-pressure safety injection are modeled as engineered safety feature pumps with pressure-dependent flow degradation. For a pump train </w:t>
      </w:r>
      <m:oMath>
        <m:r>
          <w:rPr>
            <w:rFonts w:ascii="Cambria Math" w:hAnsi="Cambria Math"/>
          </w:rPr>
          <m:t>i</m:t>
        </m:r>
      </m:oMath>
      <w:r>
        <w:t xml:space="preserve">, the rated flow is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r>
              <m:rPr>
                <m:sty m:val="p"/>
              </m:rPr>
              <w:rPr>
                <w:rFonts w:ascii="Cambria Math" w:hAnsi="Cambria Math"/>
              </w:rPr>
              <m:t>,</m:t>
            </m:r>
            <m:r>
              <w:rPr>
                <w:rFonts w:ascii="Cambria Math" w:hAnsi="Cambria Math"/>
              </w:rPr>
              <m:t>r</m:t>
            </m:r>
          </m:sub>
        </m:sSub>
      </m:oMath>
      <w:r>
        <w:t xml:space="preserve"> at favorable backpressure and the shutoff pressure is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s</m:t>
            </m:r>
            <m:r>
              <w:rPr>
                <w:rFonts w:ascii="Cambria Math" w:hAnsi="Cambria Math"/>
              </w:rPr>
              <m:t>h</m:t>
            </m:r>
            <m:r>
              <w:rPr>
                <w:rFonts w:ascii="Cambria Math" w:hAnsi="Cambria Math"/>
              </w:rPr>
              <m:t>ut</m:t>
            </m:r>
          </m:sub>
        </m:sSub>
      </m:oMath>
      <w:r>
        <w:t>. The available flow is</w:t>
      </w:r>
    </w:p>
    <w:p w14:paraId="7080E0E8"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r>
                <m:rPr>
                  <m:sty m:val="p"/>
                </m:rPr>
                <w:rPr>
                  <w:rFonts w:ascii="Cambria Math" w:hAnsi="Cambria Math"/>
                </w:rPr>
                <m:t>,</m:t>
              </m:r>
              <m:r>
                <w:rPr>
                  <w:rFonts w:ascii="Cambria Math" w:hAnsi="Cambria Math"/>
                </w:rPr>
                <m:t>r</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RCS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ref</m:t>
                      </m:r>
                    </m:sub>
                  </m:sSub>
                </m:num>
                <m:den>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s</m:t>
                      </m:r>
                      <m:r>
                        <w:rPr>
                          <w:rFonts w:ascii="Cambria Math" w:hAnsi="Cambria Math"/>
                        </w:rPr>
                        <m:t>h</m:t>
                      </m:r>
                      <m:r>
                        <w:rPr>
                          <w:rFonts w:ascii="Cambria Math" w:hAnsi="Cambria Math"/>
                        </w:rPr>
                        <m:t>ut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ref</m:t>
                      </m:r>
                    </m:sub>
                  </m:sSub>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3.7</m:t>
              </m:r>
            </m:e>
          </m:d>
        </m:oMath>
      </m:oMathPara>
    </w:p>
    <w:p w14:paraId="1B412336" w14:textId="77777777" w:rsidR="000F504F" w:rsidRDefault="00406E9C">
      <w:pPr>
        <w:pStyle w:val="FirstParagraph"/>
      </w:pPr>
      <w:r>
        <w:t>The pump is available only after ESFAS actuation and any specified injection delay:</w:t>
      </w:r>
    </w:p>
    <w:p w14:paraId="2CF09D12"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SI</m:t>
              </m:r>
              <m:r>
                <m:rPr>
                  <m:sty m:val="p"/>
                </m:rPr>
                <w:rPr>
                  <w:rFonts w:ascii="Cambria Math" w:hAnsi="Cambria Math"/>
                </w:rPr>
                <m:t>,</m:t>
              </m:r>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ESFAS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i</m:t>
                        </m:r>
                      </m:sub>
                    </m:sSub>
                    <m:r>
                      <m:rPr>
                        <m:sty m:val="p"/>
                      </m:rPr>
                      <w:rPr>
                        <w:rFonts w:ascii="Cambria Math" w:hAnsi="Cambria Math"/>
                      </w:rPr>
                      <m:t>,</m:t>
                    </m:r>
                  </m:e>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ESFAS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3.8</m:t>
              </m:r>
            </m:e>
          </m:d>
        </m:oMath>
      </m:oMathPara>
    </w:p>
    <w:p w14:paraId="25C675D6" w14:textId="77777777" w:rsidR="000F504F" w:rsidRDefault="00406E9C">
      <w:pPr>
        <w:pStyle w:val="FirstParagraph"/>
      </w:pPr>
      <w:r>
        <w:t>The total pumped injection is</w:t>
      </w:r>
    </w:p>
    <w:p w14:paraId="49A3525B"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pumped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HPSI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LPSI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3.9</m:t>
              </m:r>
            </m:e>
          </m:d>
        </m:oMath>
      </m:oMathPara>
    </w:p>
    <w:p w14:paraId="199B4F11" w14:textId="77777777" w:rsidR="000F504F" w:rsidRDefault="00406E9C">
      <w:pPr>
        <w:pStyle w:val="Heading2"/>
        <w:keepNext/>
      </w:pPr>
      <w:bookmarkStart w:id="21" w:name="_Toc231232866"/>
      <w:r>
        <w:t>3.3 CVCS Makeup and Letdown</w:t>
      </w:r>
      <w:bookmarkEnd w:id="21"/>
    </w:p>
    <w:p w14:paraId="76350921" w14:textId="77777777" w:rsidR="000F504F" w:rsidRDefault="00406E9C">
      <w:pPr>
        <w:pStyle w:val="FirstParagraph"/>
      </w:pPr>
      <w:r>
        <w:t>The Chemical and Volume Control System is represented by independent makeup and letdown terms:</w:t>
      </w:r>
    </w:p>
    <w:p w14:paraId="6BAC1B8A"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CVCS</m:t>
              </m:r>
              <m:r>
                <m:rPr>
                  <m:sty m:val="p"/>
                </m:rPr>
                <w:rPr>
                  <w:rFonts w:ascii="Cambria Math" w:hAnsi="Cambria Math"/>
                </w:rPr>
                <m:t>,</m:t>
              </m:r>
              <m:r>
                <w:rPr>
                  <w:rFonts w:ascii="Cambria Math" w:hAnsi="Cambria Math"/>
                </w:rPr>
                <m:t>net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makeup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letdown</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3.10</m:t>
              </m:r>
            </m:e>
          </m:d>
        </m:oMath>
      </m:oMathPara>
    </w:p>
    <w:p w14:paraId="44A97458" w14:textId="77777777" w:rsidR="000F504F" w:rsidRDefault="00406E9C">
      <w:pPr>
        <w:pStyle w:val="FirstParagraph"/>
      </w:pPr>
      <w:r>
        <w:t xml:space="preserve">For steady-state initialization or benign transients, balanced operation is represented by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makeup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letdown</m:t>
            </m:r>
          </m:sub>
        </m:sSub>
      </m:oMath>
      <w:r>
        <w:t>. The net CVCS term contributes to the RCS mass balance and, through its inlet enthalpy, to the energy balance.</w:t>
      </w:r>
    </w:p>
    <w:p>
      <w:pPr>
        <w:pStyle w:val="Heading2"/>
        <w:keepNext/>
      </w:pPr>
      <w:r>
        <w:t>3.4 Functional safety-injection recirculation</w:t>
      </w:r>
    </w:p>
    <w:p>
      <w:r>
        <w:t>The October 2026 development model includes a functional RWST-to-sump recirculation representation. Let M_RWST,0 be the initial RWST inventory. Switchover is initiated when M_RWST &lt;= f_trigger M_RWST,0, where f_trigger = rwst_recirc_trigger_frac. The Boolean si_recirc_available selects whether pumped injection continues after switchover. When available, the prescribed post-switch injection flow is scaled by si_recirc_flow_fraction, uses si_recirc_temp_C for injection enthalpy, and may be delayed by si_recirc_delay_s.</w:t>
      </w:r>
    </w:p>
    <w:p>
      <w:r>
        <w:t>This is a boundary-condition state used to translate PRA long-term recirculation branches into a deterministic model. The reduced-order solver does not predict sump strainer loading, suction hydraulics, NPSH, valve lineups, or their component failure probabilities. The functional model therefore cannot independently establish the reliability of long-term cooling.</w:t>
      </w:r>
    </w:p>
    <w:p w14:paraId="33E12D82" w14:textId="77777777" w:rsidR="000F504F" w:rsidRDefault="00406E9C">
      <w:pPr>
        <w:pStyle w:val="Heading1"/>
        <w:keepNext/>
      </w:pPr>
      <w:bookmarkStart w:id="22" w:name="_Toc231232867"/>
      <w:r>
        <w:t>Chapter 4 — Core and Fuel Models</w:t>
      </w:r>
      <w:bookmarkEnd w:id="22"/>
    </w:p>
    <w:p w14:paraId="609BB063" w14:textId="77777777" w:rsidR="000F504F" w:rsidRDefault="00406E9C">
      <w:pPr>
        <w:pStyle w:val="Heading2"/>
        <w:keepNext/>
      </w:pPr>
      <w:bookmarkStart w:id="23" w:name="_Toc231232868"/>
      <w:r>
        <w:t>4.1 Rod-Bundle Geometry</w:t>
      </w:r>
      <w:bookmarkEnd w:id="23"/>
    </w:p>
    <w:p w14:paraId="4FCAAFD6" w14:textId="77777777" w:rsidR="000F504F" w:rsidRDefault="00406E9C">
      <w:pPr>
        <w:pStyle w:val="FirstParagraph"/>
      </w:pPr>
      <w:r>
        <w:t xml:space="preserve">The core is represented by an equivalent heated rod bundle. The user specifies the number of pins </w:t>
      </w:r>
      <m:oMath>
        <m:sSub>
          <m:sSubPr>
            <m:ctrlPr>
              <w:rPr>
                <w:rFonts w:ascii="Cambria Math" w:hAnsi="Cambria Math"/>
              </w:rPr>
            </m:ctrlPr>
          </m:sSubPr>
          <m:e>
            <m:r>
              <w:rPr>
                <w:rFonts w:ascii="Cambria Math" w:hAnsi="Cambria Math"/>
              </w:rPr>
              <m:t>N</m:t>
            </m:r>
          </m:e>
          <m:sub>
            <m:r>
              <w:rPr>
                <w:rFonts w:ascii="Cambria Math" w:hAnsi="Cambria Math"/>
              </w:rPr>
              <m:t>pin</m:t>
            </m:r>
          </m:sub>
        </m:sSub>
      </m:oMath>
      <w:r>
        <w:t xml:space="preserve">, outer pin diameter </w:t>
      </w:r>
      <m:oMath>
        <m:sSub>
          <m:sSubPr>
            <m:ctrlPr>
              <w:rPr>
                <w:rFonts w:ascii="Cambria Math" w:hAnsi="Cambria Math"/>
              </w:rPr>
            </m:ctrlPr>
          </m:sSubPr>
          <m:e>
            <m:r>
              <w:rPr>
                <w:rFonts w:ascii="Cambria Math" w:hAnsi="Cambria Math"/>
              </w:rPr>
              <m:t>D</m:t>
            </m:r>
          </m:e>
          <m:sub>
            <m:r>
              <w:rPr>
                <w:rFonts w:ascii="Cambria Math" w:hAnsi="Cambria Math"/>
              </w:rPr>
              <m:t>o</m:t>
            </m:r>
          </m:sub>
        </m:sSub>
      </m:oMath>
      <w:r>
        <w:t xml:space="preserve">, rod pitch </w:t>
      </w:r>
      <m:oMath>
        <m:r>
          <w:rPr>
            <w:rFonts w:ascii="Cambria Math" w:hAnsi="Cambria Math"/>
          </w:rPr>
          <m:t>p</m:t>
        </m:r>
      </m:oMath>
      <w:r>
        <w:t xml:space="preserve">, heated length </w:t>
      </w:r>
      <m:oMath>
        <m:sSub>
          <m:sSubPr>
            <m:ctrlPr>
              <w:rPr>
                <w:rFonts w:ascii="Cambria Math" w:hAnsi="Cambria Math"/>
              </w:rPr>
            </m:ctrlPr>
          </m:sSubPr>
          <m:e>
            <m:r>
              <w:rPr>
                <w:rFonts w:ascii="Cambria Math" w:hAnsi="Cambria Math"/>
              </w:rPr>
              <m:t>L</m:t>
            </m:r>
          </m:e>
          <m:sub>
            <m:r>
              <w:rPr>
                <w:rFonts w:ascii="Cambria Math" w:hAnsi="Cambria Math"/>
              </w:rPr>
              <m:t>h</m:t>
            </m:r>
          </m:sub>
        </m:sSub>
      </m:oMath>
      <w:r>
        <w:t xml:space="preserve">, cladding thickness </w:t>
      </w:r>
      <m:oMath>
        <m:sSub>
          <m:sSubPr>
            <m:ctrlPr>
              <w:rPr>
                <w:rFonts w:ascii="Cambria Math" w:hAnsi="Cambria Math"/>
              </w:rPr>
            </m:ctrlPr>
          </m:sSubPr>
          <m:e>
            <m:r>
              <w:rPr>
                <w:rFonts w:ascii="Cambria Math" w:hAnsi="Cambria Math"/>
              </w:rPr>
              <m:t>δ</m:t>
            </m:r>
          </m:e>
          <m:sub>
            <m:r>
              <w:rPr>
                <w:rFonts w:ascii="Cambria Math" w:hAnsi="Cambria Math"/>
              </w:rPr>
              <m:t>c</m:t>
            </m:r>
          </m:sub>
        </m:sSub>
      </m:oMath>
      <w:r>
        <w:t xml:space="preserve">, radial peaking factor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and axial peaking factor </w:t>
      </w:r>
      <m:oMath>
        <m:sSub>
          <m:sSubPr>
            <m:ctrlPr>
              <w:rPr>
                <w:rFonts w:ascii="Cambria Math" w:hAnsi="Cambria Math"/>
              </w:rPr>
            </m:ctrlPr>
          </m:sSubPr>
          <m:e>
            <m:r>
              <w:rPr>
                <w:rFonts w:ascii="Cambria Math" w:hAnsi="Cambria Math"/>
              </w:rPr>
              <m:t>F</m:t>
            </m:r>
          </m:e>
          <m:sub>
            <m:r>
              <w:rPr>
                <w:rFonts w:ascii="Cambria Math" w:hAnsi="Cambria Math"/>
              </w:rPr>
              <m:t>z</m:t>
            </m:r>
          </m:sub>
        </m:sSub>
      </m:oMath>
      <w:r>
        <w:t>. The heated surface area is</w:t>
      </w:r>
    </w:p>
    <w:p w14:paraId="2DC897D5"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pin</m:t>
              </m:r>
            </m:sub>
          </m:sSub>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o</m:t>
              </m:r>
            </m:sub>
          </m:sSub>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m:t>
              </m:r>
            </m:e>
          </m:d>
        </m:oMath>
      </m:oMathPara>
    </w:p>
    <w:p w14:paraId="0375A039" w14:textId="77777777" w:rsidR="000F504F" w:rsidRDefault="00406E9C">
      <w:pPr>
        <w:pStyle w:val="FirstParagraph"/>
      </w:pPr>
      <w:r>
        <w:t>The equivalent flow area for a square-pitch array is approximated as</w:t>
      </w:r>
    </w:p>
    <w:p w14:paraId="52905604"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flow</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pin</m:t>
              </m:r>
            </m:sub>
          </m:sSub>
          <m:d>
            <m:dPr>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π</m:t>
                  </m:r>
                  <m:sSubSup>
                    <m:sSubSupPr>
                      <m:ctrlPr>
                        <w:rPr>
                          <w:rFonts w:ascii="Cambria Math" w:hAnsi="Cambria Math"/>
                        </w:rPr>
                      </m:ctrlPr>
                    </m:sSubSupPr>
                    <m:e>
                      <m:r>
                        <w:rPr>
                          <w:rFonts w:ascii="Cambria Math" w:hAnsi="Cambria Math"/>
                        </w:rPr>
                        <m:t>D</m:t>
                      </m:r>
                    </m:e>
                    <m:sub>
                      <m:r>
                        <w:rPr>
                          <w:rFonts w:ascii="Cambria Math" w:hAnsi="Cambria Math"/>
                        </w:rPr>
                        <m:t>o</m:t>
                      </m:r>
                    </m:sub>
                    <m:sup>
                      <m:r>
                        <w:rPr>
                          <w:rFonts w:ascii="Cambria Math" w:hAnsi="Cambria Math"/>
                        </w:rPr>
                        <m:t>2</m:t>
                      </m:r>
                    </m:sup>
                  </m:sSubSup>
                </m:num>
                <m:den>
                  <m:r>
                    <w:rPr>
                      <w:rFonts w:ascii="Cambria Math" w:hAnsi="Cambria Math"/>
                    </w:rPr>
                    <m:t>4</m:t>
                  </m:r>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m:t>
              </m:r>
            </m:e>
          </m:d>
        </m:oMath>
      </m:oMathPara>
    </w:p>
    <w:p w14:paraId="0640B0D9" w14:textId="77777777" w:rsidR="000F504F" w:rsidRDefault="00406E9C">
      <w:pPr>
        <w:pStyle w:val="FirstParagraph"/>
      </w:pPr>
      <w:r>
        <w:t xml:space="preserve">The wetted perimeter is </w:t>
      </w:r>
      <m:oMath>
        <m:sSub>
          <m:sSubPr>
            <m:ctrlPr>
              <w:rPr>
                <w:rFonts w:ascii="Cambria Math" w:hAnsi="Cambria Math"/>
              </w:rPr>
            </m:ctrlPr>
          </m:sSubPr>
          <m:e>
            <m:r>
              <w:rPr>
                <w:rFonts w:ascii="Cambria Math" w:hAnsi="Cambria Math"/>
              </w:rPr>
              <m:t>P</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pin</m:t>
            </m:r>
          </m:sub>
        </m:sSub>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o</m:t>
            </m:r>
          </m:sub>
        </m:sSub>
      </m:oMath>
      <w:r>
        <w:t xml:space="preserve"> and the hydraulic diameter is</w:t>
      </w:r>
    </w:p>
    <w:p w14:paraId="7ACD1CB1"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4</m:t>
              </m:r>
              <m:sSub>
                <m:sSubPr>
                  <m:ctrlPr>
                    <w:rPr>
                      <w:rFonts w:ascii="Cambria Math" w:hAnsi="Cambria Math"/>
                    </w:rPr>
                  </m:ctrlPr>
                </m:sSubPr>
                <m:e>
                  <m:r>
                    <w:rPr>
                      <w:rFonts w:ascii="Cambria Math" w:hAnsi="Cambria Math"/>
                    </w:rPr>
                    <m:t>A</m:t>
                  </m:r>
                </m:e>
                <m:sub>
                  <m:r>
                    <w:rPr>
                      <w:rFonts w:ascii="Cambria Math" w:hAnsi="Cambria Math"/>
                    </w:rPr>
                    <m:t>flow</m:t>
                  </m:r>
                </m:sub>
              </m:sSub>
            </m:num>
            <m:den>
              <m:sSub>
                <m:sSubPr>
                  <m:ctrlPr>
                    <w:rPr>
                      <w:rFonts w:ascii="Cambria Math" w:hAnsi="Cambria Math"/>
                    </w:rPr>
                  </m:ctrlPr>
                </m:sSubPr>
                <m:e>
                  <m:r>
                    <w:rPr>
                      <w:rFonts w:ascii="Cambria Math" w:hAnsi="Cambria Math"/>
                    </w:rPr>
                    <m:t>P</m:t>
                  </m:r>
                </m:e>
                <m:sub>
                  <m:r>
                    <w:rPr>
                      <w:rFonts w:ascii="Cambria Math" w:hAnsi="Cambria Math"/>
                    </w:rPr>
                    <m:t>w</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4.3</m:t>
              </m:r>
            </m:e>
          </m:d>
        </m:oMath>
      </m:oMathPara>
    </w:p>
    <w:p w14:paraId="29D2A46B" w14:textId="77777777" w:rsidR="000F504F" w:rsidRDefault="00406E9C">
      <w:pPr>
        <w:pStyle w:val="FirstParagraph"/>
      </w:pPr>
      <w:r>
        <w:t>The average heat flux is</w:t>
      </w:r>
    </w:p>
    <w:p w14:paraId="10FA68ED"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avg</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core</m:t>
                  </m:r>
                </m:sub>
              </m:sSub>
            </m:num>
            <m:den>
              <m:sSub>
                <m:sSubPr>
                  <m:ctrlPr>
                    <w:rPr>
                      <w:rFonts w:ascii="Cambria Math" w:hAnsi="Cambria Math"/>
                    </w:rPr>
                  </m:ctrlPr>
                </m:sSubPr>
                <m:e>
                  <m:r>
                    <w:rPr>
                      <w:rFonts w:ascii="Cambria Math" w:hAnsi="Cambria Math"/>
                    </w:rPr>
                    <m:t>A</m:t>
                  </m:r>
                </m:e>
                <m:sub>
                  <m:r>
                    <w:rPr>
                      <w:rFonts w:ascii="Cambria Math" w:hAnsi="Cambria Math"/>
                    </w:rPr>
                    <m:t>h</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4.4</m:t>
              </m:r>
            </m:e>
          </m:d>
        </m:oMath>
      </m:oMathPara>
    </w:p>
    <w:p w14:paraId="71980D95" w14:textId="77777777" w:rsidR="000F504F" w:rsidRDefault="00406E9C">
      <w:pPr>
        <w:pStyle w:val="FirstParagraph"/>
      </w:pPr>
      <w:r>
        <w:t>The hot-channel heat flux is</w:t>
      </w:r>
    </w:p>
    <w:p w14:paraId="714E03E3"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h</m:t>
              </m:r>
              <m:r>
                <w:rPr>
                  <w:rFonts w:ascii="Cambria Math" w:hAnsi="Cambria Math"/>
                </w:rPr>
                <m:t>ot</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sSub>
            <m:sSubPr>
              <m:ctrlPr>
                <w:rPr>
                  <w:rFonts w:ascii="Cambria Math" w:hAnsi="Cambria Math"/>
                </w:rPr>
              </m:ctrlPr>
            </m:sSubPr>
            <m:e>
              <m:r>
                <w:rPr>
                  <w:rFonts w:ascii="Cambria Math" w:hAnsi="Cambria Math"/>
                </w:rPr>
                <m:t>F</m:t>
              </m:r>
            </m:e>
            <m:sub>
              <m:r>
                <w:rPr>
                  <w:rFonts w:ascii="Cambria Math" w:hAnsi="Cambria Math"/>
                </w:rPr>
                <m:t>z</m:t>
              </m:r>
            </m:sub>
          </m:sSub>
          <m:sSubSup>
            <m:sSubSupPr>
              <m:ctrlPr>
                <w:rPr>
                  <w:rFonts w:ascii="Cambria Math" w:hAnsi="Cambria Math"/>
                </w:rPr>
              </m:ctrlPr>
            </m:sSubSupPr>
            <m:e>
              <m:r>
                <w:rPr>
                  <w:rFonts w:ascii="Cambria Math" w:hAnsi="Cambria Math"/>
                </w:rPr>
                <m:t>q</m:t>
              </m:r>
            </m:e>
            <m:sub>
              <m:r>
                <w:rPr>
                  <w:rFonts w:ascii="Cambria Math" w:hAnsi="Cambria Math"/>
                </w:rPr>
                <m:t>avg</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4.5</m:t>
              </m:r>
            </m:e>
          </m:d>
        </m:oMath>
      </m:oMathPara>
    </w:p>
    <w:p w14:paraId="58F817EB" w14:textId="77777777" w:rsidR="000F504F" w:rsidRDefault="00406E9C">
      <w:pPr>
        <w:pStyle w:val="Heading2"/>
        <w:keepNext/>
      </w:pPr>
      <w:bookmarkStart w:id="24" w:name="_Toc231232869"/>
      <w:r>
        <w:lastRenderedPageBreak/>
        <w:t>4.2 Fuel-Rod Heat Structure</w:t>
      </w:r>
      <w:bookmarkEnd w:id="24"/>
    </w:p>
    <w:p w14:paraId="40BA8756" w14:textId="77777777" w:rsidR="000F504F" w:rsidRDefault="00406E9C">
      <w:pPr>
        <w:pStyle w:val="FirstParagraph"/>
      </w:pPr>
      <w:r>
        <w:t>The heat-structure model estimates the radial temperature response of the fuel pellet, gap, and cladding. The full one-dimensional cylindrical conduction equation is</w:t>
      </w:r>
    </w:p>
    <w:p w14:paraId="4EE6B679" w14:textId="77777777" w:rsidR="000F504F" w:rsidRDefault="00406E9C">
      <w:pPr>
        <w:pStyle w:val="BodyText"/>
      </w:pPr>
      <m:oMathPara>
        <m:oMathParaPr>
          <m:jc m:val="center"/>
        </m:oMathParaPr>
        <m:oMath>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r</m:t>
              </m:r>
            </m:den>
          </m:f>
          <m:d>
            <m:dPr>
              <m:ctrlPr>
                <w:rPr>
                  <w:rFonts w:ascii="Cambria Math" w:hAnsi="Cambria Math"/>
                </w:rPr>
              </m:ctrlPr>
            </m:dPr>
            <m:e>
              <m:r>
                <w:rPr>
                  <w:rFonts w:ascii="Cambria Math" w:hAnsi="Cambria Math"/>
                </w:rPr>
                <m:t>kr</m:t>
              </m:r>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r</m:t>
                  </m:r>
                </m:den>
              </m:f>
            </m:e>
          </m:d>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4.6</m:t>
              </m:r>
            </m:e>
          </m:d>
        </m:oMath>
      </m:oMathPara>
    </w:p>
    <w:p w14:paraId="03F31DB2" w14:textId="77777777" w:rsidR="000F504F" w:rsidRDefault="00406E9C">
      <w:pPr>
        <w:pStyle w:val="FirstParagraph"/>
      </w:pPr>
      <w:r>
        <w:t>For the fuel pellet, the volumetric heat generation is approximated as uniform within the equivalent hot pin:</w:t>
      </w:r>
    </w:p>
    <w:p w14:paraId="20C6F20F"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fuel</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r>
                    <w:rPr>
                      <w:rFonts w:ascii="Cambria Math" w:hAnsi="Cambria Math"/>
                    </w:rPr>
                    <m:t>ot</m:t>
                  </m:r>
                </m:sub>
              </m:sSub>
            </m:num>
            <m:den>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ot</m:t>
                  </m:r>
                </m:sub>
              </m:sSub>
              <m:r>
                <w:rPr>
                  <w:rFonts w:ascii="Cambria Math" w:hAnsi="Cambria Math"/>
                </w:rPr>
                <m:t>π</m:t>
              </m:r>
              <m:sSubSup>
                <m:sSubSupPr>
                  <m:ctrlPr>
                    <w:rPr>
                      <w:rFonts w:ascii="Cambria Math" w:hAnsi="Cambria Math"/>
                    </w:rPr>
                  </m:ctrlPr>
                </m:sSubSupPr>
                <m:e>
                  <m:r>
                    <w:rPr>
                      <w:rFonts w:ascii="Cambria Math" w:hAnsi="Cambria Math"/>
                    </w:rPr>
                    <m:t>R</m:t>
                  </m:r>
                </m:e>
                <m:sub>
                  <m:r>
                    <w:rPr>
                      <w:rFonts w:ascii="Cambria Math" w:hAnsi="Cambria Math"/>
                    </w:rPr>
                    <m:t>f</m:t>
                  </m:r>
                </m:sub>
                <m:sup>
                  <m:r>
                    <w:rPr>
                      <w:rFonts w:ascii="Cambria Math" w:hAnsi="Cambria Math"/>
                    </w:rPr>
                    <m:t>2</m:t>
                  </m:r>
                </m:sup>
              </m:sSubSup>
              <m:sSub>
                <m:sSubPr>
                  <m:ctrlPr>
                    <w:rPr>
                      <w:rFonts w:ascii="Cambria Math" w:hAnsi="Cambria Math"/>
                    </w:rPr>
                  </m:ctrlPr>
                </m:sSubPr>
                <m:e>
                  <m:r>
                    <w:rPr>
                      <w:rFonts w:ascii="Cambria Math" w:hAnsi="Cambria Math"/>
                    </w:rPr>
                    <m:t>L</m:t>
                  </m:r>
                </m:e>
                <m:sub>
                  <m:r>
                    <w:rPr>
                      <w:rFonts w:ascii="Cambria Math" w:hAnsi="Cambria Math"/>
                    </w:rPr>
                    <m:t>h</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4.7</m:t>
              </m:r>
            </m:e>
          </m:d>
        </m:oMath>
      </m:oMathPara>
    </w:p>
    <w:p w14:paraId="0B40EC5D" w14:textId="77777777" w:rsidR="000F504F" w:rsidRDefault="00406E9C">
      <w:pPr>
        <w:pStyle w:val="FirstParagraph"/>
      </w:pPr>
      <w:r>
        <w:t>At the fuel centerline, symmetry requires</w:t>
      </w:r>
    </w:p>
    <w:p w14:paraId="54B86721" w14:textId="77777777" w:rsidR="000F504F" w:rsidRDefault="00406E9C">
      <w:pPr>
        <w:pStyle w:val="BodyText"/>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T</m:t>
                      </m:r>
                    </m:num>
                    <m:den>
                      <m:r>
                        <m:rPr>
                          <m:sty m:val="p"/>
                        </m:rPr>
                        <w:rPr>
                          <w:rFonts w:ascii="Cambria Math" w:hAnsi="Cambria Math"/>
                        </w:rPr>
                        <m:t>∂</m:t>
                      </m:r>
                      <m:r>
                        <w:rPr>
                          <w:rFonts w:ascii="Cambria Math" w:hAnsi="Cambria Math"/>
                        </w:rPr>
                        <m:t>r</m:t>
                      </m:r>
                    </m:den>
                  </m:f>
                </m:e>
              </m:d>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4.8</m:t>
              </m:r>
            </m:e>
          </m:d>
        </m:oMath>
      </m:oMathPara>
    </w:p>
    <w:p w14:paraId="4159316F" w14:textId="77777777" w:rsidR="000F504F" w:rsidRDefault="00406E9C">
      <w:pPr>
        <w:pStyle w:val="FirstParagraph"/>
      </w:pPr>
      <w:r>
        <w:t>At the fuel outer radius, the gap conductance condition is</w:t>
      </w:r>
    </w:p>
    <w:p w14:paraId="15CA3E00" w14:textId="77777777" w:rsidR="000F504F" w:rsidRDefault="00406E9C">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sub>
                      </m:sSub>
                    </m:num>
                    <m:den>
                      <m:r>
                        <m:rPr>
                          <m:sty m:val="p"/>
                        </m:rPr>
                        <w:rPr>
                          <w:rFonts w:ascii="Cambria Math" w:hAnsi="Cambria Math"/>
                        </w:rPr>
                        <m:t>∂</m:t>
                      </m:r>
                      <m:r>
                        <w:rPr>
                          <w:rFonts w:ascii="Cambria Math" w:hAnsi="Cambria Math"/>
                        </w:rPr>
                        <m:t>r</m:t>
                      </m:r>
                    </m:den>
                  </m:f>
                </m:e>
              </m:d>
            </m:e>
            <m:sub>
              <m:sSub>
                <m:sSubPr>
                  <m:ctrlPr>
                    <w:rPr>
                      <w:rFonts w:ascii="Cambria Math" w:hAnsi="Cambria Math"/>
                    </w:rPr>
                  </m:ctrlPr>
                </m:sSubPr>
                <m:e>
                  <m:r>
                    <w:rPr>
                      <w:rFonts w:ascii="Cambria Math" w:hAnsi="Cambria Math"/>
                    </w:rPr>
                    <m:t>R</m:t>
                  </m:r>
                </m:e>
                <m:sub>
                  <m:r>
                    <w:rPr>
                      <w:rFonts w:ascii="Cambria Math" w:hAnsi="Cambria Math"/>
                    </w:rPr>
                    <m:t>f</m:t>
                  </m:r>
                </m:sub>
              </m:sSub>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gap</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f</m:t>
                  </m:r>
                  <m:r>
                    <m:rPr>
                      <m:sty m:val="p"/>
                    </m:rPr>
                    <w:rPr>
                      <w:rFonts w:ascii="Cambria Math" w:hAnsi="Cambria Math"/>
                    </w:rPr>
                    <m:t>,</m:t>
                  </m:r>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4.9</m:t>
              </m:r>
            </m:e>
          </m:d>
        </m:oMath>
      </m:oMathPara>
    </w:p>
    <w:p w14:paraId="0AB95534" w14:textId="77777777" w:rsidR="000F504F" w:rsidRDefault="00406E9C">
      <w:pPr>
        <w:pStyle w:val="FirstParagraph"/>
      </w:pPr>
      <w:r>
        <w:t>At the cladding outer surface, convection to the coolant is</w:t>
      </w:r>
    </w:p>
    <w:p w14:paraId="03065F25" w14:textId="77777777" w:rsidR="000F504F" w:rsidRDefault="00406E9C">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num>
                    <m:den>
                      <m:r>
                        <m:rPr>
                          <m:sty m:val="p"/>
                        </m:rPr>
                        <w:rPr>
                          <w:rFonts w:ascii="Cambria Math" w:hAnsi="Cambria Math"/>
                        </w:rPr>
                        <m:t>∂</m:t>
                      </m:r>
                      <m:r>
                        <w:rPr>
                          <w:rFonts w:ascii="Cambria Math" w:hAnsi="Cambria Math"/>
                        </w:rPr>
                        <m:t>r</m:t>
                      </m:r>
                    </m:den>
                  </m:f>
                </m:e>
              </m:d>
            </m:e>
            <m:sub>
              <m:sSub>
                <m:sSubPr>
                  <m:ctrlPr>
                    <w:rPr>
                      <w:rFonts w:ascii="Cambria Math" w:hAnsi="Cambria Math"/>
                    </w:rPr>
                  </m:ctrlPr>
                </m:sSubPr>
                <m:e>
                  <m:r>
                    <w:rPr>
                      <w:rFonts w:ascii="Cambria Math" w:hAnsi="Cambria Math"/>
                    </w:rPr>
                    <m:t>R</m:t>
                  </m:r>
                </m:e>
                <m:sub>
                  <m:r>
                    <w:rPr>
                      <w:rFonts w:ascii="Cambria Math" w:hAnsi="Cambria Math"/>
                    </w:rPr>
                    <m:t>o</m:t>
                  </m:r>
                </m:sub>
              </m:sSub>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cool</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4.10</m:t>
              </m:r>
            </m:e>
          </m:d>
        </m:oMath>
      </m:oMathPara>
    </w:p>
    <w:p w14:paraId="267CCB36" w14:textId="77777777" w:rsidR="000F504F" w:rsidRDefault="00406E9C">
      <w:pPr>
        <w:pStyle w:val="FirstParagraph"/>
      </w:pPr>
      <w:r>
        <w:t>In reduced-order operation, FLARE may collapse the detailed radial model into an equivalent thermal-resistance network:</w:t>
      </w:r>
    </w:p>
    <w:p w14:paraId="1C8C9603"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fuel</m:t>
              </m:r>
              <m:r>
                <m:rPr>
                  <m:sty m:val="p"/>
                </m:rPr>
                <w:rPr>
                  <w:rFonts w:ascii="Cambria Math" w:hAnsi="Cambria Math"/>
                </w:rPr>
                <m:t>,</m:t>
              </m:r>
              <m:r>
                <w:rPr>
                  <w:rFonts w:ascii="Cambria Math" w:hAnsi="Cambria Math"/>
                </w:rPr>
                <m:t>center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cool</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h</m:t>
              </m:r>
              <m:r>
                <w:rPr>
                  <w:rFonts w:ascii="Cambria Math" w:hAnsi="Cambria Math"/>
                </w:rPr>
                <m:t>ot</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fuel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gap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clad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conv</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4.11</m:t>
              </m:r>
            </m:e>
          </m:d>
        </m:oMath>
      </m:oMathPara>
    </w:p>
    <w:p w14:paraId="5863AED4" w14:textId="77777777" w:rsidR="000F504F" w:rsidRDefault="00406E9C">
      <w:pPr>
        <w:pStyle w:val="FirstParagraph"/>
      </w:pPr>
      <w:r>
        <w:t>For a solid cylindrical fuel pellet with uniform heat generation, the approximate centerline-to-surface resistance is</w:t>
      </w:r>
    </w:p>
    <w:p w14:paraId="0336EEA2"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fuel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num>
            <m:den>
              <m:r>
                <w:rPr>
                  <w:rFonts w:ascii="Cambria Math" w:hAnsi="Cambria Math"/>
                </w:rPr>
                <m:t>4</m:t>
              </m:r>
              <m:sSub>
                <m:sSubPr>
                  <m:ctrlPr>
                    <w:rPr>
                      <w:rFonts w:ascii="Cambria Math" w:hAnsi="Cambria Math"/>
                    </w:rPr>
                  </m:ctrlPr>
                </m:sSubPr>
                <m:e>
                  <m:r>
                    <w:rPr>
                      <w:rFonts w:ascii="Cambria Math" w:hAnsi="Cambria Math"/>
                    </w:rPr>
                    <m:t>k</m:t>
                  </m:r>
                </m:e>
                <m:sub>
                  <m:r>
                    <w:rPr>
                      <w:rFonts w:ascii="Cambria Math" w:hAnsi="Cambria Math"/>
                    </w:rPr>
                    <m:t>f</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4.12</m:t>
              </m:r>
            </m:e>
          </m:d>
        </m:oMath>
      </m:oMathPara>
    </w:p>
    <w:p w14:paraId="6D6D7ABD" w14:textId="77777777" w:rsidR="000F504F" w:rsidRDefault="00406E9C">
      <w:pPr>
        <w:pStyle w:val="FirstParagraph"/>
      </w:pPr>
      <w:r>
        <w:t>The gap, cladding, and convection resistances per unit surface area are</w:t>
      </w:r>
    </w:p>
    <w:p w14:paraId="1C0AA637"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gap</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h</m:t>
                  </m:r>
                </m:e>
                <m:sub>
                  <m:r>
                    <w:rPr>
                      <w:rFonts w:ascii="Cambria Math" w:hAnsi="Cambria Math"/>
                    </w:rPr>
                    <m:t>gap</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clad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o</m:t>
                  </m:r>
                </m:sub>
              </m:sSub>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e>
              </m:d>
            </m:num>
            <m:den>
              <m:sSub>
                <m:sSubPr>
                  <m:ctrlPr>
                    <w:rPr>
                      <w:rFonts w:ascii="Cambria Math" w:hAnsi="Cambria Math"/>
                    </w:rPr>
                  </m:ctrlPr>
                </m:sSubPr>
                <m:e>
                  <m:r>
                    <w:rPr>
                      <w:rFonts w:ascii="Cambria Math" w:hAnsi="Cambria Math"/>
                    </w:rPr>
                    <m:t>k</m:t>
                  </m:r>
                </m:e>
                <m:sub>
                  <m:r>
                    <w:rPr>
                      <w:rFonts w:ascii="Cambria Math" w:hAnsi="Cambria Math"/>
                    </w:rPr>
                    <m:t>c</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conv</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h</m:t>
                  </m:r>
                </m:e>
                <m:sub>
                  <m:r>
                    <w:rPr>
                      <w:rFonts w:ascii="Cambria Math" w:hAnsi="Cambria Math"/>
                    </w:rPr>
                    <m:t>c</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4.13</m:t>
              </m:r>
            </m:e>
          </m:d>
        </m:oMath>
      </m:oMathPara>
    </w:p>
    <w:p w14:paraId="5F9758A1" w14:textId="77777777" w:rsidR="000F504F" w:rsidRDefault="00406E9C">
      <w:pPr>
        <w:pStyle w:val="FirstParagraph"/>
      </w:pPr>
      <w:r>
        <w:t>The heat-structure time response is represented by energy storage terms for the fuel and cladding:</w:t>
      </w:r>
    </w:p>
    <w:p w14:paraId="4C3011B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f</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gen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c</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m:t>
              </m:r>
              <m:r>
                <m:rPr>
                  <m:sty m:val="p"/>
                </m:rPr>
                <w:rPr>
                  <w:rFonts w:ascii="Cambria Math" w:hAnsi="Cambria Math"/>
                </w:rPr>
                <m:t>→</m:t>
              </m:r>
              <m:r>
                <w:rPr>
                  <w:rFonts w:ascii="Cambria Math" w:hAnsi="Cambria Math"/>
                </w:rPr>
                <m:t>cool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rad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ox</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4.14</m:t>
              </m:r>
            </m:e>
          </m:d>
        </m:oMath>
      </m:oMathPara>
    </w:p>
    <w:p w14:paraId="6B24BBFF" w14:textId="77777777" w:rsidR="000F504F" w:rsidRDefault="00406E9C">
      <w:pPr>
        <w:pStyle w:val="Heading2"/>
        <w:keepNext/>
      </w:pPr>
      <w:bookmarkStart w:id="25" w:name="_Toc231232870"/>
      <w:r>
        <w:t>4.3 Convective Heat Transfer</w:t>
      </w:r>
      <w:bookmarkEnd w:id="25"/>
    </w:p>
    <w:p w14:paraId="7B4D2503" w14:textId="77777777" w:rsidR="000F504F" w:rsidRDefault="00406E9C">
      <w:pPr>
        <w:pStyle w:val="FirstParagraph"/>
      </w:pPr>
      <w:r>
        <w:t>The primary forced-convection heat-transfer coefficient is calculated from the Dittus-Boelter correlation:</w:t>
      </w:r>
    </w:p>
    <w:p w14:paraId="5991DC33" w14:textId="77777777" w:rsidR="000F504F" w:rsidRDefault="00406E9C">
      <w:pPr>
        <w:pStyle w:val="BodyText"/>
      </w:pPr>
      <m:oMathPara>
        <m:oMathParaPr>
          <m:jc m:val="center"/>
        </m:oMathParaPr>
        <m:oMath>
          <m:r>
            <w:rPr>
              <w:rFonts w:ascii="Cambria Math" w:hAnsi="Cambria Math"/>
            </w:rPr>
            <m:t>Nu</m:t>
          </m:r>
          <m:r>
            <m:rPr>
              <m:sty m:val="p"/>
            </m:rPr>
            <w:rPr>
              <w:rFonts w:ascii="Cambria Math" w:hAnsi="Cambria Math"/>
            </w:rPr>
            <m:t>=</m:t>
          </m:r>
          <m:r>
            <w:rPr>
              <w:rFonts w:ascii="Cambria Math" w:hAnsi="Cambria Math"/>
            </w:rPr>
            <m:t>0.023</m:t>
          </m:r>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0.8</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0.4</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4.15</m:t>
              </m:r>
            </m:e>
          </m:d>
        </m:oMath>
      </m:oMathPara>
    </w:p>
    <w:p w14:paraId="4BB970F6" w14:textId="77777777" w:rsidR="000F504F" w:rsidRDefault="00406E9C">
      <w:pPr>
        <w:pStyle w:val="FirstParagraph"/>
      </w:pPr>
      <w:r>
        <w:t>The Reynolds and Prandtl numbers are</w:t>
      </w:r>
    </w:p>
    <w:p w14:paraId="242F5E71" w14:textId="77777777" w:rsidR="000F504F" w:rsidRDefault="00406E9C">
      <w:pPr>
        <w:pStyle w:val="BodyText"/>
      </w:pPr>
      <m:oMathPara>
        <m:oMathParaPr>
          <m:jc m:val="center"/>
        </m:oMathParaPr>
        <m:oMath>
          <m:r>
            <w:rPr>
              <w:rFonts w:ascii="Cambria Math" w:hAnsi="Cambria Math"/>
            </w:rPr>
            <w:lastRenderedPageBreak/>
            <m:t>Re</m:t>
          </m:r>
          <m:r>
            <m:rPr>
              <m:sty m:val="p"/>
            </m:rPr>
            <w:rPr>
              <w:rFonts w:ascii="Cambria Math" w:hAnsi="Cambria Math"/>
            </w:rPr>
            <m:t>=</m:t>
          </m:r>
          <m:f>
            <m:fPr>
              <m:ctrlPr>
                <w:rPr>
                  <w:rFonts w:ascii="Cambria Math" w:hAnsi="Cambria Math"/>
                </w:rPr>
              </m:ctrlPr>
            </m:fPr>
            <m:num>
              <m:r>
                <w:rPr>
                  <w:rFonts w:ascii="Cambria Math" w:hAnsi="Cambria Math"/>
                </w:rPr>
                <m:t>ρu</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m:rPr>
              <m:sty m:val="p"/>
            </m:rPr>
            <w:rPr>
              <w:rFonts w:ascii="Cambria Math" w:hAnsi="Cambria Math"/>
            </w:rPr>
            <m:t>,</m:t>
          </m:r>
          <m:r>
            <w:rPr>
              <w:rFonts w:ascii="Cambria Math" w:hAnsi="Cambria Math"/>
            </w:rPr>
            <m:t>  </m:t>
          </m:r>
          <m:r>
            <w:rPr>
              <w:rFonts w:ascii="Cambria Math" w:hAnsi="Cambria Math"/>
            </w:rPr>
            <m:t>Pr</m:t>
          </m:r>
          <m:r>
            <m:rPr>
              <m:sty m:val="p"/>
            </m:rPr>
            <w:rPr>
              <w:rFonts w:ascii="Cambria Math" w:hAnsi="Cambria Math"/>
            </w:rPr>
            <m:t>=</m:t>
          </m:r>
          <m:f>
            <m:fPr>
              <m:ctrlPr>
                <w:rPr>
                  <w:rFonts w:ascii="Cambria Math" w:hAnsi="Cambria Math"/>
                </w:rPr>
              </m:ctrlPr>
            </m:fPr>
            <m:num>
              <m:r>
                <w:rPr>
                  <w:rFonts w:ascii="Cambria Math" w:hAnsi="Cambria Math"/>
                </w:rPr>
                <m:t>μ</m:t>
              </m:r>
              <m:sSub>
                <m:sSubPr>
                  <m:ctrlPr>
                    <w:rPr>
                      <w:rFonts w:ascii="Cambria Math" w:hAnsi="Cambria Math"/>
                    </w:rPr>
                  </m:ctrlPr>
                </m:sSubPr>
                <m:e>
                  <m:r>
                    <w:rPr>
                      <w:rFonts w:ascii="Cambria Math" w:hAnsi="Cambria Math"/>
                    </w:rPr>
                    <m:t>c</m:t>
                  </m:r>
                </m:e>
                <m:sub>
                  <m:r>
                    <w:rPr>
                      <w:rFonts w:ascii="Cambria Math" w:hAnsi="Cambria Math"/>
                    </w:rPr>
                    <m:t>p</m:t>
                  </m:r>
                </m:sub>
              </m:sSub>
            </m:num>
            <m:den>
              <m:r>
                <w:rPr>
                  <w:rFonts w:ascii="Cambria Math" w:hAnsi="Cambria Math"/>
                </w:rPr>
                <m:t>k</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4.16</m:t>
              </m:r>
            </m:e>
          </m:d>
        </m:oMath>
      </m:oMathPara>
    </w:p>
    <w:p w14:paraId="4846DD0F" w14:textId="77777777" w:rsidR="000F504F" w:rsidRDefault="00406E9C">
      <w:pPr>
        <w:pStyle w:val="FirstParagraph"/>
      </w:pPr>
      <w:r>
        <w:t>The heat-transfer coefficient is</w:t>
      </w:r>
    </w:p>
    <w:p w14:paraId="619B5147"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DB</m:t>
              </m:r>
            </m:sub>
          </m:sSub>
          <m:r>
            <m:rPr>
              <m:sty m:val="p"/>
            </m:rPr>
            <w:rPr>
              <w:rFonts w:ascii="Cambria Math" w:hAnsi="Cambria Math"/>
            </w:rPr>
            <m:t>=</m:t>
          </m:r>
          <m:f>
            <m:fPr>
              <m:ctrlPr>
                <w:rPr>
                  <w:rFonts w:ascii="Cambria Math" w:hAnsi="Cambria Math"/>
                </w:rPr>
              </m:ctrlPr>
            </m:fPr>
            <m:num>
              <m:r>
                <w:rPr>
                  <w:rFonts w:ascii="Cambria Math" w:hAnsi="Cambria Math"/>
                </w:rPr>
                <m:t>Nu</m:t>
              </m:r>
              <m:r>
                <w:rPr>
                  <w:rFonts w:ascii="Cambria Math" w:hAnsi="Cambria Math"/>
                </w:rPr>
                <m:t> </m:t>
              </m:r>
              <m:r>
                <w:rPr>
                  <w:rFonts w:ascii="Cambria Math" w:hAnsi="Cambria Math"/>
                </w:rPr>
                <m:t>k</m:t>
              </m:r>
            </m:num>
            <m:den>
              <m:sSub>
                <m:sSubPr>
                  <m:ctrlPr>
                    <w:rPr>
                      <w:rFonts w:ascii="Cambria Math" w:hAnsi="Cambria Math"/>
                    </w:rPr>
                  </m:ctrlPr>
                </m:sSubPr>
                <m:e>
                  <m:r>
                    <w:rPr>
                      <w:rFonts w:ascii="Cambria Math" w:hAnsi="Cambria Math"/>
                    </w:rPr>
                    <m:t>D</m:t>
                  </m:r>
                </m:e>
                <m:sub>
                  <m:r>
                    <w:rPr>
                      <w:rFonts w:ascii="Cambria Math" w:hAnsi="Cambria Math"/>
                    </w:rPr>
                    <m:t>h</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4.17</m:t>
              </m:r>
            </m:e>
          </m:d>
        </m:oMath>
      </m:oMathPara>
    </w:p>
    <w:p w14:paraId="1E89FFEA" w14:textId="77777777" w:rsidR="000F504F" w:rsidRDefault="00406E9C">
      <w:pPr>
        <w:pStyle w:val="FirstParagraph"/>
      </w:pPr>
      <w:r>
        <w:t xml:space="preserve">For liquid-phase core heat transfer, FLARE removes the laminar fallback that would otherwise set </w:t>
      </w:r>
      <m:oMath>
        <m:r>
          <w:rPr>
            <w:rFonts w:ascii="Cambria Math" w:hAnsi="Cambria Math"/>
          </w:rPr>
          <m:t>Nu</m:t>
        </m:r>
        <m:r>
          <m:rPr>
            <m:sty m:val="p"/>
          </m:rPr>
          <w:rPr>
            <w:rFonts w:ascii="Cambria Math" w:hAnsi="Cambria Math"/>
          </w:rPr>
          <m:t>=</m:t>
        </m:r>
        <m:r>
          <w:rPr>
            <w:rFonts w:ascii="Cambria Math" w:hAnsi="Cambria Math"/>
          </w:rPr>
          <m:t>3.66</m:t>
        </m:r>
      </m:oMath>
      <w:r>
        <w:t xml:space="preserve"> for low Reynolds number. In this reduced-order model, retaining the turbulent extrapolation during pump coastdown prevents the natural-convection model from becoming spuriously dominant while forced circulation remains present. For steam post-CHF cooling, however, the laminar fallback is retained because near-zero steam velocity makes the turbulent extrapolation physically unreliable.</w:t>
      </w:r>
    </w:p>
    <w:p w14:paraId="2F2B75CC" w14:textId="77777777" w:rsidR="000F504F" w:rsidRDefault="00406E9C">
      <w:pPr>
        <w:pStyle w:val="BodyText"/>
      </w:pPr>
      <w:r>
        <w:t>When forced flow is unavailable or degraded, FLARE evaluates the Churchill-Chu natural-convection correlation for a vertical surface:</w:t>
      </w:r>
    </w:p>
    <w:p w14:paraId="3152D905" w14:textId="77777777" w:rsidR="000F504F" w:rsidRDefault="00406E9C">
      <w:pPr>
        <w:pStyle w:val="BodyText"/>
      </w:pPr>
      <m:oMathPara>
        <m:oMathParaPr>
          <m:jc m:val="center"/>
        </m:oMathParaPr>
        <m:oMath>
          <m:r>
            <w:rPr>
              <w:rFonts w:ascii="Cambria Math" w:hAnsi="Cambria Math"/>
            </w:rPr>
            <m:t>Nu</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0.825</m:t>
                  </m:r>
                  <m:r>
                    <m:rPr>
                      <m:sty m:val="p"/>
                    </m:rPr>
                    <w:rPr>
                      <w:rFonts w:ascii="Cambria Math" w:hAnsi="Cambria Math"/>
                    </w:rPr>
                    <m:t>+</m:t>
                  </m:r>
                  <m:f>
                    <m:fPr>
                      <m:ctrlPr>
                        <w:rPr>
                          <w:rFonts w:ascii="Cambria Math" w:hAnsi="Cambria Math"/>
                        </w:rPr>
                      </m:ctrlPr>
                    </m:fPr>
                    <m:num>
                      <m:r>
                        <w:rPr>
                          <w:rFonts w:ascii="Cambria Math" w:hAnsi="Cambria Math"/>
                        </w:rPr>
                        <m:t>0.387</m:t>
                      </m:r>
                      <m:r>
                        <w:rPr>
                          <w:rFonts w:ascii="Cambria Math" w:hAnsi="Cambria Math"/>
                        </w:rPr>
                        <m:t>R</m:t>
                      </m:r>
                      <m:sSup>
                        <m:sSupPr>
                          <m:ctrlPr>
                            <w:rPr>
                              <w:rFonts w:ascii="Cambria Math" w:hAnsi="Cambria Math"/>
                            </w:rPr>
                          </m:ctrlPr>
                        </m:sSupPr>
                        <m:e>
                          <m:r>
                            <w:rPr>
                              <w:rFonts w:ascii="Cambria Math" w:hAnsi="Cambria Math"/>
                            </w:rPr>
                            <m:t>a</m:t>
                          </m:r>
                        </m:e>
                        <m:sup>
                          <m:r>
                            <w:rPr>
                              <w:rFonts w:ascii="Cambria Math" w:hAnsi="Cambria Math"/>
                            </w:rPr>
                            <m:t>1</m:t>
                          </m:r>
                          <m:r>
                            <m:rPr>
                              <m:sty m:val="p"/>
                            </m:rPr>
                            <w:rPr>
                              <w:rFonts w:ascii="Cambria Math" w:hAnsi="Cambria Math"/>
                            </w:rPr>
                            <m:t>/</m:t>
                          </m:r>
                          <m:r>
                            <w:rPr>
                              <w:rFonts w:ascii="Cambria Math" w:hAnsi="Cambria Math"/>
                            </w:rPr>
                            <m:t>6</m:t>
                          </m:r>
                        </m:sup>
                      </m:sSup>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0.492</m:t>
                                      </m:r>
                                      <m:r>
                                        <m:rPr>
                                          <m:sty m:val="p"/>
                                        </m:rPr>
                                        <w:rPr>
                                          <w:rFonts w:ascii="Cambria Math" w:hAnsi="Cambria Math"/>
                                        </w:rPr>
                                        <m:t>/</m:t>
                                      </m:r>
                                      <m:r>
                                        <w:rPr>
                                          <w:rFonts w:ascii="Cambria Math" w:hAnsi="Cambria Math"/>
                                        </w:rPr>
                                        <m:t>Pr</m:t>
                                      </m:r>
                                    </m:e>
                                  </m:d>
                                </m:e>
                                <m:sup>
                                  <m:r>
                                    <w:rPr>
                                      <w:rFonts w:ascii="Cambria Math" w:hAnsi="Cambria Math"/>
                                    </w:rPr>
                                    <m:t>9</m:t>
                                  </m:r>
                                  <m:r>
                                    <m:rPr>
                                      <m:sty m:val="p"/>
                                    </m:rPr>
                                    <w:rPr>
                                      <w:rFonts w:ascii="Cambria Math" w:hAnsi="Cambria Math"/>
                                    </w:rPr>
                                    <m:t>/</m:t>
                                  </m:r>
                                  <m:r>
                                    <w:rPr>
                                      <w:rFonts w:ascii="Cambria Math" w:hAnsi="Cambria Math"/>
                                    </w:rPr>
                                    <m:t>16</m:t>
                                  </m:r>
                                </m:sup>
                              </m:sSup>
                            </m:e>
                          </m:d>
                        </m:e>
                        <m:sup>
                          <m:r>
                            <w:rPr>
                              <w:rFonts w:ascii="Cambria Math" w:hAnsi="Cambria Math"/>
                            </w:rPr>
                            <m:t>8</m:t>
                          </m:r>
                          <m:r>
                            <m:rPr>
                              <m:sty m:val="p"/>
                            </m:rPr>
                            <w:rPr>
                              <w:rFonts w:ascii="Cambria Math" w:hAnsi="Cambria Math"/>
                            </w:rPr>
                            <m:t>/</m:t>
                          </m:r>
                          <m:r>
                            <w:rPr>
                              <w:rFonts w:ascii="Cambria Math" w:hAnsi="Cambria Math"/>
                            </w:rPr>
                            <m:t>27</m:t>
                          </m:r>
                        </m:sup>
                      </m:sSup>
                    </m:den>
                  </m:f>
                </m:e>
              </m:d>
            </m:e>
            <m:sup>
              <m:r>
                <w:rPr>
                  <w:rFonts w:ascii="Cambria Math" w:hAnsi="Cambria Math"/>
                </w:rPr>
                <m:t>2</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4.18</m:t>
              </m:r>
            </m:e>
          </m:d>
        </m:oMath>
      </m:oMathPara>
    </w:p>
    <w:p w14:paraId="525C5A59" w14:textId="77777777" w:rsidR="000F504F" w:rsidRDefault="00406E9C">
      <w:pPr>
        <w:pStyle w:val="FirstParagraph"/>
      </w:pPr>
      <w:r>
        <w:t>The Rayleigh number is</w:t>
      </w:r>
    </w:p>
    <w:p w14:paraId="3C02F7C0" w14:textId="77777777" w:rsidR="000F504F" w:rsidRDefault="00406E9C">
      <w:pPr>
        <w:pStyle w:val="BodyText"/>
      </w:pPr>
      <m:oMathPara>
        <m:oMathParaPr>
          <m:jc m:val="center"/>
        </m:oMathParaPr>
        <m:oMath>
          <m:r>
            <w:rPr>
              <w:rFonts w:ascii="Cambria Math" w:hAnsi="Cambria Math"/>
            </w:rPr>
            <m:t>Ra</m:t>
          </m:r>
          <m:r>
            <m:rPr>
              <m:sty m:val="p"/>
            </m:rPr>
            <w:rPr>
              <w:rFonts w:ascii="Cambria Math" w:hAnsi="Cambria Math"/>
            </w:rPr>
            <m:t>=</m:t>
          </m:r>
          <m:r>
            <w:rPr>
              <w:rFonts w:ascii="Cambria Math" w:hAnsi="Cambria Math"/>
            </w:rPr>
            <m:t>GrPr</m:t>
          </m:r>
          <m:r>
            <m:rPr>
              <m:sty m:val="p"/>
            </m:rPr>
            <w:rPr>
              <w:rFonts w:ascii="Cambria Math" w:hAnsi="Cambria Math"/>
            </w:rPr>
            <m:t>=</m:t>
          </m:r>
          <m:f>
            <m:fPr>
              <m:ctrlPr>
                <w:rPr>
                  <w:rFonts w:ascii="Cambria Math" w:hAnsi="Cambria Math"/>
                </w:rPr>
              </m:ctrlPr>
            </m:fPr>
            <m:num>
              <m:r>
                <w:rPr>
                  <w:rFonts w:ascii="Cambria Math" w:hAnsi="Cambria Math"/>
                </w:rPr>
                <m:t>gβ</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e>
              </m:d>
              <m:sSup>
                <m:sSupPr>
                  <m:ctrlPr>
                    <w:rPr>
                      <w:rFonts w:ascii="Cambria Math" w:hAnsi="Cambria Math"/>
                    </w:rPr>
                  </m:ctrlPr>
                </m:sSupPr>
                <m:e>
                  <m:r>
                    <w:rPr>
                      <w:rFonts w:ascii="Cambria Math" w:hAnsi="Cambria Math"/>
                    </w:rPr>
                    <m:t>L</m:t>
                  </m:r>
                </m:e>
                <m:sup>
                  <m:r>
                    <w:rPr>
                      <w:rFonts w:ascii="Cambria Math" w:hAnsi="Cambria Math"/>
                    </w:rPr>
                    <m:t>3</m:t>
                  </m:r>
                </m:sup>
              </m:sSup>
            </m:num>
            <m:den>
              <m:sSup>
                <m:sSupPr>
                  <m:ctrlPr>
                    <w:rPr>
                      <w:rFonts w:ascii="Cambria Math" w:hAnsi="Cambria Math"/>
                    </w:rPr>
                  </m:ctrlPr>
                </m:sSupPr>
                <m:e>
                  <m:r>
                    <w:rPr>
                      <w:rFonts w:ascii="Cambria Math" w:hAnsi="Cambria Math"/>
                    </w:rPr>
                    <m:t>ν</m:t>
                  </m:r>
                </m:e>
                <m:sup>
                  <m:r>
                    <w:rPr>
                      <w:rFonts w:ascii="Cambria Math" w:hAnsi="Cambria Math"/>
                    </w:rPr>
                    <m:t>2</m:t>
                  </m:r>
                </m:sup>
              </m:sSup>
            </m:den>
          </m:f>
          <m:r>
            <w:rPr>
              <w:rFonts w:ascii="Cambria Math" w:hAnsi="Cambria Math"/>
            </w:rPr>
            <m:t>Pr</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4.19</m:t>
              </m:r>
            </m:e>
          </m:d>
        </m:oMath>
      </m:oMathPara>
    </w:p>
    <w:p w14:paraId="58E75E69" w14:textId="77777777" w:rsidR="000F504F" w:rsidRDefault="00406E9C">
      <w:pPr>
        <w:pStyle w:val="FirstParagraph"/>
      </w:pPr>
      <w:r>
        <w:t>The controlling pre-CHF heat-transfer coefficient is</w:t>
      </w:r>
    </w:p>
    <w:p w14:paraId="3F1DBDEF"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DB</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NC</m:t>
                  </m:r>
                </m:sub>
              </m:sSub>
            </m:e>
          </m:d>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HTC</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4.20</m:t>
              </m:r>
            </m:e>
          </m:d>
        </m:oMath>
      </m:oMathPara>
    </w:p>
    <w:p w14:paraId="730C40DA" w14:textId="77777777" w:rsidR="000F504F" w:rsidRDefault="00406E9C">
      <w:pPr>
        <w:pStyle w:val="Heading2"/>
        <w:keepNext/>
      </w:pPr>
      <w:bookmarkStart w:id="26" w:name="_Toc231232871"/>
      <w:r>
        <w:t>4.4 Critical Heat Flux, Post-CHF Cooling, and Dry Core</w:t>
      </w:r>
      <w:bookmarkEnd w:id="26"/>
    </w:p>
    <w:p w14:paraId="3820F2E4" w14:textId="77777777" w:rsidR="000F504F" w:rsidRDefault="00406E9C">
      <w:pPr>
        <w:pStyle w:val="FirstParagraph"/>
      </w:pPr>
      <w:r>
        <w:t>Critical heat flux is evaluated to determine departure from nucleate boiling. The departure from nucleate boiling ratio is</w:t>
      </w:r>
    </w:p>
    <w:p w14:paraId="6312ECDE" w14:textId="77777777" w:rsidR="000F504F" w:rsidRDefault="00406E9C">
      <w:pPr>
        <w:pStyle w:val="BodyText"/>
      </w:pPr>
      <m:oMathPara>
        <m:oMathParaPr>
          <m:jc m:val="center"/>
        </m:oMathParaPr>
        <m:oMath>
          <m:r>
            <w:rPr>
              <w:rFonts w:ascii="Cambria Math" w:hAnsi="Cambria Math"/>
            </w:rPr>
            <m:t>DNBR</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CHF</m:t>
                  </m:r>
                </m:sub>
                <m:sup>
                  <m:r>
                    <m:rPr>
                      <m:sty m:val="p"/>
                    </m:rPr>
                    <w:rPr>
                      <w:rFonts w:ascii="Cambria Math" w:hAnsi="Cambria Math"/>
                    </w:rPr>
                    <m:t>''</m:t>
                  </m:r>
                </m:sup>
              </m:sSubSup>
            </m:num>
            <m:den>
              <m:sSubSup>
                <m:sSubSupPr>
                  <m:ctrlPr>
                    <w:rPr>
                      <w:rFonts w:ascii="Cambria Math" w:hAnsi="Cambria Math"/>
                    </w:rPr>
                  </m:ctrlPr>
                </m:sSubSupPr>
                <m:e>
                  <m:r>
                    <w:rPr>
                      <w:rFonts w:ascii="Cambria Math" w:hAnsi="Cambria Math"/>
                    </w:rPr>
                    <m:t>q</m:t>
                  </m:r>
                </m:e>
                <m:sub>
                  <m:r>
                    <w:rPr>
                      <w:rFonts w:ascii="Cambria Math" w:hAnsi="Cambria Math"/>
                    </w:rPr>
                    <m:t>h</m:t>
                  </m:r>
                  <m:r>
                    <w:rPr>
                      <w:rFonts w:ascii="Cambria Math" w:hAnsi="Cambria Math"/>
                    </w:rPr>
                    <m:t>ot</m:t>
                  </m:r>
                </m:sub>
                <m:sup>
                  <m:r>
                    <m:rPr>
                      <m:sty m:val="p"/>
                    </m:rPr>
                    <w:rPr>
                      <w:rFonts w:ascii="Cambria Math" w:hAnsi="Cambria Math"/>
                    </w:rPr>
                    <m:t>''</m:t>
                  </m:r>
                </m:sup>
              </m:sSub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4.21</m:t>
              </m:r>
            </m:e>
          </m:d>
        </m:oMath>
      </m:oMathPara>
    </w:p>
    <w:p w14:paraId="6815EAE5" w14:textId="77777777" w:rsidR="000F504F" w:rsidRDefault="00406E9C">
      <w:pPr>
        <w:pStyle w:val="FirstParagraph"/>
      </w:pPr>
      <w:r>
        <w:t>For numerical robustness, CHF is not evaluated below a minimum mass flux:</w:t>
      </w:r>
    </w:p>
    <w:p w14:paraId="2BE142C3" w14:textId="77777777" w:rsidR="000F504F" w:rsidRDefault="00406E9C">
      <w:pPr>
        <w:pStyle w:val="BodyText"/>
      </w:pPr>
      <m:oMathPara>
        <m:oMathParaPr>
          <m:jc m:val="center"/>
        </m:oMathParaPr>
        <m:oMath>
          <m:r>
            <w:rPr>
              <w:rFonts w:ascii="Cambria Math" w:hAnsi="Cambria Math"/>
            </w:rPr>
            <m:t>G</m:t>
          </m:r>
          <m:r>
            <m:rPr>
              <m:sty m:val="p"/>
            </m:rPr>
            <w:rPr>
              <w:rFonts w:ascii="Cambria Math" w:hAnsi="Cambria Math"/>
            </w:rPr>
            <m:t>&lt;</m:t>
          </m:r>
          <m:sSub>
            <m:sSubPr>
              <m:ctrlPr>
                <w:rPr>
                  <w:rFonts w:ascii="Cambria Math" w:hAnsi="Cambria Math"/>
                </w:rPr>
              </m:ctrlPr>
            </m:sSubPr>
            <m:e>
              <m:r>
                <w:rPr>
                  <w:rFonts w:ascii="Cambria Math" w:hAnsi="Cambria Math"/>
                </w:rPr>
                <m:t>G</m:t>
              </m:r>
            </m:e>
            <m:sub>
              <m:r>
                <w:rPr>
                  <w:rFonts w:ascii="Cambria Math" w:hAnsi="Cambria Math"/>
                </w:rPr>
                <m:t>min</m:t>
              </m:r>
            </m:sub>
          </m:sSub>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DNBR</m:t>
          </m:r>
          <m:r>
            <m:rPr>
              <m:sty m:val="p"/>
            </m:rPr>
            <w:rPr>
              <w:rFonts w:ascii="Cambria Math" w:hAnsi="Cambria Math"/>
            </w:rPr>
            <m:t>=NaN.</m:t>
          </m:r>
          <m:r>
            <w:rPr>
              <w:rFonts w:ascii="Cambria Math" w:hAnsi="Cambria Math"/>
            </w:rPr>
            <m:t>  </m:t>
          </m:r>
          <m:d>
            <m:dPr>
              <m:ctrlPr>
                <w:rPr>
                  <w:rFonts w:ascii="Cambria Math" w:hAnsi="Cambria Math"/>
                </w:rPr>
              </m:ctrlPr>
            </m:dPr>
            <m:e>
              <m:r>
                <w:rPr>
                  <w:rFonts w:ascii="Cambria Math" w:hAnsi="Cambria Math"/>
                </w:rPr>
                <m:t>4.22</m:t>
              </m:r>
            </m:e>
          </m:d>
        </m:oMath>
      </m:oMathPara>
    </w:p>
    <w:p w14:paraId="7BCAF812" w14:textId="77777777" w:rsidR="000F504F" w:rsidRDefault="00406E9C">
      <w:pPr>
        <w:pStyle w:val="FirstParagraph"/>
      </w:pPr>
      <w:r>
        <w:t>Film boiling is triggered when</w:t>
      </w:r>
    </w:p>
    <w:p w14:paraId="349BC473" w14:textId="77777777" w:rsidR="000F504F" w:rsidRDefault="00406E9C">
      <w:pPr>
        <w:pStyle w:val="BodyText"/>
      </w:pPr>
      <m:oMathPara>
        <m:oMathParaPr>
          <m:jc m:val="center"/>
        </m:oMathParaPr>
        <m:oMath>
          <m:r>
            <w:rPr>
              <w:rFonts w:ascii="Cambria Math" w:hAnsi="Cambria Math"/>
            </w:rPr>
            <m:t>DNBR</m:t>
          </m:r>
          <m:r>
            <m:rPr>
              <m:sty m:val="p"/>
            </m:rPr>
            <w:rPr>
              <w:rFonts w:ascii="Cambria Math" w:hAnsi="Cambria Math"/>
            </w:rPr>
            <m:t>&lt;</m:t>
          </m:r>
          <m:r>
            <w:rPr>
              <w:rFonts w:ascii="Cambria Math" w:hAnsi="Cambria Math"/>
            </w:rPr>
            <m:t>1 </m:t>
          </m:r>
          <m:r>
            <m:rPr>
              <m:sty m:val="p"/>
            </m:rPr>
            <w:rPr>
              <w:rFonts w:ascii="Cambria Math" w:hAnsi="Cambria Math"/>
            </w:rPr>
            <m:t>or</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clad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sat</m:t>
              </m:r>
            </m:sub>
          </m:sSub>
          <m:r>
            <m:rPr>
              <m:sty m:val="p"/>
            </m:rPr>
            <w:rPr>
              <w:rFonts w:ascii="Cambria Math" w:hAnsi="Cambria Math"/>
            </w:rPr>
            <m:t>&gt;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Leid</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4.23</m:t>
              </m:r>
            </m:e>
          </m:d>
        </m:oMath>
      </m:oMathPara>
    </w:p>
    <w:p w14:paraId="56CC37A2" w14:textId="77777777" w:rsidR="000F504F" w:rsidRDefault="00406E9C">
      <w:pPr>
        <w:pStyle w:val="FirstParagraph"/>
      </w:pPr>
      <w:r>
        <w:t>A simplified Bromley-type film-boiling model may be represented as</w:t>
      </w:r>
    </w:p>
    <w:p w14:paraId="737F231B"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FB</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v</m:t>
                          </m:r>
                        </m:sub>
                        <m:sup>
                          <m:r>
                            <w:rPr>
                              <w:rFonts w:ascii="Cambria Math" w:hAnsi="Cambria Math"/>
                            </w:rPr>
                            <m:t>3</m:t>
                          </m:r>
                        </m:sup>
                      </m:sSubSup>
                      <m:sSub>
                        <m:sSubPr>
                          <m:ctrlPr>
                            <w:rPr>
                              <w:rFonts w:ascii="Cambria Math" w:hAnsi="Cambria Math"/>
                            </w:rPr>
                          </m:ctrlPr>
                        </m:sSubPr>
                        <m:e>
                          <m:r>
                            <w:rPr>
                              <w:rFonts w:ascii="Cambria Math" w:hAnsi="Cambria Math"/>
                            </w:rPr>
                            <m:t>ρ</m:t>
                          </m:r>
                        </m:e>
                        <m:sub>
                          <m:r>
                            <w:rPr>
                              <w:rFonts w:ascii="Cambria Math" w:hAnsi="Cambria Math"/>
                            </w:rPr>
                            <m:t>v</m:t>
                          </m:r>
                        </m:sub>
                      </m:sSub>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e>
                      </m:d>
                      <m:r>
                        <w:rPr>
                          <w:rFonts w:ascii="Cambria Math" w:hAnsi="Cambria Math"/>
                        </w:rPr>
                        <m:t>g</m:t>
                      </m:r>
                      <m:sSubSup>
                        <m:sSubSupPr>
                          <m:ctrlPr>
                            <w:rPr>
                              <w:rFonts w:ascii="Cambria Math" w:hAnsi="Cambria Math"/>
                            </w:rPr>
                          </m:ctrlPr>
                        </m:sSubSupPr>
                        <m:e>
                          <m:r>
                            <w:rPr>
                              <w:rFonts w:ascii="Cambria Math" w:hAnsi="Cambria Math"/>
                            </w:rPr>
                            <m:t>h</m:t>
                          </m:r>
                        </m:e>
                        <m:sub>
                          <m:r>
                            <w:rPr>
                              <w:rFonts w:ascii="Cambria Math" w:hAnsi="Cambria Math"/>
                            </w:rPr>
                            <m:t>fg</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μ</m:t>
                          </m:r>
                        </m:e>
                        <m:sub>
                          <m:r>
                            <w:rPr>
                              <w:rFonts w:ascii="Cambria Math" w:hAnsi="Cambria Math"/>
                            </w:rPr>
                            <m:t>v</m:t>
                          </m:r>
                        </m:sub>
                      </m:sSub>
                      <m:sSub>
                        <m:sSubPr>
                          <m:ctrlPr>
                            <w:rPr>
                              <w:rFonts w:ascii="Cambria Math" w:hAnsi="Cambria Math"/>
                            </w:rPr>
                          </m:ctrlPr>
                        </m:sSubPr>
                        <m:e>
                          <m:r>
                            <w:rPr>
                              <w:rFonts w:ascii="Cambria Math" w:hAnsi="Cambria Math"/>
                            </w:rPr>
                            <m:t>D</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sat</m:t>
                              </m:r>
                            </m:sub>
                          </m:sSub>
                        </m:e>
                      </m:d>
                    </m:den>
                  </m:f>
                </m:e>
              </m:d>
            </m:e>
            <m:sup>
              <m:r>
                <w:rPr>
                  <w:rFonts w:ascii="Cambria Math" w:hAnsi="Cambria Math"/>
                </w:rPr>
                <m:t>1</m:t>
              </m:r>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4.24</m:t>
              </m:r>
            </m:e>
          </m:d>
        </m:oMath>
      </m:oMathPara>
    </w:p>
    <w:p w14:paraId="6F72BA2B" w14:textId="77777777" w:rsidR="000F504F" w:rsidRDefault="00406E9C">
      <w:pPr>
        <w:pStyle w:val="FirstParagraph"/>
      </w:pPr>
      <w:r>
        <w:t>In steam cooling, a separate steam Dittus-Boelter model is evaluated using saturated-vapor properties:</w:t>
      </w:r>
    </w:p>
    <w:p w14:paraId="1F5CEB1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steam</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50</m:t>
              </m:r>
              <m:r>
                <m:rPr>
                  <m:sty m:val="p"/>
                </m:rPr>
                <w:rPr>
                  <w:rFonts w:ascii="Cambria Math" w:hAnsi="Cambria Math"/>
                </w:rPr>
                <m:t>,</m:t>
              </m:r>
              <m:f>
                <m:fPr>
                  <m:ctrlPr>
                    <w:rPr>
                      <w:rFonts w:ascii="Cambria Math" w:hAnsi="Cambria Math"/>
                    </w:rPr>
                  </m:ctrlPr>
                </m:fPr>
                <m:num>
                  <m:r>
                    <w:rPr>
                      <w:rFonts w:ascii="Cambria Math" w:hAnsi="Cambria Math"/>
                    </w:rPr>
                    <m:t>0.023</m:t>
                  </m:r>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v</m:t>
                      </m:r>
                    </m:sub>
                    <m:sup>
                      <m:r>
                        <w:rPr>
                          <w:rFonts w:ascii="Cambria Math" w:hAnsi="Cambria Math"/>
                        </w:rPr>
                        <m:t>0.8</m:t>
                      </m:r>
                    </m:sup>
                  </m:sSubSup>
                  <m:r>
                    <w:rPr>
                      <w:rFonts w:ascii="Cambria Math" w:hAnsi="Cambria Math"/>
                    </w:rPr>
                    <m:t>P</m:t>
                  </m:r>
                  <m:sSubSup>
                    <m:sSubSupPr>
                      <m:ctrlPr>
                        <w:rPr>
                          <w:rFonts w:ascii="Cambria Math" w:hAnsi="Cambria Math"/>
                        </w:rPr>
                      </m:ctrlPr>
                    </m:sSubSupPr>
                    <m:e>
                      <m:r>
                        <w:rPr>
                          <w:rFonts w:ascii="Cambria Math" w:hAnsi="Cambria Math"/>
                        </w:rPr>
                        <m:t>r</m:t>
                      </m:r>
                    </m:e>
                    <m:sub>
                      <m:r>
                        <w:rPr>
                          <w:rFonts w:ascii="Cambria Math" w:hAnsi="Cambria Math"/>
                        </w:rPr>
                        <m:t>v</m:t>
                      </m:r>
                    </m:sub>
                    <m:sup>
                      <m:r>
                        <w:rPr>
                          <w:rFonts w:ascii="Cambria Math" w:hAnsi="Cambria Math"/>
                        </w:rPr>
                        <m:t>0.4</m:t>
                      </m:r>
                    </m:sup>
                  </m:sSubSup>
                  <m:sSub>
                    <m:sSubPr>
                      <m:ctrlPr>
                        <w:rPr>
                          <w:rFonts w:ascii="Cambria Math" w:hAnsi="Cambria Math"/>
                        </w:rPr>
                      </m:ctrlPr>
                    </m:sSubPr>
                    <m:e>
                      <m:r>
                        <w:rPr>
                          <w:rFonts w:ascii="Cambria Math" w:hAnsi="Cambria Math"/>
                        </w:rPr>
                        <m:t>k</m:t>
                      </m:r>
                    </m:e>
                    <m:sub>
                      <m:r>
                        <w:rPr>
                          <w:rFonts w:ascii="Cambria Math" w:hAnsi="Cambria Math"/>
                        </w:rPr>
                        <m:t>v</m:t>
                      </m:r>
                    </m:sub>
                  </m:sSub>
                </m:num>
                <m:den>
                  <m:sSub>
                    <m:sSubPr>
                      <m:ctrlPr>
                        <w:rPr>
                          <w:rFonts w:ascii="Cambria Math" w:hAnsi="Cambria Math"/>
                        </w:rPr>
                      </m:ctrlPr>
                    </m:sSubPr>
                    <m:e>
                      <m:r>
                        <w:rPr>
                          <w:rFonts w:ascii="Cambria Math" w:hAnsi="Cambria Math"/>
                        </w:rPr>
                        <m:t>D</m:t>
                      </m:r>
                    </m:e>
                    <m:sub>
                      <m:r>
                        <w:rPr>
                          <w:rFonts w:ascii="Cambria Math" w:hAnsi="Cambria Math"/>
                        </w:rPr>
                        <m:t>h</m:t>
                      </m:r>
                    </m:sub>
                  </m:sSub>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4.25</m:t>
              </m:r>
            </m:e>
          </m:d>
        </m:oMath>
      </m:oMathPara>
    </w:p>
    <w:p w14:paraId="4AB3F214" w14:textId="77777777" w:rsidR="000F504F" w:rsidRDefault="00406E9C">
      <w:pPr>
        <w:pStyle w:val="FirstParagraph"/>
      </w:pPr>
      <w:r>
        <w:t>When the collapsed vessel level falls below the dry-core trigger elevation, FLARE transitions to a dry-core heat-transfer model:</w:t>
      </w:r>
    </w:p>
    <w:p w14:paraId="745AB47E"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dry</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gas</m:t>
              </m:r>
            </m:sub>
          </m:sSub>
          <m:r>
            <m:rPr>
              <m:sty m:val="p"/>
            </m:rPr>
            <w:rPr>
              <w:rFonts w:ascii="Cambria Math" w:hAnsi="Cambria Math"/>
            </w:rPr>
            <m:t>+</m:t>
          </m:r>
          <m:r>
            <w:rPr>
              <w:rFonts w:ascii="Cambria Math" w:hAnsi="Cambria Math"/>
            </w:rPr>
            <m:t>εσ</m:t>
          </m:r>
          <m:f>
            <m:fPr>
              <m:ctrlPr>
                <w:rPr>
                  <w:rFonts w:ascii="Cambria Math" w:hAnsi="Cambria Math"/>
                </w:rPr>
              </m:ctrlPr>
            </m:fPr>
            <m:num>
              <m:sSubSup>
                <m:sSubSupPr>
                  <m:ctrlPr>
                    <w:rPr>
                      <w:rFonts w:ascii="Cambria Math" w:hAnsi="Cambria Math"/>
                    </w:rPr>
                  </m:ctrlPr>
                </m:sSubSupPr>
                <m:e>
                  <m:r>
                    <w:rPr>
                      <w:rFonts w:ascii="Cambria Math" w:hAnsi="Cambria Math"/>
                    </w:rPr>
                    <m:t>T</m:t>
                  </m:r>
                </m:e>
                <m:sub>
                  <m:r>
                    <w:rPr>
                      <w:rFonts w:ascii="Cambria Math" w:hAnsi="Cambria Math"/>
                    </w:rPr>
                    <m:t>clad</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gas</m:t>
                  </m:r>
                </m:sub>
                <m:sup>
                  <m:r>
                    <w:rPr>
                      <w:rFonts w:ascii="Cambria Math" w:hAnsi="Cambria Math"/>
                    </w:rPr>
                    <m:t>4</m:t>
                  </m:r>
                </m:sup>
              </m:sSubSup>
            </m:num>
            <m:den>
              <m:sSub>
                <m:sSubPr>
                  <m:ctrlPr>
                    <w:rPr>
                      <w:rFonts w:ascii="Cambria Math" w:hAnsi="Cambria Math"/>
                    </w:rPr>
                  </m:ctrlPr>
                </m:sSubPr>
                <m:e>
                  <m:r>
                    <w:rPr>
                      <w:rFonts w:ascii="Cambria Math" w:hAnsi="Cambria Math"/>
                    </w:rPr>
                    <m:t>T</m:t>
                  </m:r>
                </m:e>
                <m:sub>
                  <m:r>
                    <w:rPr>
                      <w:rFonts w:ascii="Cambria Math" w:hAnsi="Cambria Math"/>
                    </w:rPr>
                    <m:t>clad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gas</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4.26</m:t>
              </m:r>
            </m:e>
          </m:d>
        </m:oMath>
      </m:oMathPara>
    </w:p>
    <w:p w14:paraId="56CB2DB3" w14:textId="77777777" w:rsidR="000F504F" w:rsidRDefault="00406E9C">
      <w:pPr>
        <w:pStyle w:val="FirstParagraph"/>
      </w:pPr>
      <w:r>
        <w:t>This treatment is intentionally approximate. It prevents unrealistic continued nucleate-boiling cooling after core uncovery and provides a conservative trend for source-term and severe-event screening.</w:t>
      </w:r>
    </w:p>
    <w:p w14:paraId="4BA50378" w14:textId="77777777" w:rsidR="000F504F" w:rsidRDefault="00406E9C">
      <w:pPr>
        <w:pStyle w:val="Heading2"/>
        <w:keepNext/>
      </w:pPr>
      <w:bookmarkStart w:id="27" w:name="_Toc231232872"/>
      <w:r>
        <w:t>4.5 Zirconium Oxidation and Hydrogen Generation</w:t>
      </w:r>
      <w:bookmarkEnd w:id="27"/>
    </w:p>
    <w:p w14:paraId="1482EB76" w14:textId="77777777" w:rsidR="000F504F" w:rsidRDefault="00406E9C">
      <w:pPr>
        <w:pStyle w:val="FirstParagraph"/>
      </w:pPr>
      <w:r>
        <w:t>The Baker-Just oxidation correlation is integrated for the hot pin and for a core-wide rod population estimated to exceed the oxidation threshold. The parabolic law is</w:t>
      </w:r>
    </w:p>
    <w:p w14:paraId="7D8FD1AD"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dW</m:t>
              </m:r>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BJ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clad</m:t>
                      </m:r>
                    </m:sub>
                  </m:sSub>
                </m:e>
              </m:d>
            </m:num>
            <m:den>
              <m:r>
                <w:rPr>
                  <w:rFonts w:ascii="Cambria Math" w:hAnsi="Cambria Math"/>
                </w:rPr>
                <m:t>W</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4.27</m:t>
              </m:r>
            </m:e>
          </m:d>
        </m:oMath>
      </m:oMathPara>
    </w:p>
    <w:p w14:paraId="116BC273" w14:textId="77777777" w:rsidR="000F504F" w:rsidRDefault="00406E9C">
      <w:pPr>
        <w:pStyle w:val="FirstParagraph"/>
      </w:pPr>
      <w:r>
        <w:t xml:space="preserve">where </w:t>
      </w:r>
      <m:oMath>
        <m:r>
          <w:rPr>
            <w:rFonts w:ascii="Cambria Math" w:hAnsi="Cambria Math"/>
          </w:rPr>
          <m:t>W</m:t>
        </m:r>
      </m:oMath>
      <w:r>
        <w:t xml:space="preserve"> is the oxide areal weight gain. The equivalent cladding reacted fraction is calculated as</w:t>
      </w:r>
    </w:p>
    <w:p w14:paraId="6E0F7F21" w14:textId="77777777" w:rsidR="000F504F" w:rsidRDefault="00406E9C">
      <w:pPr>
        <w:pStyle w:val="BodyText"/>
      </w:pPr>
      <m:oMathPara>
        <m:oMathParaPr>
          <m:jc m:val="center"/>
        </m:oMathParaPr>
        <m:oMath>
          <m:r>
            <w:rPr>
              <w:rFonts w:ascii="Cambria Math" w:hAnsi="Cambria Math"/>
            </w:rPr>
            <m:t>ECR</m:t>
          </m:r>
          <m:r>
            <m:rPr>
              <m:sty m:val="p"/>
            </m:rPr>
            <w:rPr>
              <w:rFonts w:ascii="Cambria Math" w:hAnsi="Cambria Math"/>
            </w:rPr>
            <m:t>=</m:t>
          </m:r>
          <m:r>
            <w:rPr>
              <w:rFonts w:ascii="Cambria Math" w:hAnsi="Cambria Math"/>
            </w:rPr>
            <m:t>100</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Zr</m:t>
                  </m:r>
                  <m:r>
                    <m:rPr>
                      <m:sty m:val="p"/>
                    </m:rPr>
                    <w:rPr>
                      <w:rFonts w:ascii="Cambria Math" w:hAnsi="Cambria Math"/>
                    </w:rPr>
                    <m:t>,</m:t>
                  </m:r>
                  <m:r>
                    <w:rPr>
                      <w:rFonts w:ascii="Cambria Math" w:hAnsi="Cambria Math"/>
                    </w:rPr>
                    <m:t>oxidized</m:t>
                  </m:r>
                </m:sub>
              </m:sSub>
            </m:num>
            <m:den>
              <m:sSub>
                <m:sSubPr>
                  <m:ctrlPr>
                    <w:rPr>
                      <w:rFonts w:ascii="Cambria Math" w:hAnsi="Cambria Math"/>
                    </w:rPr>
                  </m:ctrlPr>
                </m:sSubPr>
                <m:e>
                  <m:r>
                    <w:rPr>
                      <w:rFonts w:ascii="Cambria Math" w:hAnsi="Cambria Math"/>
                    </w:rPr>
                    <m:t>m</m:t>
                  </m:r>
                </m:e>
                <m:sub>
                  <m:r>
                    <w:rPr>
                      <w:rFonts w:ascii="Cambria Math" w:hAnsi="Cambria Math"/>
                    </w:rPr>
                    <m:t>Zr</m:t>
                  </m:r>
                  <m:r>
                    <m:rPr>
                      <m:sty m:val="p"/>
                    </m:rPr>
                    <w:rPr>
                      <w:rFonts w:ascii="Cambria Math" w:hAnsi="Cambria Math"/>
                    </w:rPr>
                    <m:t>,</m:t>
                  </m:r>
                  <m:r>
                    <w:rPr>
                      <w:rFonts w:ascii="Cambria Math" w:hAnsi="Cambria Math"/>
                    </w:rPr>
                    <m:t>initial</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4.28</m:t>
              </m:r>
            </m:e>
          </m:d>
        </m:oMath>
      </m:oMathPara>
    </w:p>
    <w:p w14:paraId="638D0E85" w14:textId="77777777" w:rsidR="000F504F" w:rsidRDefault="00406E9C">
      <w:pPr>
        <w:pStyle w:val="FirstParagraph"/>
      </w:pPr>
      <w:r>
        <w:t>The hydrogen generation is based on the zirconium-steam reaction</w:t>
      </w:r>
    </w:p>
    <w:p w14:paraId="3572F622" w14:textId="77777777" w:rsidR="000F504F" w:rsidRDefault="00406E9C">
      <w:pPr>
        <w:pStyle w:val="BodyText"/>
      </w:pPr>
      <m:oMathPara>
        <m:oMathParaPr>
          <m:jc m:val="center"/>
        </m:oMathParaPr>
        <m:oMath>
          <m:r>
            <w:rPr>
              <w:rFonts w:ascii="Cambria Math" w:hAnsi="Cambria Math"/>
            </w:rPr>
            <m:t>Zr</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r>
            <m:rPr>
              <m:sty m:val="p"/>
            </m:rPr>
            <w:rPr>
              <w:rFonts w:ascii="Cambria Math" w:hAnsi="Cambria Math"/>
            </w:rPr>
            <m:t>→</m:t>
          </m:r>
          <m:r>
            <w:rPr>
              <w:rFonts w:ascii="Cambria Math" w:hAnsi="Cambria Math"/>
            </w:rPr>
            <m:t>Zr</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4.29</m:t>
              </m:r>
            </m:e>
          </m:d>
        </m:oMath>
      </m:oMathPara>
    </w:p>
    <w:p w14:paraId="16594CD2" w14:textId="77777777" w:rsidR="000F504F" w:rsidRDefault="00406E9C">
      <w:pPr>
        <w:pStyle w:val="FirstParagraph"/>
      </w:pPr>
      <w:r>
        <w:t xml:space="preserve">For a reacted zirconium mass </w:t>
      </w:r>
      <m:oMath>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Zr</m:t>
            </m:r>
          </m:sub>
        </m:sSub>
      </m:oMath>
      <w:r>
        <w:t>,</w:t>
      </w:r>
    </w:p>
    <w:p w14:paraId="7AE4DF4A" w14:textId="77777777" w:rsidR="000F504F" w:rsidRDefault="00406E9C">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Zr</m:t>
              </m:r>
            </m:sub>
          </m:sSub>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num>
            <m:den>
              <m:sSub>
                <m:sSubPr>
                  <m:ctrlPr>
                    <w:rPr>
                      <w:rFonts w:ascii="Cambria Math" w:hAnsi="Cambria Math"/>
                    </w:rPr>
                  </m:ctrlPr>
                </m:sSubPr>
                <m:e>
                  <m:r>
                    <w:rPr>
                      <w:rFonts w:ascii="Cambria Math" w:hAnsi="Cambria Math"/>
                    </w:rPr>
                    <m:t>M</m:t>
                  </m:r>
                </m:e>
                <m:sub>
                  <m:r>
                    <w:rPr>
                      <w:rFonts w:ascii="Cambria Math" w:hAnsi="Cambria Math"/>
                    </w:rPr>
                    <m:t>Zr</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4.30</m:t>
              </m:r>
            </m:e>
          </m:d>
        </m:oMath>
      </m:oMathPara>
    </w:p>
    <w:p w14:paraId="39571344" w14:textId="77777777" w:rsidR="000F504F" w:rsidRDefault="00406E9C">
      <w:pPr>
        <w:pStyle w:val="FirstParagraph"/>
      </w:pPr>
      <w:r>
        <w:t>Core-wide hydrogen generation is then</w:t>
      </w:r>
    </w:p>
    <w:p w14:paraId="5C8AFB6E"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core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4.31</m:t>
              </m:r>
            </m:e>
          </m:d>
        </m:oMath>
      </m:oMathPara>
    </w:p>
    <w:p w14:paraId="5ADCA218" w14:textId="77777777" w:rsidR="000F504F" w:rsidRDefault="00406E9C">
      <w:pPr>
        <w:pStyle w:val="FirstParagraph"/>
      </w:pPr>
      <w:r>
        <w:t>where the summation is over the estimated population of rods above the oxidation temperature threshold.</w:t>
      </w:r>
    </w:p>
    <w:p w14:paraId="4F7DE90C" w14:textId="77777777" w:rsidR="00C17023" w:rsidRDefault="00C17023" w:rsidP="00C17023">
      <w:pPr>
        <w:pStyle w:val="Heading1"/>
        <w:keepNext/>
      </w:pPr>
      <w:bookmarkStart w:id="28" w:name="_Toc231232873"/>
      <w:r>
        <w:t>4.6 Statistical Rod-State Model, Hot Pin, and Mean Oxidizing Rod</w:t>
      </w:r>
      <w:bookmarkEnd w:id="28"/>
    </w:p>
    <w:p w14:paraId="2C6263B4" w14:textId="77777777" w:rsidR="00C17023" w:rsidRDefault="00C17023" w:rsidP="00C17023">
      <w:pPr>
        <w:pStyle w:val="FirstParagraph"/>
      </w:pPr>
      <w:r>
        <w:t>FLARE is a lumped-parameter core model. The reactor coolant system is represented by a single thermal-hydraulic control volume, and the core-average fuel and cladding response is calculated from the integrated core power, coolant inventory, coolant enthalpy, and heat-transfer state. This representation is appropriate for rapid system-level accident screening, but it does not explicitly resolve the rod-by-rod or axial distribution of fuel-rod thermal conditions. To estimate regulatory figures-of-merit that depend on local fuel-rod conditions, FLARE supplements the lumped-parameter model with a statistical rod-state reconstruction based on local power peaking parameters.</w:t>
      </w:r>
    </w:p>
    <w:p w14:paraId="5597AAE9" w14:textId="77777777" w:rsidR="00C17023" w:rsidRDefault="00C17023" w:rsidP="00C17023">
      <w:pPr>
        <w:pStyle w:val="BodyText"/>
      </w:pPr>
      <w:r>
        <w:t>The purpose of the statistical rod-state model is to translate a single mean core thermal response into a distribution of representative rod responses. This distribution is then used to define and track the hot pin, the failed-rod fraction, and the mean oxidizing rod. These derived rod states provide the bridge between the lumped-parameter core calculation and figures-of-merit such as peak cladding temperature, equivalent cladding reacted fraction, hydrogen generation, gap release, early in-vessel release, and severe-event source-term escalation.</w:t>
      </w:r>
    </w:p>
    <w:p w14:paraId="3684812A" w14:textId="77777777" w:rsidR="00C17023" w:rsidRDefault="00C17023" w:rsidP="00C17023">
      <w:pPr>
        <w:pStyle w:val="BodyText"/>
      </w:pPr>
      <w:r>
        <w:t>The model is not a substitute for detailed subchannel or fuel-performance analysis. Rather, it is a reduced-order reconstruction intended to preserve the principal effect of power peaking on fuel and cladding response while retaining the computational simplicity of the FLARE system model.</w:t>
      </w:r>
    </w:p>
    <w:p w14:paraId="145BFDE7" w14:textId="77777777" w:rsidR="00C17023" w:rsidRDefault="00C17023" w:rsidP="00C17023">
      <w:pPr>
        <w:pStyle w:val="Heading2"/>
        <w:keepNext/>
      </w:pPr>
      <w:bookmarkStart w:id="29" w:name="_Toc231232874"/>
      <w:r>
        <w:lastRenderedPageBreak/>
        <w:t>4.6.1 Rod-State Reconstruction from a Lumped-Parameter Core</w:t>
      </w:r>
      <w:bookmarkEnd w:id="29"/>
    </w:p>
    <w:p w14:paraId="282851FF" w14:textId="77777777" w:rsidR="00C17023" w:rsidRDefault="00C17023" w:rsidP="00C17023">
      <w:pPr>
        <w:pStyle w:val="FirstParagraph"/>
      </w:pPr>
      <w:r>
        <w:t xml:space="preserve">Let </w:t>
      </w:r>
      <m:oMath>
        <m:sSub>
          <m:sSubPr>
            <m:ctrlPr>
              <w:rPr>
                <w:rFonts w:ascii="Cambria Math" w:hAnsi="Cambria Math"/>
              </w:rPr>
            </m:ctrlPr>
          </m:sSubPr>
          <m:e>
            <m:r>
              <w:rPr>
                <w:rFonts w:ascii="Cambria Math" w:hAnsi="Cambria Math"/>
              </w:rPr>
              <m:t>N</m:t>
            </m:r>
          </m:e>
          <m:sub>
            <m:r>
              <m:rPr>
                <m:sty m:val="p"/>
              </m:rPr>
              <w:rPr>
                <w:rFonts w:ascii="Cambria Math" w:hAnsi="Cambria Math"/>
              </w:rPr>
              <m:t>rod</m:t>
            </m:r>
          </m:sub>
        </m:sSub>
      </m:oMath>
      <w:r>
        <w:t xml:space="preserve"> be the total number of fuel rods in the modeled core. The lumped-parameter core model computes a mean thermal response associated with the core-average power. The core-average linear heat rate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00"/>
        <w:gridCol w:w="1200"/>
      </w:tblGrid>
      <w:tr w:rsidR="00C17023" w14:paraId="78BAF771" w14:textId="77777777" w:rsidTr="00104431">
        <w:trPr>
          <w:cnfStyle w:val="100000000000" w:firstRow="1" w:lastRow="0" w:firstColumn="0" w:lastColumn="0" w:oddVBand="0" w:evenVBand="0" w:oddHBand="0" w:evenHBand="0" w:firstRowFirstColumn="0" w:firstRowLastColumn="0" w:lastRowFirstColumn="0" w:lastRowLastColumn="0"/>
          <w:trHeight w:val="765"/>
          <w:jc w:val="center"/>
        </w:trPr>
        <w:tc>
          <w:tcPr>
            <w:tcW w:w="8200" w:type="dxa"/>
            <w:tcBorders>
              <w:top w:val="nil"/>
              <w:left w:val="nil"/>
              <w:bottom w:val="nil"/>
              <w:right w:val="nil"/>
            </w:tcBorders>
            <w:vAlign w:val="center"/>
          </w:tcPr>
          <w:p w14:paraId="2DDE7DA1" w14:textId="77777777" w:rsidR="00C17023" w:rsidRPr="001711CA" w:rsidRDefault="00406E9C" w:rsidP="00104431">
            <w:pPr>
              <w:pStyle w:val="BodyText"/>
              <w:spacing w:before="0" w:after="0"/>
              <w:rPr>
                <w:rFonts w:eastAsiaTheme="minorEastAsia"/>
              </w:rPr>
            </w:pPr>
            <m:oMathPara>
              <m:oMath>
                <m:acc>
                  <m:accPr>
                    <m:chr m:val="‾"/>
                    <m:ctrlPr>
                      <w:rPr>
                        <w:rFonts w:ascii="Cambria Math" w:hAnsi="Cambria Math"/>
                      </w:rPr>
                    </m:ctrlPr>
                  </m:accPr>
                  <m:e>
                    <m:r>
                      <w:rPr>
                        <w:rFonts w:ascii="Cambria Math" w:hAnsi="Cambria Math"/>
                      </w:rPr>
                      <m:t>q</m:t>
                    </m:r>
                  </m:e>
                </m:acc>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core</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N</m:t>
                        </m:r>
                      </m:e>
                      <m:sub>
                        <m:r>
                          <m:rPr>
                            <m:sty m:val="p"/>
                          </m:rPr>
                          <w:rPr>
                            <w:rFonts w:ascii="Cambria Math" w:hAnsi="Cambria Math"/>
                          </w:rPr>
                          <m:t>rod</m:t>
                        </m:r>
                      </m:sub>
                    </m:sSub>
                    <m:sSub>
                      <m:sSubPr>
                        <m:ctrlPr>
                          <w:rPr>
                            <w:rFonts w:ascii="Cambria Math" w:hAnsi="Cambria Math"/>
                          </w:rPr>
                        </m:ctrlPr>
                      </m:sSubPr>
                      <m:e>
                        <m:r>
                          <w:rPr>
                            <w:rFonts w:ascii="Cambria Math" w:hAnsi="Cambria Math"/>
                          </w:rPr>
                          <m:t>L</m:t>
                        </m:r>
                      </m:e>
                      <m:sub>
                        <m:r>
                          <m:rPr>
                            <m:sty m:val="p"/>
                          </m:rPr>
                          <w:rPr>
                            <w:rFonts w:ascii="Cambria Math" w:hAnsi="Cambria Math"/>
                          </w:rPr>
                          <m:t>heated</m:t>
                        </m:r>
                      </m:sub>
                    </m:sSub>
                  </m:den>
                </m:f>
              </m:oMath>
            </m:oMathPara>
          </w:p>
        </w:tc>
        <w:tc>
          <w:tcPr>
            <w:tcW w:w="1200" w:type="dxa"/>
            <w:tcBorders>
              <w:left w:val="nil"/>
            </w:tcBorders>
            <w:vAlign w:val="center"/>
          </w:tcPr>
          <w:p w14:paraId="4B8642BC" w14:textId="77777777" w:rsidR="00C17023" w:rsidRDefault="00C17023" w:rsidP="00104431">
            <w:pPr>
              <w:spacing w:after="0"/>
              <w:jc w:val="right"/>
            </w:pPr>
            <w:r>
              <w:t>(4.6-1)</w:t>
            </w:r>
          </w:p>
        </w:tc>
      </w:tr>
    </w:tbl>
    <w:p w14:paraId="37B39F64" w14:textId="77777777" w:rsidR="00C17023" w:rsidRDefault="00C17023" w:rsidP="00C17023">
      <w:pPr>
        <w:pStyle w:val="FirstParagraph"/>
      </w:pPr>
      <w:r>
        <w:t xml:space="preserve">where </w:t>
      </w:r>
      <m:oMath>
        <m:sSub>
          <m:sSubPr>
            <m:ctrlPr>
              <w:rPr>
                <w:rFonts w:ascii="Cambria Math" w:hAnsi="Cambria Math"/>
              </w:rPr>
            </m:ctrlPr>
          </m:sSubPr>
          <m:e>
            <m:r>
              <w:rPr>
                <w:rFonts w:ascii="Cambria Math" w:hAnsi="Cambria Math"/>
              </w:rPr>
              <m:t>Q</m:t>
            </m:r>
          </m:e>
          <m:sub>
            <m:r>
              <m:rPr>
                <m:sty m:val="p"/>
              </m:rPr>
              <w:rPr>
                <w:rFonts w:ascii="Cambria Math" w:hAnsi="Cambria Math"/>
              </w:rPr>
              <m:t>core</m:t>
            </m:r>
          </m:sub>
        </m:sSub>
        <m:d>
          <m:dPr>
            <m:ctrlPr>
              <w:rPr>
                <w:rFonts w:ascii="Cambria Math" w:hAnsi="Cambria Math"/>
              </w:rPr>
            </m:ctrlPr>
          </m:dPr>
          <m:e>
            <m:r>
              <w:rPr>
                <w:rFonts w:ascii="Cambria Math" w:hAnsi="Cambria Math"/>
              </w:rPr>
              <m:t>t</m:t>
            </m:r>
          </m:e>
        </m:d>
      </m:oMath>
      <w:r>
        <w:t xml:space="preserve"> is the total core thermal power and </w:t>
      </w:r>
      <m:oMath>
        <m:sSub>
          <m:sSubPr>
            <m:ctrlPr>
              <w:rPr>
                <w:rFonts w:ascii="Cambria Math" w:hAnsi="Cambria Math"/>
              </w:rPr>
            </m:ctrlPr>
          </m:sSubPr>
          <m:e>
            <m:r>
              <w:rPr>
                <w:rFonts w:ascii="Cambria Math" w:hAnsi="Cambria Math"/>
              </w:rPr>
              <m:t>L</m:t>
            </m:r>
          </m:e>
          <m:sub>
            <m:r>
              <m:rPr>
                <m:sty m:val="p"/>
              </m:rPr>
              <w:rPr>
                <w:rFonts w:ascii="Cambria Math" w:hAnsi="Cambria Math"/>
              </w:rPr>
              <m:t>heated</m:t>
            </m:r>
          </m:sub>
        </m:sSub>
      </m:oMath>
      <w:r>
        <w:t xml:space="preserve"> is the active heated length. Local rod power is represented by a dimensionless rod peaking multiplier </w:t>
      </w:r>
      <m:oMath>
        <m:r>
          <w:rPr>
            <w:rFonts w:ascii="Cambria Math" w:hAnsi="Cambria Math"/>
          </w:rPr>
          <m:t>F</m:t>
        </m:r>
      </m:oMath>
      <w:r>
        <w:t>, such that the local rod linear heat rate is</w:t>
      </w:r>
    </w:p>
    <w:tbl>
      <w:tblPr>
        <w:tblStyle w:val="Table"/>
        <w:tblW w:w="0" w:type="auto"/>
        <w:jc w:val="center"/>
        <w:tblLayout w:type="fixed"/>
        <w:tblLook w:val="04A0" w:firstRow="1" w:lastRow="0" w:firstColumn="1" w:lastColumn="0" w:noHBand="0" w:noVBand="1"/>
      </w:tblPr>
      <w:tblGrid>
        <w:gridCol w:w="8200"/>
        <w:gridCol w:w="1200"/>
      </w:tblGrid>
      <w:tr w:rsidR="00C17023" w14:paraId="2798BD41" w14:textId="77777777" w:rsidTr="00104431">
        <w:trPr>
          <w:cnfStyle w:val="100000000000" w:firstRow="1" w:lastRow="0" w:firstColumn="0" w:lastColumn="0" w:oddVBand="0" w:evenVBand="0" w:oddHBand="0" w:evenHBand="0" w:firstRowFirstColumn="0" w:firstRowLastColumn="0" w:lastRowFirstColumn="0" w:lastRowLastColumn="0"/>
          <w:trHeight w:val="333"/>
          <w:jc w:val="center"/>
        </w:trPr>
        <w:tc>
          <w:tcPr>
            <w:tcW w:w="8200" w:type="dxa"/>
            <w:tcBorders>
              <w:bottom w:val="none" w:sz="0" w:space="0" w:color="auto"/>
            </w:tcBorders>
            <w:vAlign w:val="center"/>
          </w:tcPr>
          <w:p w14:paraId="00F68431" w14:textId="77777777" w:rsidR="00C17023" w:rsidRDefault="00C17023" w:rsidP="00104431">
            <w:pPr>
              <w:pStyle w:val="BodyText"/>
              <w:spacing w:before="0" w:after="0"/>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w:rPr>
                    <w:rFonts w:ascii="Cambria Math" w:hAnsi="Cambria Math"/>
                  </w:rPr>
                  <m:t> </m:t>
                </m:r>
                <m:acc>
                  <m:accPr>
                    <m:chr m:val="‾"/>
                    <m:ctrlPr>
                      <w:rPr>
                        <w:rFonts w:ascii="Cambria Math" w:hAnsi="Cambria Math"/>
                      </w:rPr>
                    </m:ctrlPr>
                  </m:accPr>
                  <m:e>
                    <m:r>
                      <w:rPr>
                        <w:rFonts w:ascii="Cambria Math" w:hAnsi="Cambria Math"/>
                      </w:rPr>
                      <m:t>q</m:t>
                    </m:r>
                  </m:e>
                </m:acc>
                <m:r>
                  <m:rPr>
                    <m:sty m:val="p"/>
                  </m:rPr>
                  <w:rPr>
                    <w:rFonts w:ascii="Cambria Math" w:hAnsi="Cambria Math"/>
                  </w:rPr>
                  <m:t>'</m:t>
                </m:r>
                <m:d>
                  <m:dPr>
                    <m:ctrlPr>
                      <w:rPr>
                        <w:rFonts w:ascii="Cambria Math" w:hAnsi="Cambria Math"/>
                      </w:rPr>
                    </m:ctrlPr>
                  </m:dPr>
                  <m:e>
                    <m:r>
                      <w:rPr>
                        <w:rFonts w:ascii="Cambria Math" w:hAnsi="Cambria Math"/>
                      </w:rPr>
                      <m:t>t</m:t>
                    </m:r>
                  </m:e>
                </m:d>
              </m:oMath>
            </m:oMathPara>
          </w:p>
        </w:tc>
        <w:tc>
          <w:tcPr>
            <w:tcW w:w="1200" w:type="dxa"/>
            <w:tcBorders>
              <w:bottom w:val="none" w:sz="0" w:space="0" w:color="auto"/>
            </w:tcBorders>
            <w:vAlign w:val="center"/>
          </w:tcPr>
          <w:p w14:paraId="0C39FC82" w14:textId="77777777" w:rsidR="00C17023" w:rsidRDefault="00C17023" w:rsidP="00104431">
            <w:pPr>
              <w:spacing w:after="0"/>
              <w:jc w:val="right"/>
            </w:pPr>
            <w:r>
              <w:t>(4.6-2)</w:t>
            </w:r>
          </w:p>
        </w:tc>
      </w:tr>
    </w:tbl>
    <w:p w14:paraId="29A1242B" w14:textId="77777777" w:rsidR="00C17023" w:rsidRDefault="00C17023" w:rsidP="00C17023">
      <w:pPr>
        <w:pStyle w:val="FirstParagraph"/>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oMath>
      <w:r>
        <w:t xml:space="preserve"> denotes the statistical rod-state multiplier, not to be confused with the user-input radial peaking factor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The distribution of </w:t>
      </w:r>
      <m:oMath>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oMath>
      <w:r>
        <w:t xml:space="preserve"> is constructed so that the population mean is unity,</w:t>
      </w:r>
    </w:p>
    <w:tbl>
      <w:tblPr>
        <w:tblStyle w:val="Table"/>
        <w:tblW w:w="0" w:type="auto"/>
        <w:jc w:val="center"/>
        <w:tblLayout w:type="fixed"/>
        <w:tblLook w:val="04A0" w:firstRow="1" w:lastRow="0" w:firstColumn="1" w:lastColumn="0" w:noHBand="0" w:noVBand="1"/>
      </w:tblPr>
      <w:tblGrid>
        <w:gridCol w:w="8200"/>
        <w:gridCol w:w="1200"/>
      </w:tblGrid>
      <w:tr w:rsidR="00C17023" w14:paraId="1341D953" w14:textId="77777777" w:rsidTr="00104431">
        <w:trPr>
          <w:cnfStyle w:val="100000000000" w:firstRow="1" w:lastRow="0" w:firstColumn="0" w:lastColumn="0" w:oddVBand="0" w:evenVBand="0" w:oddHBand="0" w:evenHBand="0" w:firstRowFirstColumn="0" w:firstRowLastColumn="0" w:lastRowFirstColumn="0" w:lastRowLastColumn="0"/>
          <w:trHeight w:val="405"/>
          <w:jc w:val="center"/>
        </w:trPr>
        <w:tc>
          <w:tcPr>
            <w:tcW w:w="8200" w:type="dxa"/>
            <w:tcBorders>
              <w:bottom w:val="none" w:sz="0" w:space="0" w:color="auto"/>
            </w:tcBorders>
            <w:vAlign w:val="center"/>
          </w:tcPr>
          <w:p w14:paraId="25F554A3" w14:textId="77777777" w:rsidR="00C17023" w:rsidRDefault="00C17023" w:rsidP="00104431">
            <w:pPr>
              <w:pStyle w:val="BodyText"/>
              <w:spacing w:before="0" w:after="0"/>
            </w:pPr>
            <m:oMathPara>
              <m:oMathParaPr>
                <m:jc m:val="center"/>
              </m:oMathParaPr>
              <m:oMath>
                <m: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e>
                </m:d>
                <m:r>
                  <m:rPr>
                    <m:sty m:val="p"/>
                  </m:rPr>
                  <w:rPr>
                    <w:rFonts w:ascii="Cambria Math" w:hAnsi="Cambria Math"/>
                  </w:rPr>
                  <m:t>=</m:t>
                </m:r>
                <m:r>
                  <w:rPr>
                    <w:rFonts w:ascii="Cambria Math" w:hAnsi="Cambria Math"/>
                  </w:rPr>
                  <m:t>1</m:t>
                </m:r>
              </m:oMath>
            </m:oMathPara>
          </w:p>
        </w:tc>
        <w:tc>
          <w:tcPr>
            <w:tcW w:w="1200" w:type="dxa"/>
            <w:tcBorders>
              <w:bottom w:val="none" w:sz="0" w:space="0" w:color="auto"/>
            </w:tcBorders>
            <w:vAlign w:val="center"/>
          </w:tcPr>
          <w:p w14:paraId="4FBCA63A" w14:textId="77777777" w:rsidR="00C17023" w:rsidRDefault="00C17023" w:rsidP="00104431">
            <w:pPr>
              <w:spacing w:after="0"/>
              <w:jc w:val="right"/>
            </w:pPr>
            <w:r>
              <w:t>(4.6-3)</w:t>
            </w:r>
          </w:p>
        </w:tc>
      </w:tr>
    </w:tbl>
    <w:p w14:paraId="603B03A4" w14:textId="77777777" w:rsidR="00C17023" w:rsidRDefault="00C17023" w:rsidP="00C17023">
      <w:pPr>
        <w:pStyle w:val="FirstParagraph"/>
      </w:pPr>
      <w:r>
        <w:t>and the upper tail is consistent with the user-specified local peaking inputs.</w:t>
      </w:r>
    </w:p>
    <w:p w14:paraId="53079726" w14:textId="77777777" w:rsidR="00C17023" w:rsidRDefault="00C17023" w:rsidP="00C17023">
      <w:pPr>
        <w:pStyle w:val="BodyText"/>
      </w:pPr>
      <w:r>
        <w:t xml:space="preserve">The user-input peaking factors </w:t>
      </w:r>
      <m:oMath>
        <m:sSub>
          <m:sSubPr>
            <m:ctrlPr>
              <w:rPr>
                <w:rFonts w:ascii="Cambria Math" w:hAnsi="Cambria Math"/>
              </w:rPr>
            </m:ctrlPr>
          </m:sSubPr>
          <m:e>
            <m:r>
              <w:rPr>
                <w:rFonts w:ascii="Cambria Math" w:hAnsi="Cambria Math"/>
              </w:rPr>
              <m:t>F</m:t>
            </m:r>
          </m:e>
          <m:sub>
            <m:r>
              <w:rPr>
                <w:rFonts w:ascii="Cambria Math" w:hAnsi="Cambria Math"/>
              </w:rPr>
              <m:t>r</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z</m:t>
            </m:r>
          </m:sub>
        </m:sSub>
      </m:oMath>
      <w:r>
        <w:t xml:space="preserve"> are interpreted as the radial and axial multipliers needed to estimate the limiting local rod condition. The composite hot-pin peaking factor is</w:t>
      </w:r>
    </w:p>
    <w:tbl>
      <w:tblPr>
        <w:tblStyle w:val="Table"/>
        <w:tblW w:w="0" w:type="auto"/>
        <w:jc w:val="center"/>
        <w:tblLayout w:type="fixed"/>
        <w:tblLook w:val="04A0" w:firstRow="1" w:lastRow="0" w:firstColumn="1" w:lastColumn="0" w:noHBand="0" w:noVBand="1"/>
      </w:tblPr>
      <w:tblGrid>
        <w:gridCol w:w="8200"/>
        <w:gridCol w:w="1200"/>
      </w:tblGrid>
      <w:tr w:rsidR="00C17023" w14:paraId="357DBC62" w14:textId="77777777" w:rsidTr="00104431">
        <w:trPr>
          <w:cnfStyle w:val="100000000000" w:firstRow="1" w:lastRow="0" w:firstColumn="0" w:lastColumn="0" w:oddVBand="0" w:evenVBand="0" w:oddHBand="0" w:evenHBand="0" w:firstRowFirstColumn="0" w:firstRowLastColumn="0" w:lastRowFirstColumn="0" w:lastRowLastColumn="0"/>
          <w:trHeight w:val="423"/>
          <w:jc w:val="center"/>
        </w:trPr>
        <w:tc>
          <w:tcPr>
            <w:tcW w:w="8200" w:type="dxa"/>
            <w:tcBorders>
              <w:bottom w:val="none" w:sz="0" w:space="0" w:color="auto"/>
            </w:tcBorders>
            <w:vAlign w:val="center"/>
          </w:tcPr>
          <w:p w14:paraId="653E6E36"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hot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sSub>
                  <m:sSubPr>
                    <m:ctrlPr>
                      <w:rPr>
                        <w:rFonts w:ascii="Cambria Math" w:hAnsi="Cambria Math"/>
                      </w:rPr>
                    </m:ctrlPr>
                  </m:sSubPr>
                  <m:e>
                    <m:r>
                      <w:rPr>
                        <w:rFonts w:ascii="Cambria Math" w:hAnsi="Cambria Math"/>
                      </w:rPr>
                      <m:t>F</m:t>
                    </m:r>
                  </m:e>
                  <m:sub>
                    <m:r>
                      <w:rPr>
                        <w:rFonts w:ascii="Cambria Math" w:hAnsi="Cambria Math"/>
                      </w:rPr>
                      <m:t>z</m:t>
                    </m:r>
                  </m:sub>
                </m:sSub>
              </m:oMath>
            </m:oMathPara>
          </w:p>
        </w:tc>
        <w:tc>
          <w:tcPr>
            <w:tcW w:w="1200" w:type="dxa"/>
            <w:tcBorders>
              <w:bottom w:val="none" w:sz="0" w:space="0" w:color="auto"/>
            </w:tcBorders>
            <w:vAlign w:val="center"/>
          </w:tcPr>
          <w:p w14:paraId="2716EC8E" w14:textId="77777777" w:rsidR="00C17023" w:rsidRDefault="00C17023" w:rsidP="00104431">
            <w:pPr>
              <w:spacing w:after="0"/>
              <w:jc w:val="right"/>
            </w:pPr>
            <w:r>
              <w:t>(4.6-4)</w:t>
            </w:r>
          </w:p>
        </w:tc>
      </w:tr>
    </w:tbl>
    <w:p w14:paraId="33B0C94E" w14:textId="77777777" w:rsidR="00C17023" w:rsidRDefault="00C17023" w:rsidP="00C17023">
      <w:pPr>
        <w:pStyle w:val="FirstParagraph"/>
      </w:pPr>
      <w:r>
        <w:t>and the hot-pin linear heat rate is</w:t>
      </w:r>
    </w:p>
    <w:tbl>
      <w:tblPr>
        <w:tblStyle w:val="Table"/>
        <w:tblW w:w="0" w:type="auto"/>
        <w:jc w:val="center"/>
        <w:tblLayout w:type="fixed"/>
        <w:tblLook w:val="04A0" w:firstRow="1" w:lastRow="0" w:firstColumn="1" w:lastColumn="0" w:noHBand="0" w:noVBand="1"/>
      </w:tblPr>
      <w:tblGrid>
        <w:gridCol w:w="8200"/>
        <w:gridCol w:w="1200"/>
      </w:tblGrid>
      <w:tr w:rsidR="00C17023" w14:paraId="2139EDF6" w14:textId="77777777" w:rsidTr="00104431">
        <w:trPr>
          <w:cnfStyle w:val="100000000000" w:firstRow="1" w:lastRow="0" w:firstColumn="0" w:lastColumn="0" w:oddVBand="0" w:evenVBand="0" w:oddHBand="0" w:evenHBand="0" w:firstRowFirstColumn="0" w:firstRowLastColumn="0" w:lastRowFirstColumn="0" w:lastRowLastColumn="0"/>
          <w:trHeight w:val="360"/>
          <w:jc w:val="center"/>
        </w:trPr>
        <w:tc>
          <w:tcPr>
            <w:tcW w:w="8200" w:type="dxa"/>
            <w:tcBorders>
              <w:bottom w:val="none" w:sz="0" w:space="0" w:color="auto"/>
            </w:tcBorders>
            <w:vAlign w:val="center"/>
          </w:tcPr>
          <w:p w14:paraId="202776AD" w14:textId="77777777" w:rsidR="00C17023" w:rsidRDefault="00C17023" w:rsidP="00104431">
            <w:pPr>
              <w:pStyle w:val="BodyText"/>
              <w:spacing w:before="0" w:after="0"/>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hot</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hot</m:t>
                    </m:r>
                  </m:sub>
                </m:sSub>
                <m:acc>
                  <m:accPr>
                    <m:chr m:val="‾"/>
                    <m:ctrlPr>
                      <w:rPr>
                        <w:rFonts w:ascii="Cambria Math" w:hAnsi="Cambria Math"/>
                      </w:rPr>
                    </m:ctrlPr>
                  </m:accPr>
                  <m:e>
                    <m:r>
                      <w:rPr>
                        <w:rFonts w:ascii="Cambria Math" w:hAnsi="Cambria Math"/>
                      </w:rPr>
                      <m:t>q</m:t>
                    </m:r>
                  </m:e>
                </m:acc>
                <m:r>
                  <m:rPr>
                    <m:sty m:val="p"/>
                  </m:rPr>
                  <w:rPr>
                    <w:rFonts w:ascii="Cambria Math" w:hAnsi="Cambria Math"/>
                  </w:rPr>
                  <m:t>'</m:t>
                </m:r>
                <m:d>
                  <m:dPr>
                    <m:ctrlPr>
                      <w:rPr>
                        <w:rFonts w:ascii="Cambria Math" w:hAnsi="Cambria Math"/>
                      </w:rPr>
                    </m:ctrlPr>
                  </m:dPr>
                  <m:e>
                    <m:r>
                      <w:rPr>
                        <w:rFonts w:ascii="Cambria Math" w:hAnsi="Cambria Math"/>
                      </w:rPr>
                      <m:t>t</m:t>
                    </m:r>
                  </m:e>
                </m:d>
              </m:oMath>
            </m:oMathPara>
          </w:p>
        </w:tc>
        <w:tc>
          <w:tcPr>
            <w:tcW w:w="1200" w:type="dxa"/>
            <w:tcBorders>
              <w:bottom w:val="none" w:sz="0" w:space="0" w:color="auto"/>
            </w:tcBorders>
            <w:vAlign w:val="center"/>
          </w:tcPr>
          <w:p w14:paraId="25008D50" w14:textId="77777777" w:rsidR="00C17023" w:rsidRDefault="00C17023" w:rsidP="00104431">
            <w:pPr>
              <w:spacing w:after="0"/>
              <w:jc w:val="right"/>
            </w:pPr>
            <w:r>
              <w:t>(4.6-5)</w:t>
            </w:r>
          </w:p>
        </w:tc>
      </w:tr>
    </w:tbl>
    <w:p w14:paraId="466ABD2D" w14:textId="77777777" w:rsidR="00C17023" w:rsidRDefault="00C17023" w:rsidP="00C17023">
      <w:pPr>
        <w:pStyle w:val="FirstParagraph"/>
      </w:pPr>
      <w:r>
        <w:t>The hot pin is therefore the limiting rod state implied by the prescribed peaking factors. It is tracked explicitly because regulatory quantities such as peak cladding temperature and maximum local oxidation are defined by the most adverse local rod condition, not by the core-average rod.</w:t>
      </w:r>
    </w:p>
    <w:p w14:paraId="07E833C7" w14:textId="77777777" w:rsidR="00C17023" w:rsidRDefault="00C17023" w:rsidP="00C17023">
      <w:pPr>
        <w:pStyle w:val="Heading2"/>
        <w:keepNext/>
      </w:pPr>
      <w:bookmarkStart w:id="30" w:name="_Toc231232875"/>
      <w:r>
        <w:t>4.6.2 Normal Rod-State Distribution</w:t>
      </w:r>
      <w:bookmarkEnd w:id="30"/>
    </w:p>
    <w:p w14:paraId="72171742" w14:textId="77777777" w:rsidR="00C17023" w:rsidRDefault="00C17023" w:rsidP="00C17023">
      <w:pPr>
        <w:pStyle w:val="FirstParagraph"/>
      </w:pPr>
      <w:r>
        <w:t>For estimating failed fractions and oxidation-weighted quantities, FLARE assumes that the population of rod states can be approximated by a normal distribution in the peaking multiplier. Thus,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00"/>
        <w:gridCol w:w="1200"/>
      </w:tblGrid>
      <w:tr w:rsidR="00C17023" w14:paraId="22BAFFA7" w14:textId="77777777" w:rsidTr="00104431">
        <w:trPr>
          <w:cnfStyle w:val="100000000000" w:firstRow="1" w:lastRow="0" w:firstColumn="0" w:lastColumn="0" w:oddVBand="0" w:evenVBand="0" w:oddHBand="0" w:evenHBand="0" w:firstRowFirstColumn="0" w:firstRowLastColumn="0" w:lastRowFirstColumn="0" w:lastRowLastColumn="0"/>
          <w:trHeight w:val="360"/>
          <w:jc w:val="center"/>
        </w:trPr>
        <w:tc>
          <w:tcPr>
            <w:tcW w:w="8200" w:type="dxa"/>
            <w:tcBorders>
              <w:top w:val="nil"/>
              <w:left w:val="nil"/>
              <w:bottom w:val="nil"/>
              <w:right w:val="nil"/>
            </w:tcBorders>
            <w:vAlign w:val="center"/>
          </w:tcPr>
          <w:p w14:paraId="7AE42121" w14:textId="77777777" w:rsidR="00C17023" w:rsidRDefault="00406E9C" w:rsidP="00104431">
            <w:pPr>
              <w:pStyle w:val="BodyText"/>
              <w:spacing w:before="0" w:after="0"/>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e>
                </m:d>
              </m:oMath>
            </m:oMathPara>
          </w:p>
        </w:tc>
        <w:tc>
          <w:tcPr>
            <w:tcW w:w="1200" w:type="dxa"/>
            <w:tcBorders>
              <w:top w:val="nil"/>
              <w:left w:val="nil"/>
              <w:bottom w:val="nil"/>
              <w:right w:val="nil"/>
            </w:tcBorders>
            <w:vAlign w:val="center"/>
          </w:tcPr>
          <w:p w14:paraId="1CD7ED65" w14:textId="77777777" w:rsidR="00C17023" w:rsidRDefault="00C17023" w:rsidP="00104431">
            <w:pPr>
              <w:spacing w:after="0"/>
              <w:jc w:val="right"/>
            </w:pPr>
            <w:r>
              <w:t>(4.6-6)</w:t>
            </w:r>
          </w:p>
        </w:tc>
      </w:tr>
    </w:tbl>
    <w:p w14:paraId="7AEE79D7" w14:textId="77777777" w:rsidR="00C17023" w:rsidRDefault="00C17023" w:rsidP="00C17023">
      <w:pPr>
        <w:pStyle w:val="FirstParagraph"/>
      </w:pPr>
      <w:r>
        <w:t xml:space="preserve">with practical truncation imposed as necessary to avoid nonphysical negative power multipliers. The standard deviation </w:t>
      </w:r>
      <m:oMath>
        <m:sSub>
          <m:sSubPr>
            <m:ctrlPr>
              <w:rPr>
                <w:rFonts w:ascii="Cambria Math" w:hAnsi="Cambria Math"/>
              </w:rPr>
            </m:ctrlPr>
          </m:sSubPr>
          <m:e>
            <m:r>
              <w:rPr>
                <w:rFonts w:ascii="Cambria Math" w:hAnsi="Cambria Math"/>
              </w:rPr>
              <m:t>σ</m:t>
            </m:r>
          </m:e>
          <m:sub>
            <m:r>
              <w:rPr>
                <w:rFonts w:ascii="Cambria Math" w:hAnsi="Cambria Math"/>
              </w:rPr>
              <m:t>F</m:t>
            </m:r>
          </m:sub>
        </m:sSub>
      </m:oMath>
      <w:r>
        <w:t xml:space="preserve"> is selected so that the specified hot-pin peaking factor corresponds to an upper-tail quantile of the rod population. If the hot pin is interpreted as approximately the most limiting rod among </w:t>
      </w:r>
      <m:oMath>
        <m:sSub>
          <m:sSubPr>
            <m:ctrlPr>
              <w:rPr>
                <w:rFonts w:ascii="Cambria Math" w:hAnsi="Cambria Math"/>
              </w:rPr>
            </m:ctrlPr>
          </m:sSubPr>
          <m:e>
            <m:r>
              <w:rPr>
                <w:rFonts w:ascii="Cambria Math" w:hAnsi="Cambria Math"/>
              </w:rPr>
              <m:t>N</m:t>
            </m:r>
          </m:e>
          <m:sub>
            <m:r>
              <m:rPr>
                <m:sty m:val="p"/>
              </m:rPr>
              <w:rPr>
                <w:rFonts w:ascii="Cambria Math" w:hAnsi="Cambria Math"/>
              </w:rPr>
              <m:t>rod</m:t>
            </m:r>
          </m:sub>
        </m:sSub>
      </m:oMath>
      <w:r>
        <w:t xml:space="preserve"> rods, then</w:t>
      </w:r>
    </w:p>
    <w:tbl>
      <w:tblPr>
        <w:tblStyle w:val="Table"/>
        <w:tblW w:w="0" w:type="auto"/>
        <w:jc w:val="center"/>
        <w:tblLayout w:type="fixed"/>
        <w:tblLook w:val="04A0" w:firstRow="1" w:lastRow="0" w:firstColumn="1" w:lastColumn="0" w:noHBand="0" w:noVBand="1"/>
      </w:tblPr>
      <w:tblGrid>
        <w:gridCol w:w="8200"/>
        <w:gridCol w:w="1200"/>
      </w:tblGrid>
      <w:tr w:rsidR="00C17023" w14:paraId="6647D2DA" w14:textId="77777777" w:rsidTr="00104431">
        <w:trPr>
          <w:cnfStyle w:val="100000000000" w:firstRow="1" w:lastRow="0" w:firstColumn="0" w:lastColumn="0" w:oddVBand="0" w:evenVBand="0" w:oddHBand="0" w:evenHBand="0" w:firstRowFirstColumn="0" w:firstRowLastColumn="0" w:lastRowFirstColumn="0" w:lastRowLastColumn="0"/>
          <w:trHeight w:val="405"/>
          <w:jc w:val="center"/>
        </w:trPr>
        <w:tc>
          <w:tcPr>
            <w:tcW w:w="8200" w:type="dxa"/>
            <w:tcBorders>
              <w:bottom w:val="none" w:sz="0" w:space="0" w:color="auto"/>
            </w:tcBorders>
            <w:vAlign w:val="center"/>
          </w:tcPr>
          <w:p w14:paraId="29C51495"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hot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hot</m:t>
                    </m:r>
                  </m:sub>
                </m:sSub>
                <m:sSub>
                  <m:sSubPr>
                    <m:ctrlPr>
                      <w:rPr>
                        <w:rFonts w:ascii="Cambria Math" w:hAnsi="Cambria Math"/>
                      </w:rPr>
                    </m:ctrlPr>
                  </m:sSubPr>
                  <m:e>
                    <m:r>
                      <w:rPr>
                        <w:rFonts w:ascii="Cambria Math" w:hAnsi="Cambria Math"/>
                      </w:rPr>
                      <m:t>σ</m:t>
                    </m:r>
                  </m:e>
                  <m:sub>
                    <m:r>
                      <w:rPr>
                        <w:rFonts w:ascii="Cambria Math" w:hAnsi="Cambria Math"/>
                      </w:rPr>
                      <m:t>F</m:t>
                    </m:r>
                  </m:sub>
                </m:sSub>
              </m:oMath>
            </m:oMathPara>
          </w:p>
        </w:tc>
        <w:tc>
          <w:tcPr>
            <w:tcW w:w="1200" w:type="dxa"/>
            <w:tcBorders>
              <w:bottom w:val="none" w:sz="0" w:space="0" w:color="auto"/>
            </w:tcBorders>
            <w:vAlign w:val="center"/>
          </w:tcPr>
          <w:p w14:paraId="08B36C21" w14:textId="77777777" w:rsidR="00C17023" w:rsidRDefault="00C17023" w:rsidP="00104431">
            <w:pPr>
              <w:spacing w:after="0"/>
              <w:jc w:val="right"/>
            </w:pPr>
            <w:r>
              <w:t>(4.6-7)</w:t>
            </w:r>
          </w:p>
        </w:tc>
      </w:tr>
    </w:tbl>
    <w:p w14:paraId="6C70DD1E" w14:textId="77777777" w:rsidR="00C17023" w:rsidRDefault="00C17023" w:rsidP="00C17023">
      <w:pPr>
        <w:pStyle w:val="FirstParagraph"/>
      </w:pPr>
      <w:r>
        <w:t>where</w:t>
      </w:r>
    </w:p>
    <w:tbl>
      <w:tblPr>
        <w:tblStyle w:val="Table"/>
        <w:tblW w:w="0" w:type="auto"/>
        <w:jc w:val="center"/>
        <w:tblLayout w:type="fixed"/>
        <w:tblLook w:val="04A0" w:firstRow="1" w:lastRow="0" w:firstColumn="1" w:lastColumn="0" w:noHBand="0" w:noVBand="1"/>
      </w:tblPr>
      <w:tblGrid>
        <w:gridCol w:w="8200"/>
        <w:gridCol w:w="1200"/>
      </w:tblGrid>
      <w:tr w:rsidR="00C17023" w14:paraId="129BF4A4"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8200" w:type="dxa"/>
            <w:tcBorders>
              <w:bottom w:val="none" w:sz="0" w:space="0" w:color="auto"/>
            </w:tcBorders>
            <w:vAlign w:val="center"/>
          </w:tcPr>
          <w:p w14:paraId="40DFC5A1"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hot</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rod</m:t>
                            </m:r>
                          </m:sub>
                        </m:sSub>
                      </m:den>
                    </m:f>
                  </m:e>
                </m:d>
              </m:oMath>
            </m:oMathPara>
          </w:p>
        </w:tc>
        <w:tc>
          <w:tcPr>
            <w:tcW w:w="1200" w:type="dxa"/>
            <w:tcBorders>
              <w:bottom w:val="none" w:sz="0" w:space="0" w:color="auto"/>
            </w:tcBorders>
            <w:vAlign w:val="center"/>
          </w:tcPr>
          <w:p w14:paraId="63AD8388" w14:textId="77777777" w:rsidR="00C17023" w:rsidRDefault="00C17023" w:rsidP="00104431">
            <w:pPr>
              <w:spacing w:after="0"/>
              <w:jc w:val="right"/>
            </w:pPr>
            <w:r>
              <w:t>(4.6-8)</w:t>
            </w:r>
          </w:p>
        </w:tc>
      </w:tr>
    </w:tbl>
    <w:p w14:paraId="0404F134" w14:textId="77777777" w:rsidR="00C17023" w:rsidRDefault="00C17023" w:rsidP="00C17023">
      <w:pPr>
        <w:pStyle w:val="FirstParagraph"/>
      </w:pPr>
      <w:r>
        <w:t xml:space="preserve">and </w:t>
      </w:r>
      <m:oMath>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oMath>
      <w:r>
        <w:t xml:space="preserve"> is the inverse cumulative distribution function of the standard normal distribution. Thus,</w:t>
      </w:r>
    </w:p>
    <w:tbl>
      <w:tblPr>
        <w:tblStyle w:val="Table"/>
        <w:tblW w:w="0" w:type="auto"/>
        <w:jc w:val="center"/>
        <w:tblLayout w:type="fixed"/>
        <w:tblLook w:val="04A0" w:firstRow="1" w:lastRow="0" w:firstColumn="1" w:lastColumn="0" w:noHBand="0" w:noVBand="1"/>
      </w:tblPr>
      <w:tblGrid>
        <w:gridCol w:w="8200"/>
        <w:gridCol w:w="1200"/>
      </w:tblGrid>
      <w:tr w:rsidR="00C17023" w14:paraId="34E47380" w14:textId="77777777" w:rsidTr="00104431">
        <w:trPr>
          <w:cnfStyle w:val="100000000000" w:firstRow="1" w:lastRow="0" w:firstColumn="0" w:lastColumn="0" w:oddVBand="0" w:evenVBand="0" w:oddHBand="0" w:evenHBand="0" w:firstRowFirstColumn="0" w:firstRowLastColumn="0" w:lastRowFirstColumn="0" w:lastRowLastColumn="0"/>
          <w:trHeight w:val="720"/>
          <w:jc w:val="center"/>
        </w:trPr>
        <w:tc>
          <w:tcPr>
            <w:tcW w:w="8200" w:type="dxa"/>
            <w:tcBorders>
              <w:bottom w:val="none" w:sz="0" w:space="0" w:color="auto"/>
            </w:tcBorders>
            <w:vAlign w:val="center"/>
          </w:tcPr>
          <w:p w14:paraId="4CA5FF27"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hot</m:t>
                        </m:r>
                      </m:sub>
                    </m:sSub>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z</m:t>
                        </m:r>
                      </m:e>
                      <m:sub>
                        <m:r>
                          <m:rPr>
                            <m:sty m:val="p"/>
                          </m:rPr>
                          <w:rPr>
                            <w:rFonts w:ascii="Cambria Math" w:hAnsi="Cambria Math"/>
                          </w:rPr>
                          <m:t>hot</m:t>
                        </m:r>
                      </m:sub>
                    </m:sSub>
                  </m:den>
                </m:f>
              </m:oMath>
            </m:oMathPara>
          </w:p>
        </w:tc>
        <w:tc>
          <w:tcPr>
            <w:tcW w:w="1200" w:type="dxa"/>
            <w:tcBorders>
              <w:bottom w:val="none" w:sz="0" w:space="0" w:color="auto"/>
            </w:tcBorders>
            <w:vAlign w:val="center"/>
          </w:tcPr>
          <w:p w14:paraId="173A5BE7" w14:textId="77777777" w:rsidR="00C17023" w:rsidRDefault="00C17023" w:rsidP="00104431">
            <w:pPr>
              <w:spacing w:after="0"/>
              <w:jc w:val="right"/>
            </w:pPr>
            <w:r>
              <w:t>(4.6-9)</w:t>
            </w:r>
          </w:p>
        </w:tc>
      </w:tr>
    </w:tbl>
    <w:p w14:paraId="3B2FD363" w14:textId="77777777" w:rsidR="00C17023" w:rsidRDefault="00C17023" w:rsidP="00C17023">
      <w:pPr>
        <w:pStyle w:val="FirstParagraph"/>
      </w:pPr>
      <w:r>
        <w:t xml:space="preserve">This construction gives the rod-state distribution a physically interpretable normalization: the mean rod has </w:t>
      </w:r>
      <m:oMath>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1</m:t>
        </m:r>
      </m:oMath>
      <w:r>
        <w:t>, while the hot pin corresponds approximately to the upper order statistic of the assumed rod population.</w:t>
      </w:r>
    </w:p>
    <w:p w14:paraId="34CD474B" w14:textId="77777777" w:rsidR="00C17023" w:rsidRDefault="00C17023" w:rsidP="00C17023">
      <w:pPr>
        <w:pStyle w:val="BodyText"/>
      </w:pPr>
      <w:r>
        <w:t xml:space="preserve">In practical scoping applications, the exact statistical interpretation of </w:t>
      </w:r>
      <m:oMath>
        <m:sSub>
          <m:sSubPr>
            <m:ctrlPr>
              <w:rPr>
                <w:rFonts w:ascii="Cambria Math" w:hAnsi="Cambria Math"/>
              </w:rPr>
            </m:ctrlPr>
          </m:sSubPr>
          <m:e>
            <m:r>
              <w:rPr>
                <w:rFonts w:ascii="Cambria Math" w:hAnsi="Cambria Math"/>
              </w:rPr>
              <m:t>F</m:t>
            </m:r>
          </m:e>
          <m:sub>
            <m:r>
              <m:rPr>
                <m:sty m:val="p"/>
              </m:rPr>
              <w:rPr>
                <w:rFonts w:ascii="Cambria Math" w:hAnsi="Cambria Math"/>
              </w:rPr>
              <m:t>hot</m:t>
            </m:r>
          </m:sub>
        </m:sSub>
      </m:oMath>
      <w:r>
        <w:t xml:space="preserve"> should not be over-interpreted. Plant-specific peaking factors are normally deterministic design-analysis inputs derived from core design methods, not random samples from an ideal normal population. FLARE uses the normal distribution as a convenient reduced-order device for distributing lumped-parameter core response across a plausible rod population.</w:t>
      </w:r>
    </w:p>
    <w:p w14:paraId="4234E947" w14:textId="77777777" w:rsidR="00C17023" w:rsidRDefault="00C17023" w:rsidP="00C17023">
      <w:pPr>
        <w:pStyle w:val="Heading2"/>
        <w:keepNext/>
      </w:pPr>
      <w:bookmarkStart w:id="31" w:name="_Toc231232876"/>
      <w:r>
        <w:t>4.6.3 Temperature Mapping</w:t>
      </w:r>
      <w:bookmarkEnd w:id="31"/>
    </w:p>
    <w:p w14:paraId="02E62B41" w14:textId="77777777" w:rsidR="00C17023" w:rsidRDefault="00C17023" w:rsidP="00C17023">
      <w:pPr>
        <w:pStyle w:val="FirstParagraph"/>
      </w:pPr>
      <w:r>
        <w:t xml:space="preserve">The lumped core heat-structure model provides a mean cladding and fuel temperature response associated with the core-average power. For statistical rod-state reconstruction, the local rod temperature rise above the coolant reference condition is assumed to scale with the rod peaking multiplier. If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clad</m:t>
            </m:r>
          </m:sub>
        </m:sSub>
        <m:d>
          <m:dPr>
            <m:ctrlPr>
              <w:rPr>
                <w:rFonts w:ascii="Cambria Math" w:hAnsi="Cambria Math"/>
              </w:rPr>
            </m:ctrlPr>
          </m:dPr>
          <m:e>
            <m:r>
              <w:rPr>
                <w:rFonts w:ascii="Cambria Math" w:hAnsi="Cambria Math"/>
              </w:rPr>
              <m:t>t</m:t>
            </m:r>
          </m:e>
        </m:d>
      </m:oMath>
      <w:r>
        <w:t xml:space="preserve"> is the mean cladding surface temperature and </w:t>
      </w:r>
      <m:oMath>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oMath>
      <w:r>
        <w:t xml:space="preserve"> is the local coolant reference temperature, then the cladding temperature for a rod with multiplier </w:t>
      </w:r>
      <m:oMath>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oMath>
      <w:r>
        <w:t xml:space="preserve"> is approximated as</w:t>
      </w:r>
    </w:p>
    <w:tbl>
      <w:tblPr>
        <w:tblStyle w:val="Table"/>
        <w:tblW w:w="0" w:type="auto"/>
        <w:jc w:val="center"/>
        <w:tblLayout w:type="fixed"/>
        <w:tblLook w:val="04A0" w:firstRow="1" w:lastRow="0" w:firstColumn="1" w:lastColumn="0" w:noHBand="0" w:noVBand="1"/>
      </w:tblPr>
      <w:tblGrid>
        <w:gridCol w:w="8200"/>
        <w:gridCol w:w="1200"/>
      </w:tblGrid>
      <w:tr w:rsidR="00C17023" w14:paraId="4E889716" w14:textId="77777777" w:rsidTr="00104431">
        <w:trPr>
          <w:cnfStyle w:val="100000000000" w:firstRow="1" w:lastRow="0" w:firstColumn="0" w:lastColumn="0" w:oddVBand="0" w:evenVBand="0" w:oddHBand="0" w:evenHBand="0" w:firstRowFirstColumn="0" w:firstRowLastColumn="0" w:lastRowFirstColumn="0" w:lastRowLastColumn="0"/>
          <w:trHeight w:val="387"/>
          <w:jc w:val="center"/>
        </w:trPr>
        <w:tc>
          <w:tcPr>
            <w:tcW w:w="8200" w:type="dxa"/>
            <w:tcBorders>
              <w:bottom w:val="none" w:sz="0" w:space="0" w:color="auto"/>
            </w:tcBorders>
            <w:vAlign w:val="center"/>
          </w:tcPr>
          <w:p w14:paraId="531603A6"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clad</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clad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0E96E980" w14:textId="77777777" w:rsidR="00C17023" w:rsidRDefault="00C17023" w:rsidP="00104431">
            <w:pPr>
              <w:spacing w:after="0"/>
              <w:jc w:val="right"/>
            </w:pPr>
            <w:r>
              <w:t>(4.6-10)</w:t>
            </w:r>
          </w:p>
        </w:tc>
      </w:tr>
    </w:tbl>
    <w:p w14:paraId="6918FAAF" w14:textId="77777777" w:rsidR="00C17023" w:rsidRDefault="00C17023" w:rsidP="00C17023">
      <w:pPr>
        <w:pStyle w:val="FirstParagraph"/>
      </w:pPr>
      <w:r>
        <w:t>Similarly, the local fuel temperature may be reconstructed as</w:t>
      </w:r>
    </w:p>
    <w:tbl>
      <w:tblPr>
        <w:tblStyle w:val="Table"/>
        <w:tblW w:w="0" w:type="auto"/>
        <w:jc w:val="center"/>
        <w:tblLayout w:type="fixed"/>
        <w:tblLook w:val="04A0" w:firstRow="1" w:lastRow="0" w:firstColumn="1" w:lastColumn="0" w:noHBand="0" w:noVBand="1"/>
      </w:tblPr>
      <w:tblGrid>
        <w:gridCol w:w="8200"/>
        <w:gridCol w:w="1200"/>
      </w:tblGrid>
      <w:tr w:rsidR="00C17023" w14:paraId="096DF736" w14:textId="77777777" w:rsidTr="00104431">
        <w:trPr>
          <w:cnfStyle w:val="100000000000" w:firstRow="1" w:lastRow="0" w:firstColumn="0" w:lastColumn="0" w:oddVBand="0" w:evenVBand="0" w:oddHBand="0" w:evenHBand="0" w:firstRowFirstColumn="0" w:firstRowLastColumn="0" w:lastRowFirstColumn="0" w:lastRowLastColumn="0"/>
          <w:trHeight w:val="360"/>
          <w:jc w:val="center"/>
        </w:trPr>
        <w:tc>
          <w:tcPr>
            <w:tcW w:w="8200" w:type="dxa"/>
            <w:tcBorders>
              <w:bottom w:val="none" w:sz="0" w:space="0" w:color="auto"/>
            </w:tcBorders>
            <w:vAlign w:val="center"/>
          </w:tcPr>
          <w:p w14:paraId="7E5607A7"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fuel</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fuel</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45708A14" w14:textId="77777777" w:rsidR="00C17023" w:rsidRDefault="00C17023" w:rsidP="00104431">
            <w:pPr>
              <w:spacing w:after="0"/>
              <w:jc w:val="right"/>
            </w:pPr>
            <w:r>
              <w:t>(4.6-11)</w:t>
            </w:r>
          </w:p>
        </w:tc>
      </w:tr>
    </w:tbl>
    <w:p w14:paraId="5AB19334" w14:textId="77777777" w:rsidR="00C17023" w:rsidRDefault="00C17023" w:rsidP="00C17023">
      <w:pPr>
        <w:pStyle w:val="FirstParagraph"/>
      </w:pPr>
      <w:r>
        <w:t>or, equivalently, by applying the peaking multiplier directly to the local heat flux or linear heat rate used in the radial conduction model.</w:t>
      </w:r>
    </w:p>
    <w:p w14:paraId="696921C2" w14:textId="77777777" w:rsidR="00C17023" w:rsidRDefault="00C17023" w:rsidP="00C17023">
      <w:pPr>
        <w:pStyle w:val="BodyText"/>
      </w:pPr>
      <w:r>
        <w:t>The hot-pin cladding temperature is therefore</w:t>
      </w:r>
    </w:p>
    <w:tbl>
      <w:tblPr>
        <w:tblStyle w:val="Table"/>
        <w:tblW w:w="0" w:type="auto"/>
        <w:jc w:val="center"/>
        <w:tblLayout w:type="fixed"/>
        <w:tblLook w:val="04A0" w:firstRow="1" w:lastRow="0" w:firstColumn="1" w:lastColumn="0" w:noHBand="0" w:noVBand="1"/>
      </w:tblPr>
      <w:tblGrid>
        <w:gridCol w:w="8200"/>
        <w:gridCol w:w="1200"/>
      </w:tblGrid>
      <w:tr w:rsidR="00C17023" w14:paraId="2F29A9DE" w14:textId="77777777" w:rsidTr="00104431">
        <w:trPr>
          <w:cnfStyle w:val="100000000000" w:firstRow="1" w:lastRow="0" w:firstColumn="0" w:lastColumn="0" w:oddVBand="0" w:evenVBand="0" w:oddHBand="0" w:evenHBand="0" w:firstRowFirstColumn="0" w:firstRowLastColumn="0" w:lastRowFirstColumn="0" w:lastRowLastColumn="0"/>
          <w:trHeight w:val="495"/>
          <w:jc w:val="center"/>
        </w:trPr>
        <w:tc>
          <w:tcPr>
            <w:tcW w:w="8200" w:type="dxa"/>
            <w:tcBorders>
              <w:bottom w:val="none" w:sz="0" w:space="0" w:color="auto"/>
            </w:tcBorders>
            <w:vAlign w:val="center"/>
          </w:tcPr>
          <w:p w14:paraId="0140F096"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clad,hot</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hot</m:t>
                    </m:r>
                  </m:sub>
                </m:sSub>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clad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335A6D8E" w14:textId="77777777" w:rsidR="00C17023" w:rsidRDefault="00C17023" w:rsidP="00104431">
            <w:pPr>
              <w:spacing w:after="0"/>
              <w:jc w:val="right"/>
            </w:pPr>
            <w:r>
              <w:t>(4.6-12)</w:t>
            </w:r>
          </w:p>
        </w:tc>
      </w:tr>
    </w:tbl>
    <w:p w14:paraId="6C66815A" w14:textId="77777777" w:rsidR="00C17023" w:rsidRDefault="00C17023" w:rsidP="00C17023">
      <w:pPr>
        <w:pStyle w:val="FirstParagraph"/>
      </w:pPr>
      <w:r>
        <w:t>and the peak cladding temperature reported by FLARE is</w:t>
      </w:r>
    </w:p>
    <w:tbl>
      <w:tblPr>
        <w:tblStyle w:val="Table"/>
        <w:tblW w:w="0" w:type="auto"/>
        <w:jc w:val="center"/>
        <w:tblLayout w:type="fixed"/>
        <w:tblLook w:val="04A0" w:firstRow="1" w:lastRow="0" w:firstColumn="1" w:lastColumn="0" w:noHBand="0" w:noVBand="1"/>
      </w:tblPr>
      <w:tblGrid>
        <w:gridCol w:w="8200"/>
        <w:gridCol w:w="1200"/>
      </w:tblGrid>
      <w:tr w:rsidR="00C17023" w14:paraId="28F0F733" w14:textId="77777777" w:rsidTr="00104431">
        <w:trPr>
          <w:cnfStyle w:val="100000000000" w:firstRow="1" w:lastRow="0" w:firstColumn="0" w:lastColumn="0" w:oddVBand="0" w:evenVBand="0" w:oddHBand="0" w:evenHBand="0" w:firstRowFirstColumn="0" w:firstRowLastColumn="0" w:lastRowFirstColumn="0" w:lastRowLastColumn="0"/>
          <w:trHeight w:val="540"/>
          <w:jc w:val="center"/>
        </w:trPr>
        <w:tc>
          <w:tcPr>
            <w:tcW w:w="8200" w:type="dxa"/>
            <w:tcBorders>
              <w:bottom w:val="none" w:sz="0" w:space="0" w:color="auto"/>
            </w:tcBorders>
            <w:vAlign w:val="center"/>
          </w:tcPr>
          <w:p w14:paraId="337D37C5" w14:textId="77777777" w:rsidR="00C17023" w:rsidRDefault="00C17023" w:rsidP="00104431">
            <w:pPr>
              <w:pStyle w:val="BodyText"/>
              <w:spacing w:before="0" w:after="0"/>
            </w:pPr>
            <m:oMathPara>
              <m:oMathParaPr>
                <m:jc m:val="center"/>
              </m:oMathParaPr>
              <m:oMath>
                <m:r>
                  <m:rPr>
                    <m:sty m:val="p"/>
                  </m:rPr>
                  <w:rPr>
                    <w:rFonts w:ascii="Cambria Math" w:hAnsi="Cambria Math"/>
                  </w:rPr>
                  <m:t>PCT=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clad,hot</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65D1492C" w14:textId="77777777" w:rsidR="00C17023" w:rsidRDefault="00C17023" w:rsidP="00104431">
            <w:pPr>
              <w:spacing w:after="0"/>
              <w:jc w:val="right"/>
            </w:pPr>
            <w:r>
              <w:t>(4.6-13)</w:t>
            </w:r>
          </w:p>
        </w:tc>
      </w:tr>
    </w:tbl>
    <w:p w14:paraId="3F482DAE" w14:textId="77777777" w:rsidR="00C17023" w:rsidRDefault="00C17023" w:rsidP="00C17023">
      <w:pPr>
        <w:pStyle w:val="FirstParagraph"/>
      </w:pPr>
      <w:r>
        <w:t>This approximation captures the first-order effect of local power peaking on cladding temperature while avoiding explicit rod-by-rod heat-structure integration.</w:t>
      </w:r>
    </w:p>
    <w:p w14:paraId="4F0D30FF" w14:textId="77777777" w:rsidR="00C17023" w:rsidRDefault="00C17023" w:rsidP="00C17023">
      <w:pPr>
        <w:pStyle w:val="Heading2"/>
        <w:keepNext/>
      </w:pPr>
      <w:bookmarkStart w:id="32" w:name="_Toc231232877"/>
      <w:r>
        <w:t>4.6.4 Failed-Rod Fraction</w:t>
      </w:r>
      <w:bookmarkEnd w:id="32"/>
    </w:p>
    <w:p w14:paraId="481D76BC" w14:textId="77777777" w:rsidR="00C17023" w:rsidRDefault="00C17023" w:rsidP="00C17023">
      <w:pPr>
        <w:pStyle w:val="FirstParagraph"/>
      </w:pPr>
      <w:r>
        <w:t xml:space="preserve">FLARE estimates rod failure fractions from the reconstructed rod-temperature distribution. Let </w:t>
      </w:r>
      <m:oMath>
        <m:sSub>
          <m:sSubPr>
            <m:ctrlPr>
              <w:rPr>
                <w:rFonts w:ascii="Cambria Math" w:hAnsi="Cambria Math"/>
              </w:rPr>
            </m:ctrlPr>
          </m:sSubPr>
          <m:e>
            <m:r>
              <w:rPr>
                <w:rFonts w:ascii="Cambria Math" w:hAnsi="Cambria Math"/>
              </w:rPr>
              <m:t>T</m:t>
            </m:r>
          </m:e>
          <m:sub>
            <m:r>
              <m:rPr>
                <m:sty m:val="p"/>
              </m:rPr>
              <w:rPr>
                <w:rFonts w:ascii="Cambria Math" w:hAnsi="Cambria Math"/>
              </w:rPr>
              <m:t>fail</m:t>
            </m:r>
          </m:sub>
        </m:sSub>
      </m:oMath>
      <w:r>
        <w:t xml:space="preserve"> represent a specified failure threshold. For example, the gap-release threshold may be lower than the early in-vessel failure threshold. A rod is treated as failed for a given failure mode if</w:t>
      </w:r>
    </w:p>
    <w:tbl>
      <w:tblPr>
        <w:tblStyle w:val="Table"/>
        <w:tblW w:w="0" w:type="auto"/>
        <w:jc w:val="center"/>
        <w:tblLayout w:type="fixed"/>
        <w:tblLook w:val="04A0" w:firstRow="1" w:lastRow="0" w:firstColumn="1" w:lastColumn="0" w:noHBand="0" w:noVBand="1"/>
      </w:tblPr>
      <w:tblGrid>
        <w:gridCol w:w="8200"/>
        <w:gridCol w:w="1200"/>
      </w:tblGrid>
      <w:tr w:rsidR="00C17023" w14:paraId="3AED53A0" w14:textId="77777777" w:rsidTr="00104431">
        <w:trPr>
          <w:cnfStyle w:val="100000000000" w:firstRow="1" w:lastRow="0" w:firstColumn="0" w:lastColumn="0" w:oddVBand="0" w:evenVBand="0" w:oddHBand="0" w:evenHBand="0" w:firstRowFirstColumn="0" w:firstRowLastColumn="0" w:lastRowFirstColumn="0" w:lastRowLastColumn="0"/>
          <w:trHeight w:val="378"/>
          <w:jc w:val="center"/>
        </w:trPr>
        <w:tc>
          <w:tcPr>
            <w:tcW w:w="8200" w:type="dxa"/>
            <w:tcBorders>
              <w:bottom w:val="none" w:sz="0" w:space="0" w:color="auto"/>
            </w:tcBorders>
            <w:vAlign w:val="center"/>
          </w:tcPr>
          <w:p w14:paraId="2D60EACE"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clad</m:t>
                    </m:r>
                  </m:sub>
                </m:sSub>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fail</m:t>
                    </m:r>
                  </m:sub>
                </m:sSub>
              </m:oMath>
            </m:oMathPara>
          </w:p>
        </w:tc>
        <w:tc>
          <w:tcPr>
            <w:tcW w:w="1200" w:type="dxa"/>
            <w:tcBorders>
              <w:bottom w:val="none" w:sz="0" w:space="0" w:color="auto"/>
            </w:tcBorders>
            <w:vAlign w:val="center"/>
          </w:tcPr>
          <w:p w14:paraId="7A1CB8E0" w14:textId="77777777" w:rsidR="00C17023" w:rsidRDefault="00C17023" w:rsidP="00104431">
            <w:pPr>
              <w:spacing w:after="0"/>
              <w:jc w:val="right"/>
            </w:pPr>
            <w:r>
              <w:t>(4.6-14)</w:t>
            </w:r>
          </w:p>
        </w:tc>
      </w:tr>
    </w:tbl>
    <w:p w14:paraId="3DADEA7B" w14:textId="77777777" w:rsidR="00C17023" w:rsidRDefault="00C17023" w:rsidP="00C17023">
      <w:pPr>
        <w:pStyle w:val="FirstParagraph"/>
      </w:pPr>
      <w:r>
        <w:t>Solving Eq. 4.6-10 for the corresponding critical peaking multiplier gives</w:t>
      </w:r>
    </w:p>
    <w:tbl>
      <w:tblPr>
        <w:tblStyle w:val="Table"/>
        <w:tblW w:w="0" w:type="auto"/>
        <w:jc w:val="center"/>
        <w:tblLayout w:type="fixed"/>
        <w:tblLook w:val="04A0" w:firstRow="1" w:lastRow="0" w:firstColumn="1" w:lastColumn="0" w:noHBand="0" w:noVBand="1"/>
      </w:tblPr>
      <w:tblGrid>
        <w:gridCol w:w="8200"/>
        <w:gridCol w:w="1200"/>
      </w:tblGrid>
      <w:tr w:rsidR="00C17023" w14:paraId="0EA42DD2" w14:textId="77777777" w:rsidTr="00104431">
        <w:trPr>
          <w:cnfStyle w:val="100000000000" w:firstRow="1" w:lastRow="0" w:firstColumn="0" w:lastColumn="0" w:oddVBand="0" w:evenVBand="0" w:oddHBand="0" w:evenHBand="0" w:firstRowFirstColumn="0" w:firstRowLastColumn="0" w:lastRowFirstColumn="0" w:lastRowLastColumn="0"/>
          <w:trHeight w:val="702"/>
          <w:jc w:val="center"/>
        </w:trPr>
        <w:tc>
          <w:tcPr>
            <w:tcW w:w="8200" w:type="dxa"/>
            <w:tcBorders>
              <w:bottom w:val="none" w:sz="0" w:space="0" w:color="auto"/>
            </w:tcBorders>
            <w:vAlign w:val="center"/>
          </w:tcPr>
          <w:p w14:paraId="540943DA"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crit</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fail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clad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den>
                </m:f>
              </m:oMath>
            </m:oMathPara>
          </w:p>
        </w:tc>
        <w:tc>
          <w:tcPr>
            <w:tcW w:w="1200" w:type="dxa"/>
            <w:tcBorders>
              <w:bottom w:val="none" w:sz="0" w:space="0" w:color="auto"/>
            </w:tcBorders>
            <w:vAlign w:val="center"/>
          </w:tcPr>
          <w:p w14:paraId="027CF3DE" w14:textId="77777777" w:rsidR="00C17023" w:rsidRDefault="00C17023" w:rsidP="00104431">
            <w:pPr>
              <w:spacing w:after="0"/>
              <w:jc w:val="right"/>
            </w:pPr>
            <w:r>
              <w:t>(4.6-15)</w:t>
            </w:r>
          </w:p>
        </w:tc>
      </w:tr>
    </w:tbl>
    <w:p w14:paraId="4B7E7E2C" w14:textId="77777777" w:rsidR="00C17023" w:rsidRDefault="00C17023" w:rsidP="00C17023">
      <w:pPr>
        <w:pStyle w:val="FirstParagraph"/>
      </w:pPr>
      <w:r>
        <w:lastRenderedPageBreak/>
        <w:t xml:space="preserve">for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clad</m:t>
            </m:r>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oMath>
      <w:r>
        <w:t>. The instantaneous failed fraction is then the upper-tail probability of the rod-state distribution:</w:t>
      </w:r>
    </w:p>
    <w:tbl>
      <w:tblPr>
        <w:tblStyle w:val="Table"/>
        <w:tblW w:w="0" w:type="auto"/>
        <w:jc w:val="center"/>
        <w:tblLayout w:type="fixed"/>
        <w:tblLook w:val="04A0" w:firstRow="1" w:lastRow="0" w:firstColumn="1" w:lastColumn="0" w:noHBand="0" w:noVBand="1"/>
      </w:tblPr>
      <w:tblGrid>
        <w:gridCol w:w="8200"/>
        <w:gridCol w:w="1200"/>
      </w:tblGrid>
      <w:tr w:rsidR="00C17023" w14:paraId="61205E04" w14:textId="77777777" w:rsidTr="00104431">
        <w:trPr>
          <w:cnfStyle w:val="100000000000" w:firstRow="1" w:lastRow="0" w:firstColumn="0" w:lastColumn="0" w:oddVBand="0" w:evenVBand="0" w:oddHBand="0" w:evenHBand="0" w:firstRowFirstColumn="0" w:firstRowLastColumn="0" w:lastRowFirstColumn="0" w:lastRowLastColumn="0"/>
          <w:trHeight w:val="783"/>
          <w:jc w:val="center"/>
        </w:trPr>
        <w:tc>
          <w:tcPr>
            <w:tcW w:w="8200" w:type="dxa"/>
            <w:tcBorders>
              <w:bottom w:val="none" w:sz="0" w:space="0" w:color="auto"/>
            </w:tcBorders>
            <w:vAlign w:val="center"/>
          </w:tcPr>
          <w:p w14:paraId="4EBB4742"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fail</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P</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crit</m:t>
                        </m:r>
                      </m:sub>
                    </m:sSub>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crit</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F</m:t>
                            </m:r>
                          </m:sub>
                        </m:sSub>
                      </m:den>
                    </m:f>
                  </m:e>
                </m:d>
              </m:oMath>
            </m:oMathPara>
          </w:p>
        </w:tc>
        <w:tc>
          <w:tcPr>
            <w:tcW w:w="1200" w:type="dxa"/>
            <w:tcBorders>
              <w:bottom w:val="none" w:sz="0" w:space="0" w:color="auto"/>
            </w:tcBorders>
            <w:vAlign w:val="center"/>
          </w:tcPr>
          <w:p w14:paraId="01A990B0" w14:textId="77777777" w:rsidR="00C17023" w:rsidRDefault="00C17023" w:rsidP="00104431">
            <w:pPr>
              <w:spacing w:after="0"/>
              <w:jc w:val="right"/>
            </w:pPr>
            <w:r>
              <w:t>(4.6-16)</w:t>
            </w:r>
          </w:p>
        </w:tc>
      </w:tr>
    </w:tbl>
    <w:p w14:paraId="31C3B47E" w14:textId="77777777" w:rsidR="00C17023" w:rsidRDefault="00C17023" w:rsidP="00C17023">
      <w:pPr>
        <w:pStyle w:val="FirstParagraph"/>
      </w:pPr>
      <w:r>
        <w:t>The failed fraction is latched in time. Once a rod population fraction is calculated to have exceeded a failure threshold, that fraction is retained for the remainder of the transient:</w:t>
      </w:r>
    </w:p>
    <w:tbl>
      <w:tblPr>
        <w:tblStyle w:val="Table"/>
        <w:tblW w:w="0" w:type="auto"/>
        <w:jc w:val="center"/>
        <w:tblLayout w:type="fixed"/>
        <w:tblLook w:val="04A0" w:firstRow="1" w:lastRow="0" w:firstColumn="1" w:lastColumn="0" w:noHBand="0" w:noVBand="1"/>
      </w:tblPr>
      <w:tblGrid>
        <w:gridCol w:w="8200"/>
        <w:gridCol w:w="1200"/>
      </w:tblGrid>
      <w:tr w:rsidR="00C17023" w14:paraId="10DDD4F2" w14:textId="77777777" w:rsidTr="00104431">
        <w:trPr>
          <w:cnfStyle w:val="100000000000" w:firstRow="1" w:lastRow="0" w:firstColumn="0" w:lastColumn="0" w:oddVBand="0" w:evenVBand="0" w:oddHBand="0" w:evenHBand="0" w:firstRowFirstColumn="0" w:firstRowLastColumn="0" w:lastRowFirstColumn="0" w:lastRowLastColumn="0"/>
          <w:trHeight w:val="540"/>
          <w:jc w:val="center"/>
        </w:trPr>
        <w:tc>
          <w:tcPr>
            <w:tcW w:w="8200" w:type="dxa"/>
            <w:tcBorders>
              <w:bottom w:val="none" w:sz="0" w:space="0" w:color="auto"/>
            </w:tcBorders>
            <w:vAlign w:val="center"/>
          </w:tcPr>
          <w:p w14:paraId="3BF02070"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fail,latched</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τ</m:t>
                    </m:r>
                    <m:r>
                      <m:rPr>
                        <m:sty m:val="p"/>
                      </m:rPr>
                      <w:rPr>
                        <w:rFonts w:ascii="Cambria Math" w:hAnsi="Cambria Math"/>
                      </w:rPr>
                      <m:t>≤</m:t>
                    </m:r>
                    <m:r>
                      <w:rPr>
                        <w:rFonts w:ascii="Cambria Math" w:hAnsi="Cambria Math"/>
                      </w:rPr>
                      <m:t>t</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fail</m:t>
                        </m:r>
                      </m:sub>
                    </m:sSub>
                    <m:d>
                      <m:dPr>
                        <m:ctrlPr>
                          <w:rPr>
                            <w:rFonts w:ascii="Cambria Math" w:hAnsi="Cambria Math"/>
                          </w:rPr>
                        </m:ctrlPr>
                      </m:dPr>
                      <m:e>
                        <m:r>
                          <w:rPr>
                            <w:rFonts w:ascii="Cambria Math" w:hAnsi="Cambria Math"/>
                          </w:rPr>
                          <m:t>τ</m:t>
                        </m:r>
                      </m:e>
                    </m:d>
                  </m:e>
                </m:d>
              </m:oMath>
            </m:oMathPara>
          </w:p>
        </w:tc>
        <w:tc>
          <w:tcPr>
            <w:tcW w:w="1200" w:type="dxa"/>
            <w:tcBorders>
              <w:bottom w:val="none" w:sz="0" w:space="0" w:color="auto"/>
            </w:tcBorders>
            <w:vAlign w:val="center"/>
          </w:tcPr>
          <w:p w14:paraId="06193A4A" w14:textId="77777777" w:rsidR="00C17023" w:rsidRDefault="00C17023" w:rsidP="00104431">
            <w:pPr>
              <w:spacing w:after="0"/>
              <w:jc w:val="right"/>
            </w:pPr>
            <w:r>
              <w:t>(4.6-17)</w:t>
            </w:r>
          </w:p>
        </w:tc>
      </w:tr>
    </w:tbl>
    <w:p w14:paraId="293EF3E6" w14:textId="77777777" w:rsidR="00C17023" w:rsidRDefault="00C17023" w:rsidP="00C17023">
      <w:pPr>
        <w:pStyle w:val="FirstParagraph"/>
      </w:pPr>
      <w:r>
        <w:t>FLARE applies this method separately to different failure or release thresholds. Thus, the gap-release failed fraction and the early in-vessel failed fraction may be different quantities: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00"/>
        <w:gridCol w:w="1200"/>
      </w:tblGrid>
      <w:tr w:rsidR="00C17023" w14:paraId="726AF059"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8200" w:type="dxa"/>
            <w:vAlign w:val="center"/>
          </w:tcPr>
          <w:p w14:paraId="6F1F89EE"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gap</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τ</m:t>
                    </m:r>
                    <m:r>
                      <m:rPr>
                        <m:sty m:val="p"/>
                      </m:rPr>
                      <w:rPr>
                        <w:rFonts w:ascii="Cambria Math" w:hAnsi="Cambria Math"/>
                      </w:rPr>
                      <m:t>≤</m:t>
                    </m:r>
                    <m:r>
                      <w:rPr>
                        <w:rFonts w:ascii="Cambria Math" w:hAnsi="Cambria Math"/>
                      </w:rPr>
                      <m:t>t</m:t>
                    </m:r>
                  </m:lim>
                </m:limLow>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Φ</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gap,crit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F</m:t>
                                </m:r>
                              </m:sub>
                            </m:sSub>
                          </m:den>
                        </m:f>
                      </m:e>
                    </m:d>
                  </m:e>
                </m:d>
              </m:oMath>
            </m:oMathPara>
          </w:p>
        </w:tc>
        <w:tc>
          <w:tcPr>
            <w:tcW w:w="1200" w:type="dxa"/>
            <w:vAlign w:val="center"/>
          </w:tcPr>
          <w:p w14:paraId="27FB6553" w14:textId="77777777" w:rsidR="00C17023" w:rsidRDefault="00C17023" w:rsidP="00104431">
            <w:pPr>
              <w:spacing w:after="0"/>
              <w:jc w:val="right"/>
            </w:pPr>
            <w:r>
              <w:t>(4.6-18)</w:t>
            </w:r>
          </w:p>
        </w:tc>
      </w:tr>
      <w:tr w:rsidR="00C17023" w14:paraId="196015C5" w14:textId="77777777" w:rsidTr="00104431">
        <w:trPr>
          <w:jc w:val="center"/>
        </w:trPr>
        <w:tc>
          <w:tcPr>
            <w:tcW w:w="8200" w:type="dxa"/>
            <w:vAlign w:val="center"/>
          </w:tcPr>
          <w:p w14:paraId="0B938650" w14:textId="77777777" w:rsidR="00C17023" w:rsidRDefault="00406E9C" w:rsidP="00104431">
            <w:pPr>
              <w:pStyle w:val="FirstParagraph"/>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EIV</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τ</m:t>
                    </m:r>
                    <m:r>
                      <m:rPr>
                        <m:sty m:val="p"/>
                      </m:rPr>
                      <w:rPr>
                        <w:rFonts w:ascii="Cambria Math" w:hAnsi="Cambria Math"/>
                      </w:rPr>
                      <m:t>≤</m:t>
                    </m:r>
                    <m:r>
                      <w:rPr>
                        <w:rFonts w:ascii="Cambria Math" w:hAnsi="Cambria Math"/>
                      </w:rPr>
                      <m:t>t</m:t>
                    </m:r>
                  </m:lim>
                </m:limLow>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Φ</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EIV,crit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F</m:t>
                                </m:r>
                              </m:sub>
                            </m:sSub>
                          </m:den>
                        </m:f>
                      </m:e>
                    </m:d>
                  </m:e>
                </m:d>
              </m:oMath>
            </m:oMathPara>
          </w:p>
        </w:tc>
        <w:tc>
          <w:tcPr>
            <w:tcW w:w="1200" w:type="dxa"/>
            <w:vAlign w:val="center"/>
          </w:tcPr>
          <w:p w14:paraId="359467D5" w14:textId="77777777" w:rsidR="00C17023" w:rsidRDefault="00C17023" w:rsidP="00104431">
            <w:pPr>
              <w:spacing w:after="0"/>
              <w:jc w:val="right"/>
            </w:pPr>
            <w:r>
              <w:t>(4.6-19)</w:t>
            </w:r>
          </w:p>
        </w:tc>
      </w:tr>
    </w:tbl>
    <w:p w14:paraId="162FF3AC" w14:textId="77777777" w:rsidR="00C17023" w:rsidRDefault="00C17023" w:rsidP="00C17023">
      <w:pPr>
        <w:pStyle w:val="FirstParagraph"/>
      </w:pPr>
      <w:r>
        <w:t xml:space="preserve">where </w:t>
      </w:r>
      <m:oMath>
        <m:sSub>
          <m:sSubPr>
            <m:ctrlPr>
              <w:rPr>
                <w:rFonts w:ascii="Cambria Math" w:hAnsi="Cambria Math"/>
              </w:rPr>
            </m:ctrlPr>
          </m:sSubPr>
          <m:e>
            <m:r>
              <w:rPr>
                <w:rFonts w:ascii="Cambria Math" w:hAnsi="Cambria Math"/>
              </w:rPr>
              <m:t>F</m:t>
            </m:r>
          </m:e>
          <m:sub>
            <m:r>
              <m:rPr>
                <m:sty m:val="p"/>
              </m:rPr>
              <w:rPr>
                <w:rFonts w:ascii="Cambria Math" w:hAnsi="Cambria Math"/>
              </w:rPr>
              <m:t>gap,crit</m:t>
            </m:r>
          </m:sub>
        </m:sSub>
      </m:oMath>
      <w:r>
        <w:t xml:space="preserve"> and </w:t>
      </w:r>
      <m:oMath>
        <m:sSub>
          <m:sSubPr>
            <m:ctrlPr>
              <w:rPr>
                <w:rFonts w:ascii="Cambria Math" w:hAnsi="Cambria Math"/>
              </w:rPr>
            </m:ctrlPr>
          </m:sSubPr>
          <m:e>
            <m:r>
              <w:rPr>
                <w:rFonts w:ascii="Cambria Math" w:hAnsi="Cambria Math"/>
              </w:rPr>
              <m:t>F</m:t>
            </m:r>
          </m:e>
          <m:sub>
            <m:r>
              <m:rPr>
                <m:sty m:val="p"/>
              </m:rPr>
              <w:rPr>
                <w:rFonts w:ascii="Cambria Math" w:hAnsi="Cambria Math"/>
              </w:rPr>
              <m:t>EIV,crit</m:t>
            </m:r>
          </m:sub>
        </m:sSub>
      </m:oMath>
      <w:r>
        <w:t xml:space="preserve"> are computed using the gap-release and early in-vessel release temperature thresholds, respectively.</w:t>
      </w:r>
    </w:p>
    <w:p w14:paraId="48A3BD70" w14:textId="77777777" w:rsidR="00C17023" w:rsidRDefault="00C17023" w:rsidP="00C17023">
      <w:pPr>
        <w:pStyle w:val="Heading2"/>
        <w:keepNext/>
      </w:pPr>
      <w:bookmarkStart w:id="33" w:name="_Toc231232878"/>
      <w:r>
        <w:t>4.6.5 Hot Pin</w:t>
      </w:r>
      <w:bookmarkEnd w:id="33"/>
    </w:p>
    <w:p w14:paraId="4CA7551E" w14:textId="77777777" w:rsidR="00C17023" w:rsidRDefault="00C17023" w:rsidP="00C17023">
      <w:pPr>
        <w:pStyle w:val="FirstParagraph"/>
      </w:pPr>
      <w:r>
        <w:t>The hot pin is the limiting rod implied by the prescribed local peaking factors. Its role is to provide the conservative local response used for peak-temperature and maximum-local-oxidation figures-of-merit. The hot pin is assigned the multiplier</w:t>
      </w:r>
    </w:p>
    <w:tbl>
      <w:tblPr>
        <w:tblStyle w:val="Table"/>
        <w:tblW w:w="0" w:type="auto"/>
        <w:jc w:val="center"/>
        <w:tblLayout w:type="fixed"/>
        <w:tblLook w:val="04A0" w:firstRow="1" w:lastRow="0" w:firstColumn="1" w:lastColumn="0" w:noHBand="0" w:noVBand="1"/>
      </w:tblPr>
      <w:tblGrid>
        <w:gridCol w:w="8200"/>
        <w:gridCol w:w="1200"/>
      </w:tblGrid>
      <w:tr w:rsidR="00C17023" w14:paraId="42E04731" w14:textId="77777777" w:rsidTr="00104431">
        <w:trPr>
          <w:cnfStyle w:val="100000000000" w:firstRow="1" w:lastRow="0" w:firstColumn="0" w:lastColumn="0" w:oddVBand="0" w:evenVBand="0" w:oddHBand="0" w:evenHBand="0" w:firstRowFirstColumn="0" w:firstRowLastColumn="0" w:lastRowFirstColumn="0" w:lastRowLastColumn="0"/>
          <w:trHeight w:val="387"/>
          <w:jc w:val="center"/>
        </w:trPr>
        <w:tc>
          <w:tcPr>
            <w:tcW w:w="8200" w:type="dxa"/>
            <w:tcBorders>
              <w:bottom w:val="none" w:sz="0" w:space="0" w:color="auto"/>
            </w:tcBorders>
            <w:vAlign w:val="center"/>
          </w:tcPr>
          <w:p w14:paraId="4A793B29"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hot</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sSub>
                  <m:sSubPr>
                    <m:ctrlPr>
                      <w:rPr>
                        <w:rFonts w:ascii="Cambria Math" w:hAnsi="Cambria Math"/>
                      </w:rPr>
                    </m:ctrlPr>
                  </m:sSubPr>
                  <m:e>
                    <m:r>
                      <w:rPr>
                        <w:rFonts w:ascii="Cambria Math" w:hAnsi="Cambria Math"/>
                      </w:rPr>
                      <m:t>F</m:t>
                    </m:r>
                  </m:e>
                  <m:sub>
                    <m:r>
                      <w:rPr>
                        <w:rFonts w:ascii="Cambria Math" w:hAnsi="Cambria Math"/>
                      </w:rPr>
                      <m:t>z</m:t>
                    </m:r>
                  </m:sub>
                </m:sSub>
              </m:oMath>
            </m:oMathPara>
          </w:p>
        </w:tc>
        <w:tc>
          <w:tcPr>
            <w:tcW w:w="1200" w:type="dxa"/>
            <w:tcBorders>
              <w:bottom w:val="none" w:sz="0" w:space="0" w:color="auto"/>
            </w:tcBorders>
            <w:vAlign w:val="center"/>
          </w:tcPr>
          <w:p w14:paraId="27DF76E0" w14:textId="77777777" w:rsidR="00C17023" w:rsidRDefault="00C17023" w:rsidP="00104431">
            <w:pPr>
              <w:spacing w:after="0"/>
              <w:jc w:val="right"/>
            </w:pPr>
            <w:r>
              <w:t>(4.6-20)</w:t>
            </w:r>
          </w:p>
        </w:tc>
      </w:tr>
    </w:tbl>
    <w:p w14:paraId="3117F825" w14:textId="77777777" w:rsidR="00C17023" w:rsidRDefault="00C17023" w:rsidP="00C17023">
      <w:pPr>
        <w:pStyle w:val="FirstParagraph"/>
      </w:pPr>
      <w:r>
        <w:t>and its cladding temperature history is evaluated as</w:t>
      </w:r>
    </w:p>
    <w:tbl>
      <w:tblPr>
        <w:tblStyle w:val="Table"/>
        <w:tblW w:w="0" w:type="auto"/>
        <w:jc w:val="center"/>
        <w:tblLayout w:type="fixed"/>
        <w:tblLook w:val="04A0" w:firstRow="1" w:lastRow="0" w:firstColumn="1" w:lastColumn="0" w:noHBand="0" w:noVBand="1"/>
      </w:tblPr>
      <w:tblGrid>
        <w:gridCol w:w="8200"/>
        <w:gridCol w:w="1200"/>
      </w:tblGrid>
      <w:tr w:rsidR="00C17023" w14:paraId="2E4E7EB7" w14:textId="77777777" w:rsidTr="00104431">
        <w:trPr>
          <w:cnfStyle w:val="100000000000" w:firstRow="1" w:lastRow="0" w:firstColumn="0" w:lastColumn="0" w:oddVBand="0" w:evenVBand="0" w:oddHBand="0" w:evenHBand="0" w:firstRowFirstColumn="0" w:firstRowLastColumn="0" w:lastRowFirstColumn="0" w:lastRowLastColumn="0"/>
          <w:trHeight w:val="450"/>
          <w:jc w:val="center"/>
        </w:trPr>
        <w:tc>
          <w:tcPr>
            <w:tcW w:w="8200" w:type="dxa"/>
            <w:tcBorders>
              <w:bottom w:val="none" w:sz="0" w:space="0" w:color="auto"/>
            </w:tcBorders>
            <w:vAlign w:val="center"/>
          </w:tcPr>
          <w:p w14:paraId="7F977902"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hot</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clad</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hot</m:t>
                        </m:r>
                      </m:sub>
                    </m:sSub>
                    <m:r>
                      <m:rPr>
                        <m:sty m:val="p"/>
                      </m:rPr>
                      <w:rPr>
                        <w:rFonts w:ascii="Cambria Math" w:hAnsi="Cambria Math"/>
                      </w:rPr>
                      <m:t>,</m:t>
                    </m:r>
                    <m:r>
                      <w:rPr>
                        <w:rFonts w:ascii="Cambria Math" w:hAnsi="Cambria Math"/>
                      </w:rPr>
                      <m:t>t</m:t>
                    </m:r>
                  </m:e>
                </m:d>
              </m:oMath>
            </m:oMathPara>
          </w:p>
        </w:tc>
        <w:tc>
          <w:tcPr>
            <w:tcW w:w="1200" w:type="dxa"/>
            <w:tcBorders>
              <w:bottom w:val="none" w:sz="0" w:space="0" w:color="auto"/>
            </w:tcBorders>
            <w:vAlign w:val="center"/>
          </w:tcPr>
          <w:p w14:paraId="710A2C32" w14:textId="77777777" w:rsidR="00C17023" w:rsidRDefault="00C17023" w:rsidP="00104431">
            <w:pPr>
              <w:spacing w:after="0"/>
              <w:jc w:val="right"/>
            </w:pPr>
            <w:r>
              <w:t>(4.6-21)</w:t>
            </w:r>
          </w:p>
        </w:tc>
      </w:tr>
    </w:tbl>
    <w:p w14:paraId="145FF266" w14:textId="77777777" w:rsidR="00C17023" w:rsidRDefault="00C17023" w:rsidP="00C17023">
      <w:pPr>
        <w:pStyle w:val="FirstParagraph"/>
      </w:pPr>
      <w:r>
        <w:t>The hot-pin equivalent cladding reacted fraction is obtained by integrating the oxidation model using the hot-pin cladding temperature:</w:t>
      </w:r>
    </w:p>
    <w:tbl>
      <w:tblPr>
        <w:tblStyle w:val="Table"/>
        <w:tblW w:w="0" w:type="auto"/>
        <w:jc w:val="center"/>
        <w:tblLayout w:type="fixed"/>
        <w:tblLook w:val="04A0" w:firstRow="1" w:lastRow="0" w:firstColumn="1" w:lastColumn="0" w:noHBand="0" w:noVBand="1"/>
      </w:tblPr>
      <w:tblGrid>
        <w:gridCol w:w="8200"/>
        <w:gridCol w:w="1200"/>
      </w:tblGrid>
      <w:tr w:rsidR="00C17023" w14:paraId="501F230B" w14:textId="77777777" w:rsidTr="00104431">
        <w:trPr>
          <w:cnfStyle w:val="100000000000" w:firstRow="1" w:lastRow="0" w:firstColumn="0" w:lastColumn="0" w:oddVBand="0" w:evenVBand="0" w:oddHBand="0" w:evenHBand="0" w:firstRowFirstColumn="0" w:firstRowLastColumn="0" w:lastRowFirstColumn="0" w:lastRowLastColumn="0"/>
          <w:trHeight w:val="423"/>
          <w:jc w:val="center"/>
        </w:trPr>
        <w:tc>
          <w:tcPr>
            <w:tcW w:w="8200" w:type="dxa"/>
            <w:tcBorders>
              <w:bottom w:val="none" w:sz="0" w:space="0" w:color="auto"/>
            </w:tcBorders>
            <w:vAlign w:val="center"/>
          </w:tcPr>
          <w:p w14:paraId="3FE2E435"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m:rPr>
                        <m:sty m:val="p"/>
                      </m:rPr>
                      <w:rPr>
                        <w:rFonts w:ascii="Cambria Math" w:hAnsi="Cambria Math"/>
                      </w:rPr>
                      <m:t>ECR</m:t>
                    </m:r>
                  </m:e>
                  <m:sub>
                    <m:r>
                      <m:rPr>
                        <m:sty m:val="p"/>
                      </m:rPr>
                      <w:rPr>
                        <w:rFonts w:ascii="Cambria Math" w:hAnsi="Cambria Math"/>
                      </w:rPr>
                      <m:t>hot</m:t>
                    </m:r>
                  </m:sub>
                </m:sSub>
                <m:d>
                  <m:dPr>
                    <m:ctrlPr>
                      <w:rPr>
                        <w:rFonts w:ascii="Cambria Math" w:hAnsi="Cambria Math"/>
                      </w:rPr>
                    </m:ctrlPr>
                  </m:dPr>
                  <m:e>
                    <m:r>
                      <w:rPr>
                        <w:rFonts w:ascii="Cambria Math" w:hAnsi="Cambria Math"/>
                      </w:rPr>
                      <m:t>t</m:t>
                    </m:r>
                  </m:e>
                </m:d>
                <m:r>
                  <m:rPr>
                    <m:sty m:val="p"/>
                  </m:rPr>
                  <w:rPr>
                    <w:rFonts w:ascii="Cambria Math" w:hAnsi="Cambria Math"/>
                  </w:rPr>
                  <m:t>=</m:t>
                </m:r>
                <m:r>
                  <m:rPr>
                    <m:scr m:val="script"/>
                    <m:sty m:val="p"/>
                  </m:rPr>
                  <w:rPr>
                    <w:rFonts w:ascii="Cambria Math" w:hAnsi="Cambria Math"/>
                  </w:rPr>
                  <m:t>O</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hot</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e>
                </m:d>
              </m:oMath>
            </m:oMathPara>
          </w:p>
        </w:tc>
        <w:tc>
          <w:tcPr>
            <w:tcW w:w="1200" w:type="dxa"/>
            <w:tcBorders>
              <w:bottom w:val="none" w:sz="0" w:space="0" w:color="auto"/>
            </w:tcBorders>
            <w:vAlign w:val="center"/>
          </w:tcPr>
          <w:p w14:paraId="7E59A515" w14:textId="77777777" w:rsidR="00C17023" w:rsidRDefault="00C17023" w:rsidP="00104431">
            <w:pPr>
              <w:spacing w:after="0"/>
              <w:jc w:val="right"/>
            </w:pPr>
            <w:r>
              <w:t>(4.6-22)</w:t>
            </w:r>
          </w:p>
        </w:tc>
      </w:tr>
    </w:tbl>
    <w:p w14:paraId="5590461F" w14:textId="77777777" w:rsidR="00C17023" w:rsidRDefault="00C17023" w:rsidP="00C17023">
      <w:pPr>
        <w:pStyle w:val="FirstParagraph"/>
      </w:pPr>
      <w:r>
        <w:t xml:space="preserve">where </w:t>
      </w:r>
      <m:oMath>
        <m:r>
          <m:rPr>
            <m:scr m:val="script"/>
            <m:sty m:val="p"/>
          </m:rPr>
          <w:rPr>
            <w:rFonts w:ascii="Cambria Math" w:hAnsi="Cambria Math"/>
          </w:rPr>
          <m:t>O</m:t>
        </m:r>
      </m:oMath>
      <w:r>
        <w:t xml:space="preserve"> denotes the Baker-Just oxidation operator described in Section 4.7. The reported maximum local oxidation is</w:t>
      </w:r>
    </w:p>
    <w:tbl>
      <w:tblPr>
        <w:tblStyle w:val="Table"/>
        <w:tblW w:w="0" w:type="auto"/>
        <w:jc w:val="center"/>
        <w:tblLayout w:type="fixed"/>
        <w:tblLook w:val="04A0" w:firstRow="1" w:lastRow="0" w:firstColumn="1" w:lastColumn="0" w:noHBand="0" w:noVBand="1"/>
      </w:tblPr>
      <w:tblGrid>
        <w:gridCol w:w="8200"/>
        <w:gridCol w:w="1200"/>
      </w:tblGrid>
      <w:tr w:rsidR="00C17023" w14:paraId="08076726" w14:textId="77777777" w:rsidTr="00104431">
        <w:trPr>
          <w:cnfStyle w:val="100000000000" w:firstRow="1" w:lastRow="0" w:firstColumn="0" w:lastColumn="0" w:oddVBand="0" w:evenVBand="0" w:oddHBand="0" w:evenHBand="0" w:firstRowFirstColumn="0" w:firstRowLastColumn="0" w:lastRowFirstColumn="0" w:lastRowLastColumn="0"/>
          <w:trHeight w:val="513"/>
          <w:jc w:val="center"/>
        </w:trPr>
        <w:tc>
          <w:tcPr>
            <w:tcW w:w="8200" w:type="dxa"/>
            <w:tcBorders>
              <w:bottom w:val="none" w:sz="0" w:space="0" w:color="auto"/>
            </w:tcBorders>
            <w:vAlign w:val="center"/>
          </w:tcPr>
          <w:p w14:paraId="1ADEE709" w14:textId="77777777" w:rsidR="00C17023" w:rsidRDefault="00C17023" w:rsidP="00104431">
            <w:pPr>
              <w:pStyle w:val="BodyText"/>
              <w:spacing w:before="0" w:after="0"/>
            </w:pPr>
            <m:oMathPara>
              <m:oMathParaPr>
                <m:jc m:val="center"/>
              </m:oMathParaPr>
              <m:oMath>
                <m:r>
                  <m:rPr>
                    <m:sty m:val="p"/>
                  </m:rPr>
                  <w:rPr>
                    <w:rFonts w:ascii="Cambria Math" w:hAnsi="Cambria Math"/>
                  </w:rPr>
                  <m:t>MLO=</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ECR</m:t>
                        </m:r>
                      </m:e>
                      <m:sub>
                        <m:r>
                          <m:rPr>
                            <m:sty m:val="p"/>
                          </m:rPr>
                          <w:rPr>
                            <w:rFonts w:ascii="Cambria Math" w:hAnsi="Cambria Math"/>
                          </w:rPr>
                          <m:t>hot</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7451FA97" w14:textId="77777777" w:rsidR="00C17023" w:rsidRDefault="00C17023" w:rsidP="00104431">
            <w:pPr>
              <w:spacing w:after="0"/>
              <w:jc w:val="right"/>
            </w:pPr>
            <w:r>
              <w:t>(4.6-23)</w:t>
            </w:r>
          </w:p>
        </w:tc>
      </w:tr>
    </w:tbl>
    <w:p w14:paraId="1F0CCCB0" w14:textId="77777777" w:rsidR="00C17023" w:rsidRDefault="00C17023" w:rsidP="00C17023">
      <w:pPr>
        <w:pStyle w:val="FirstParagraph"/>
      </w:pPr>
      <w:r>
        <w:t>In this formulation, the hot pin is not intended to represent the mean condition of failed rods or oxidizing rods. It represents the limiting local rod condition for evaluating peak cladding temperature and maximum local oxidation.</w:t>
      </w:r>
    </w:p>
    <w:p w14:paraId="49153209" w14:textId="77777777" w:rsidR="00C17023" w:rsidRDefault="00C17023" w:rsidP="00C17023">
      <w:pPr>
        <w:pStyle w:val="Heading2"/>
        <w:keepNext/>
      </w:pPr>
      <w:bookmarkStart w:id="34" w:name="_Toc231232879"/>
      <w:r>
        <w:t>4.6.6 Mean Oxidizing Rod</w:t>
      </w:r>
      <w:bookmarkEnd w:id="34"/>
    </w:p>
    <w:p w14:paraId="4D2D62A7" w14:textId="77777777" w:rsidR="00C17023" w:rsidRDefault="00C17023" w:rsidP="00C17023">
      <w:pPr>
        <w:pStyle w:val="FirstParagraph"/>
      </w:pPr>
      <w:r>
        <w:t xml:space="preserve">The mean oxidizing rod is a separate derived rod state used to estimate oxidation-integrated source-term and hydrogen-production quantities. It represents the mean condition of the subset of rods whose temperatures exceed the oxidation threshold. This distinction is important because the hot pin may </w:t>
      </w:r>
      <w:r>
        <w:lastRenderedPageBreak/>
        <w:t>substantially overstate the oxidation state of the broader rod population, while the core-average rod may understate the oxidation state of rods that actually contribute to zirconium-steam reaction.</w:t>
      </w:r>
    </w:p>
    <w:p w14:paraId="612E8346" w14:textId="3B41ED26" w:rsidR="00C17023" w:rsidRDefault="00C17023" w:rsidP="00C17023">
      <w:pPr>
        <w:pStyle w:val="BodyText"/>
      </w:pPr>
      <w:r>
        <w:t xml:space="preserve">Let </w:t>
      </w:r>
      <m:oMath>
        <m:sSub>
          <m:sSubPr>
            <m:ctrlPr>
              <w:rPr>
                <w:rFonts w:ascii="Cambria Math" w:hAnsi="Cambria Math"/>
              </w:rPr>
            </m:ctrlPr>
          </m:sSubPr>
          <m:e>
            <m:r>
              <w:rPr>
                <w:rFonts w:ascii="Cambria Math" w:hAnsi="Cambria Math"/>
              </w:rPr>
              <m:t>T</m:t>
            </m:r>
          </m:e>
          <m:sub>
            <m:r>
              <m:rPr>
                <m:sty m:val="p"/>
              </m:rPr>
              <w:rPr>
                <w:rFonts w:ascii="Cambria Math" w:hAnsi="Cambria Math"/>
              </w:rPr>
              <m:t>ox</m:t>
            </m:r>
          </m:sub>
        </m:sSub>
      </m:oMath>
      <w:r>
        <w:t xml:space="preserve"> be the temperature threshold above which zirconium oxidation is credited as significant (FLARE assumes a default threshold temperature of 800 C). At each time, the critical peaking multiplier for oxidation is</w:t>
      </w:r>
    </w:p>
    <w:tbl>
      <w:tblPr>
        <w:tblStyle w:val="Table"/>
        <w:tblW w:w="0" w:type="auto"/>
        <w:jc w:val="center"/>
        <w:tblLayout w:type="fixed"/>
        <w:tblLook w:val="04A0" w:firstRow="1" w:lastRow="0" w:firstColumn="1" w:lastColumn="0" w:noHBand="0" w:noVBand="1"/>
      </w:tblPr>
      <w:tblGrid>
        <w:gridCol w:w="8200"/>
        <w:gridCol w:w="1200"/>
      </w:tblGrid>
      <w:tr w:rsidR="00C17023" w14:paraId="1ED1D7DD" w14:textId="77777777" w:rsidTr="00104431">
        <w:trPr>
          <w:cnfStyle w:val="100000000000" w:firstRow="1" w:lastRow="0" w:firstColumn="0" w:lastColumn="0" w:oddVBand="0" w:evenVBand="0" w:oddHBand="0" w:evenHBand="0" w:firstRowFirstColumn="0" w:firstRowLastColumn="0" w:lastRowFirstColumn="0" w:lastRowLastColumn="0"/>
          <w:trHeight w:val="738"/>
          <w:jc w:val="center"/>
        </w:trPr>
        <w:tc>
          <w:tcPr>
            <w:tcW w:w="8200" w:type="dxa"/>
            <w:tcBorders>
              <w:bottom w:val="none" w:sz="0" w:space="0" w:color="auto"/>
            </w:tcBorders>
            <w:vAlign w:val="center"/>
          </w:tcPr>
          <w:p w14:paraId="506EEFC4"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ox,crit</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ox</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clad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den>
                </m:f>
              </m:oMath>
            </m:oMathPara>
          </w:p>
        </w:tc>
        <w:tc>
          <w:tcPr>
            <w:tcW w:w="1200" w:type="dxa"/>
            <w:tcBorders>
              <w:bottom w:val="none" w:sz="0" w:space="0" w:color="auto"/>
            </w:tcBorders>
            <w:vAlign w:val="center"/>
          </w:tcPr>
          <w:p w14:paraId="4AF11C27" w14:textId="77777777" w:rsidR="00C17023" w:rsidRDefault="00C17023" w:rsidP="00104431">
            <w:pPr>
              <w:spacing w:after="0"/>
              <w:jc w:val="right"/>
            </w:pPr>
            <w:r>
              <w:t>(4.6-24)</w:t>
            </w:r>
          </w:p>
        </w:tc>
      </w:tr>
    </w:tbl>
    <w:p w14:paraId="73530F00" w14:textId="77777777" w:rsidR="00C17023" w:rsidRDefault="00C17023" w:rsidP="00C17023">
      <w:pPr>
        <w:pStyle w:val="FirstParagraph"/>
      </w:pPr>
      <w:r>
        <w:t>The instantaneous oxidizing fraction is</w:t>
      </w:r>
    </w:p>
    <w:tbl>
      <w:tblPr>
        <w:tblStyle w:val="Table"/>
        <w:tblW w:w="0" w:type="auto"/>
        <w:jc w:val="center"/>
        <w:tblLayout w:type="fixed"/>
        <w:tblLook w:val="04A0" w:firstRow="1" w:lastRow="0" w:firstColumn="1" w:lastColumn="0" w:noHBand="0" w:noVBand="1"/>
      </w:tblPr>
      <w:tblGrid>
        <w:gridCol w:w="8200"/>
        <w:gridCol w:w="1200"/>
      </w:tblGrid>
      <w:tr w:rsidR="00C17023" w14:paraId="0BBB3FF2" w14:textId="77777777" w:rsidTr="00104431">
        <w:trPr>
          <w:cnfStyle w:val="100000000000" w:firstRow="1" w:lastRow="0" w:firstColumn="0" w:lastColumn="0" w:oddVBand="0" w:evenVBand="0" w:oddHBand="0" w:evenHBand="0" w:firstRowFirstColumn="0" w:firstRowLastColumn="0" w:lastRowFirstColumn="0" w:lastRowLastColumn="0"/>
          <w:trHeight w:val="792"/>
          <w:jc w:val="center"/>
        </w:trPr>
        <w:tc>
          <w:tcPr>
            <w:tcW w:w="8200" w:type="dxa"/>
            <w:tcBorders>
              <w:bottom w:val="none" w:sz="0" w:space="0" w:color="auto"/>
            </w:tcBorders>
            <w:vAlign w:val="center"/>
          </w:tcPr>
          <w:p w14:paraId="54736B69"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ox</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Φ</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ox,crit</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F</m:t>
                            </m:r>
                          </m:sub>
                        </m:sSub>
                      </m:den>
                    </m:f>
                  </m:e>
                </m:d>
              </m:oMath>
            </m:oMathPara>
          </w:p>
        </w:tc>
        <w:tc>
          <w:tcPr>
            <w:tcW w:w="1200" w:type="dxa"/>
            <w:tcBorders>
              <w:bottom w:val="none" w:sz="0" w:space="0" w:color="auto"/>
            </w:tcBorders>
            <w:vAlign w:val="center"/>
          </w:tcPr>
          <w:p w14:paraId="6AEC7116" w14:textId="77777777" w:rsidR="00C17023" w:rsidRDefault="00C17023" w:rsidP="00104431">
            <w:pPr>
              <w:spacing w:after="0"/>
              <w:jc w:val="right"/>
            </w:pPr>
            <w:r>
              <w:t>(4.6-25)</w:t>
            </w:r>
          </w:p>
        </w:tc>
      </w:tr>
    </w:tbl>
    <w:p w14:paraId="2990F092" w14:textId="77777777" w:rsidR="00C17023" w:rsidRDefault="00C17023" w:rsidP="00C17023">
      <w:pPr>
        <w:pStyle w:val="FirstParagraph"/>
      </w:pPr>
      <w:r>
        <w:t>For a normally distributed peaking multiplier, the conditional mean multiplier of rods in the oxidizing subset is</w:t>
      </w:r>
    </w:p>
    <w:tbl>
      <w:tblPr>
        <w:tblStyle w:val="Table"/>
        <w:tblW w:w="0" w:type="auto"/>
        <w:jc w:val="center"/>
        <w:tblLayout w:type="fixed"/>
        <w:tblLook w:val="04A0" w:firstRow="1" w:lastRow="0" w:firstColumn="1" w:lastColumn="0" w:noHBand="0" w:noVBand="1"/>
      </w:tblPr>
      <w:tblGrid>
        <w:gridCol w:w="8200"/>
        <w:gridCol w:w="1200"/>
      </w:tblGrid>
      <w:tr w:rsidR="00C17023" w14:paraId="51485B92" w14:textId="77777777" w:rsidTr="00104431">
        <w:trPr>
          <w:cnfStyle w:val="100000000000" w:firstRow="1" w:lastRow="0" w:firstColumn="0" w:lastColumn="0" w:oddVBand="0" w:evenVBand="0" w:oddHBand="0" w:evenHBand="0" w:firstRowFirstColumn="0" w:firstRowLastColumn="0" w:lastRowFirstColumn="0" w:lastRowLastColumn="0"/>
          <w:trHeight w:val="522"/>
          <w:jc w:val="center"/>
        </w:trPr>
        <w:tc>
          <w:tcPr>
            <w:tcW w:w="8200" w:type="dxa"/>
            <w:tcBorders>
              <w:bottom w:val="none" w:sz="0" w:space="0" w:color="auto"/>
            </w:tcBorders>
            <w:vAlign w:val="center"/>
          </w:tcPr>
          <w:p w14:paraId="3869D9B8"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ox</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E</m:t>
                </m:r>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r</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ox,crit</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4FD24906" w14:textId="77777777" w:rsidR="00C17023" w:rsidRDefault="00C17023" w:rsidP="00104431">
            <w:pPr>
              <w:spacing w:after="0"/>
              <w:jc w:val="right"/>
            </w:pPr>
            <w:r>
              <w:t>(4.6-26)</w:t>
            </w:r>
          </w:p>
        </w:tc>
      </w:tr>
    </w:tbl>
    <w:p w14:paraId="5FEDDB8F" w14:textId="77777777" w:rsidR="00C17023" w:rsidRDefault="00C17023" w:rsidP="00C17023">
      <w:pPr>
        <w:pStyle w:val="FirstParagraph"/>
      </w:pPr>
      <w:r>
        <w:t>or</w:t>
      </w:r>
    </w:p>
    <w:tbl>
      <w:tblPr>
        <w:tblStyle w:val="Table"/>
        <w:tblW w:w="0" w:type="auto"/>
        <w:jc w:val="center"/>
        <w:tblLayout w:type="fixed"/>
        <w:tblLook w:val="04A0" w:firstRow="1" w:lastRow="0" w:firstColumn="1" w:lastColumn="0" w:noHBand="0" w:noVBand="1"/>
      </w:tblPr>
      <w:tblGrid>
        <w:gridCol w:w="8200"/>
        <w:gridCol w:w="1200"/>
      </w:tblGrid>
      <w:tr w:rsidR="00C17023" w14:paraId="7656E4D8"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8200" w:type="dxa"/>
            <w:tcBorders>
              <w:bottom w:val="none" w:sz="0" w:space="0" w:color="auto"/>
            </w:tcBorders>
            <w:vAlign w:val="center"/>
          </w:tcPr>
          <w:p w14:paraId="430CEFE4"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ox</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f>
                  <m:fPr>
                    <m:ctrlPr>
                      <w:rPr>
                        <w:rFonts w:ascii="Cambria Math" w:hAnsi="Cambria Math"/>
                      </w:rPr>
                    </m:ctrlPr>
                  </m:fPr>
                  <m:num>
                    <m:r>
                      <w:rPr>
                        <w:rFonts w:ascii="Cambria Math" w:hAnsi="Cambria Math"/>
                      </w:rPr>
                      <m:t>ϕ</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ox</m:t>
                            </m:r>
                          </m:sub>
                        </m:sSub>
                        <m:d>
                          <m:dPr>
                            <m:ctrlPr>
                              <w:rPr>
                                <w:rFonts w:ascii="Cambria Math" w:hAnsi="Cambria Math"/>
                              </w:rPr>
                            </m:ctrlPr>
                          </m:dPr>
                          <m:e>
                            <m:r>
                              <w:rPr>
                                <w:rFonts w:ascii="Cambria Math" w:hAnsi="Cambria Math"/>
                              </w:rPr>
                              <m:t>t</m:t>
                            </m:r>
                          </m:e>
                        </m:d>
                      </m:e>
                    </m:d>
                  </m:num>
                  <m:den>
                    <m:r>
                      <w:rPr>
                        <w:rFonts w:ascii="Cambria Math" w:hAnsi="Cambria Math"/>
                      </w:rPr>
                      <m:t>1</m:t>
                    </m:r>
                    <m:r>
                      <m:rPr>
                        <m:sty m:val="p"/>
                      </m:rPr>
                      <w:rPr>
                        <w:rFonts w:ascii="Cambria Math" w:hAnsi="Cambria Math"/>
                      </w:rPr>
                      <m:t>-</m:t>
                    </m:r>
                    <m:r>
                      <w:rPr>
                        <w:rFonts w:ascii="Cambria Math" w:hAnsi="Cambria Math"/>
                      </w:rPr>
                      <m:t>Φ</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ox</m:t>
                            </m:r>
                          </m:sub>
                        </m:sSub>
                        <m:d>
                          <m:dPr>
                            <m:ctrlPr>
                              <w:rPr>
                                <w:rFonts w:ascii="Cambria Math" w:hAnsi="Cambria Math"/>
                              </w:rPr>
                            </m:ctrlPr>
                          </m:dPr>
                          <m:e>
                            <m:r>
                              <w:rPr>
                                <w:rFonts w:ascii="Cambria Math" w:hAnsi="Cambria Math"/>
                              </w:rPr>
                              <m:t>t</m:t>
                            </m:r>
                          </m:e>
                        </m:d>
                      </m:e>
                    </m:d>
                  </m:den>
                </m:f>
              </m:oMath>
            </m:oMathPara>
          </w:p>
        </w:tc>
        <w:tc>
          <w:tcPr>
            <w:tcW w:w="1200" w:type="dxa"/>
            <w:tcBorders>
              <w:bottom w:val="none" w:sz="0" w:space="0" w:color="auto"/>
            </w:tcBorders>
            <w:vAlign w:val="center"/>
          </w:tcPr>
          <w:p w14:paraId="625BC9BB" w14:textId="77777777" w:rsidR="00C17023" w:rsidRDefault="00C17023" w:rsidP="00104431">
            <w:pPr>
              <w:spacing w:after="0"/>
              <w:jc w:val="right"/>
            </w:pPr>
            <w:r>
              <w:t>(4.6-27)</w:t>
            </w:r>
          </w:p>
        </w:tc>
      </w:tr>
    </w:tbl>
    <w:p w14:paraId="7E963178" w14:textId="77777777" w:rsidR="00C17023" w:rsidRDefault="00C17023" w:rsidP="00C17023">
      <w:pPr>
        <w:pStyle w:val="FirstParagraph"/>
      </w:pPr>
      <w:r>
        <w:t>where</w:t>
      </w:r>
    </w:p>
    <w:tbl>
      <w:tblPr>
        <w:tblStyle w:val="Table"/>
        <w:tblW w:w="0" w:type="auto"/>
        <w:jc w:val="center"/>
        <w:tblLayout w:type="fixed"/>
        <w:tblLook w:val="04A0" w:firstRow="1" w:lastRow="0" w:firstColumn="1" w:lastColumn="0" w:noHBand="0" w:noVBand="1"/>
      </w:tblPr>
      <w:tblGrid>
        <w:gridCol w:w="8200"/>
        <w:gridCol w:w="1200"/>
      </w:tblGrid>
      <w:tr w:rsidR="00C17023" w14:paraId="33FADF7A" w14:textId="77777777" w:rsidTr="00104431">
        <w:trPr>
          <w:cnfStyle w:val="100000000000" w:firstRow="1" w:lastRow="0" w:firstColumn="0" w:lastColumn="0" w:oddVBand="0" w:evenVBand="0" w:oddHBand="0" w:evenHBand="0" w:firstRowFirstColumn="0" w:firstRowLastColumn="0" w:lastRowFirstColumn="0" w:lastRowLastColumn="0"/>
          <w:trHeight w:val="720"/>
          <w:jc w:val="center"/>
        </w:trPr>
        <w:tc>
          <w:tcPr>
            <w:tcW w:w="8200" w:type="dxa"/>
            <w:tcBorders>
              <w:bottom w:val="none" w:sz="0" w:space="0" w:color="auto"/>
            </w:tcBorders>
            <w:vAlign w:val="center"/>
          </w:tcPr>
          <w:p w14:paraId="62F4C44C"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z</m:t>
                    </m:r>
                  </m:e>
                  <m:sub>
                    <m:r>
                      <m:rPr>
                        <m:sty m:val="p"/>
                      </m:rPr>
                      <w:rPr>
                        <w:rFonts w:ascii="Cambria Math" w:hAnsi="Cambria Math"/>
                      </w:rPr>
                      <m:t>ox</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ox,crit</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F</m:t>
                        </m:r>
                      </m:sub>
                    </m:sSub>
                  </m:den>
                </m:f>
              </m:oMath>
            </m:oMathPara>
          </w:p>
        </w:tc>
        <w:tc>
          <w:tcPr>
            <w:tcW w:w="1200" w:type="dxa"/>
            <w:tcBorders>
              <w:bottom w:val="none" w:sz="0" w:space="0" w:color="auto"/>
            </w:tcBorders>
            <w:vAlign w:val="center"/>
          </w:tcPr>
          <w:p w14:paraId="631B939D" w14:textId="77777777" w:rsidR="00C17023" w:rsidRDefault="00C17023" w:rsidP="00104431">
            <w:pPr>
              <w:spacing w:after="0"/>
              <w:jc w:val="right"/>
            </w:pPr>
            <w:r>
              <w:t>(4.6-28)</w:t>
            </w:r>
          </w:p>
        </w:tc>
      </w:tr>
    </w:tbl>
    <w:p w14:paraId="3A5C254F" w14:textId="77777777" w:rsidR="00C17023" w:rsidRDefault="00C17023" w:rsidP="00C17023">
      <w:pPr>
        <w:pStyle w:val="FirstParagraph"/>
      </w:pPr>
      <w:r>
        <w:t xml:space="preserve">and </w:t>
      </w:r>
      <m:oMath>
        <m:r>
          <w:rPr>
            <w:rFonts w:ascii="Cambria Math" w:hAnsi="Cambria Math"/>
          </w:rPr>
          <m:t>ϕ</m:t>
        </m:r>
      </m:oMath>
      <w:r>
        <w:t xml:space="preserve"> is the standard normal probability density function.</w:t>
      </w:r>
    </w:p>
    <w:p w14:paraId="7C10274E" w14:textId="77777777" w:rsidR="00C17023" w:rsidRDefault="00C17023" w:rsidP="00C17023">
      <w:pPr>
        <w:pStyle w:val="BodyText"/>
      </w:pPr>
      <w:r>
        <w:t>The mean oxidizing rod temperature is then</w:t>
      </w:r>
    </w:p>
    <w:tbl>
      <w:tblPr>
        <w:tblStyle w:val="Table"/>
        <w:tblW w:w="0" w:type="auto"/>
        <w:jc w:val="center"/>
        <w:tblLayout w:type="fixed"/>
        <w:tblLook w:val="04A0" w:firstRow="1" w:lastRow="0" w:firstColumn="1" w:lastColumn="0" w:noHBand="0" w:noVBand="1"/>
      </w:tblPr>
      <w:tblGrid>
        <w:gridCol w:w="8200"/>
        <w:gridCol w:w="1200"/>
      </w:tblGrid>
      <w:tr w:rsidR="00C17023" w14:paraId="7766B2C7" w14:textId="77777777" w:rsidTr="00104431">
        <w:trPr>
          <w:cnfStyle w:val="100000000000" w:firstRow="1" w:lastRow="0" w:firstColumn="0" w:lastColumn="0" w:oddVBand="0" w:evenVBand="0" w:oddHBand="0" w:evenHBand="0" w:firstRowFirstColumn="0" w:firstRowLastColumn="0" w:lastRowFirstColumn="0" w:lastRowLastColumn="0"/>
          <w:trHeight w:val="432"/>
          <w:jc w:val="center"/>
        </w:trPr>
        <w:tc>
          <w:tcPr>
            <w:tcW w:w="8200" w:type="dxa"/>
            <w:tcBorders>
              <w:bottom w:val="none" w:sz="0" w:space="0" w:color="auto"/>
            </w:tcBorders>
            <w:vAlign w:val="center"/>
          </w:tcPr>
          <w:p w14:paraId="12C0D2DA"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mean ox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m:rPr>
                        <m:sty m:val="p"/>
                      </m:rPr>
                      <w:rPr>
                        <w:rFonts w:ascii="Cambria Math" w:hAnsi="Cambria Math"/>
                      </w:rPr>
                      <m:t>ox</m:t>
                    </m:r>
                  </m:sub>
                </m:sSub>
                <m:d>
                  <m:dPr>
                    <m:ctrlPr>
                      <w:rPr>
                        <w:rFonts w:ascii="Cambria Math" w:hAnsi="Cambria Math"/>
                      </w:rPr>
                    </m:ctrlPr>
                  </m:dPr>
                  <m:e>
                    <m:r>
                      <w:rPr>
                        <w:rFonts w:ascii="Cambria Math" w:hAnsi="Cambria Math"/>
                      </w:rPr>
                      <m:t>t</m:t>
                    </m:r>
                  </m:e>
                </m:d>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clad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0A659DE3" w14:textId="77777777" w:rsidR="00C17023" w:rsidRDefault="00C17023" w:rsidP="00104431">
            <w:pPr>
              <w:spacing w:after="0"/>
              <w:jc w:val="right"/>
            </w:pPr>
            <w:r>
              <w:t>(4.6-29)</w:t>
            </w:r>
          </w:p>
        </w:tc>
      </w:tr>
    </w:tbl>
    <w:p w14:paraId="39E567AA" w14:textId="77777777" w:rsidR="00C17023" w:rsidRDefault="00C17023" w:rsidP="00C17023">
      <w:pPr>
        <w:pStyle w:val="FirstParagraph"/>
      </w:pPr>
      <w:r>
        <w:t>The corresponding mean oxidizing rod ECR is</w:t>
      </w:r>
    </w:p>
    <w:tbl>
      <w:tblPr>
        <w:tblStyle w:val="Table"/>
        <w:tblW w:w="0" w:type="auto"/>
        <w:jc w:val="center"/>
        <w:tblLayout w:type="fixed"/>
        <w:tblLook w:val="04A0" w:firstRow="1" w:lastRow="0" w:firstColumn="1" w:lastColumn="0" w:noHBand="0" w:noVBand="1"/>
      </w:tblPr>
      <w:tblGrid>
        <w:gridCol w:w="8200"/>
        <w:gridCol w:w="1200"/>
      </w:tblGrid>
      <w:tr w:rsidR="00C17023" w14:paraId="2B00339B" w14:textId="77777777" w:rsidTr="00104431">
        <w:trPr>
          <w:cnfStyle w:val="100000000000" w:firstRow="1" w:lastRow="0" w:firstColumn="0" w:lastColumn="0" w:oddVBand="0" w:evenVBand="0" w:oddHBand="0" w:evenHBand="0" w:firstRowFirstColumn="0" w:firstRowLastColumn="0" w:lastRowFirstColumn="0" w:lastRowLastColumn="0"/>
          <w:trHeight w:val="432"/>
          <w:jc w:val="center"/>
        </w:trPr>
        <w:tc>
          <w:tcPr>
            <w:tcW w:w="8200" w:type="dxa"/>
            <w:tcBorders>
              <w:bottom w:val="none" w:sz="0" w:space="0" w:color="auto"/>
            </w:tcBorders>
            <w:vAlign w:val="center"/>
          </w:tcPr>
          <w:p w14:paraId="30C6C9D6"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m:rPr>
                        <m:sty m:val="p"/>
                      </m:rPr>
                      <w:rPr>
                        <w:rFonts w:ascii="Cambria Math" w:hAnsi="Cambria Math"/>
                      </w:rPr>
                      <m:t>ECR</m:t>
                    </m:r>
                  </m:e>
                  <m:sub>
                    <m:r>
                      <m:rPr>
                        <m:sty m:val="p"/>
                      </m:rPr>
                      <w:rPr>
                        <w:rFonts w:ascii="Cambria Math" w:hAnsi="Cambria Math"/>
                      </w:rPr>
                      <m:t>mean ox</m:t>
                    </m:r>
                  </m:sub>
                </m:sSub>
                <m:d>
                  <m:dPr>
                    <m:ctrlPr>
                      <w:rPr>
                        <w:rFonts w:ascii="Cambria Math" w:hAnsi="Cambria Math"/>
                      </w:rPr>
                    </m:ctrlPr>
                  </m:dPr>
                  <m:e>
                    <m:r>
                      <w:rPr>
                        <w:rFonts w:ascii="Cambria Math" w:hAnsi="Cambria Math"/>
                      </w:rPr>
                      <m:t>t</m:t>
                    </m:r>
                  </m:e>
                </m:d>
                <m:r>
                  <m:rPr>
                    <m:sty m:val="p"/>
                  </m:rPr>
                  <w:rPr>
                    <w:rFonts w:ascii="Cambria Math" w:hAnsi="Cambria Math"/>
                  </w:rPr>
                  <m:t>=</m:t>
                </m:r>
                <m:r>
                  <m:rPr>
                    <m:scr m:val="script"/>
                    <m:sty m:val="p"/>
                  </m:rPr>
                  <w:rPr>
                    <w:rFonts w:ascii="Cambria Math" w:hAnsi="Cambria Math"/>
                  </w:rPr>
                  <m:t>O</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mean ox</m:t>
                        </m:r>
                      </m:sub>
                    </m:sSub>
                    <m:d>
                      <m:dPr>
                        <m:ctrlPr>
                          <w:rPr>
                            <w:rFonts w:ascii="Cambria Math" w:hAnsi="Cambria Math"/>
                          </w:rPr>
                        </m:ctrlPr>
                      </m:dPr>
                      <m:e>
                        <m:r>
                          <w:rPr>
                            <w:rFonts w:ascii="Cambria Math" w:hAnsi="Cambria Math"/>
                          </w:rPr>
                          <m:t>τ</m:t>
                        </m:r>
                      </m:e>
                    </m:d>
                    <m:r>
                      <m:rPr>
                        <m:sty m:val="p"/>
                      </m:rPr>
                      <w:rPr>
                        <w:rFonts w:ascii="Cambria Math" w:hAnsi="Cambria Math"/>
                      </w:rPr>
                      <m:t>,</m:t>
                    </m:r>
                    <m:r>
                      <w:rPr>
                        <w:rFonts w:ascii="Cambria Math" w:hAnsi="Cambria Math"/>
                      </w:rPr>
                      <m:t> </m:t>
                    </m:r>
                    <m:r>
                      <w:rPr>
                        <w:rFonts w:ascii="Cambria Math" w:hAnsi="Cambria Math"/>
                      </w:rPr>
                      <m:t>0</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e>
                </m:d>
              </m:oMath>
            </m:oMathPara>
          </w:p>
        </w:tc>
        <w:tc>
          <w:tcPr>
            <w:tcW w:w="1200" w:type="dxa"/>
            <w:tcBorders>
              <w:bottom w:val="none" w:sz="0" w:space="0" w:color="auto"/>
            </w:tcBorders>
            <w:vAlign w:val="center"/>
          </w:tcPr>
          <w:p w14:paraId="5539F1DB" w14:textId="77777777" w:rsidR="00C17023" w:rsidRDefault="00C17023" w:rsidP="00104431">
            <w:pPr>
              <w:spacing w:after="0"/>
              <w:jc w:val="right"/>
            </w:pPr>
            <w:r>
              <w:t>(4.6-30)</w:t>
            </w:r>
          </w:p>
        </w:tc>
      </w:tr>
    </w:tbl>
    <w:p w14:paraId="41C87B01" w14:textId="77777777" w:rsidR="00C17023" w:rsidRDefault="00C17023" w:rsidP="00C17023">
      <w:pPr>
        <w:pStyle w:val="FirstParagraph"/>
      </w:pPr>
      <w:r>
        <w:t>This value is used where a population-representative oxidation measure is more appropriate than the hot-pin ECR. In particular, severe-event source-term escalation is based on the maximum mean oxidizing rod ECR rather than the hot-pin ECR:</w:t>
      </w:r>
    </w:p>
    <w:tbl>
      <w:tblPr>
        <w:tblStyle w:val="Table"/>
        <w:tblW w:w="0" w:type="auto"/>
        <w:jc w:val="center"/>
        <w:tblLayout w:type="fixed"/>
        <w:tblLook w:val="04A0" w:firstRow="1" w:lastRow="0" w:firstColumn="1" w:lastColumn="0" w:noHBand="0" w:noVBand="1"/>
      </w:tblPr>
      <w:tblGrid>
        <w:gridCol w:w="8200"/>
        <w:gridCol w:w="1200"/>
      </w:tblGrid>
      <w:tr w:rsidR="00C17023" w14:paraId="79BD8C5A" w14:textId="77777777" w:rsidTr="00104431">
        <w:trPr>
          <w:cnfStyle w:val="100000000000" w:firstRow="1" w:lastRow="0" w:firstColumn="0" w:lastColumn="0" w:oddVBand="0" w:evenVBand="0" w:oddHBand="0" w:evenHBand="0" w:firstRowFirstColumn="0" w:firstRowLastColumn="0" w:lastRowFirstColumn="0" w:lastRowLastColumn="0"/>
          <w:trHeight w:val="783"/>
          <w:jc w:val="center"/>
        </w:trPr>
        <w:tc>
          <w:tcPr>
            <w:tcW w:w="8200" w:type="dxa"/>
            <w:tcBorders>
              <w:bottom w:val="none" w:sz="0" w:space="0" w:color="auto"/>
            </w:tcBorders>
            <w:vAlign w:val="center"/>
          </w:tcPr>
          <w:p w14:paraId="4323A9F5"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mean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ECR</m:t>
                            </m:r>
                          </m:e>
                          <m:sub>
                            <m:r>
                              <m:rPr>
                                <m:sty m:val="p"/>
                              </m:rPr>
                              <w:rPr>
                                <w:rFonts w:ascii="Cambria Math" w:hAnsi="Cambria Math"/>
                              </w:rPr>
                              <m:t>mean ox</m:t>
                            </m:r>
                          </m:sub>
                        </m:sSub>
                        <m:d>
                          <m:dPr>
                            <m:ctrlPr>
                              <w:rPr>
                                <w:rFonts w:ascii="Cambria Math" w:hAnsi="Cambria Math"/>
                              </w:rPr>
                            </m:ctrlPr>
                          </m:dPr>
                          <m:e>
                            <m:r>
                              <w:rPr>
                                <w:rFonts w:ascii="Cambria Math" w:hAnsi="Cambria Math"/>
                              </w:rPr>
                              <m:t>t</m:t>
                            </m:r>
                          </m:e>
                        </m:d>
                      </m:num>
                      <m:den>
                        <m:r>
                          <w:rPr>
                            <w:rFonts w:ascii="Cambria Math" w:hAnsi="Cambria Math"/>
                          </w:rPr>
                          <m:t>100</m:t>
                        </m:r>
                      </m:den>
                    </m:f>
                  </m:e>
                </m:d>
              </m:oMath>
            </m:oMathPara>
          </w:p>
        </w:tc>
        <w:tc>
          <w:tcPr>
            <w:tcW w:w="1200" w:type="dxa"/>
            <w:tcBorders>
              <w:bottom w:val="none" w:sz="0" w:space="0" w:color="auto"/>
            </w:tcBorders>
            <w:vAlign w:val="center"/>
          </w:tcPr>
          <w:p w14:paraId="4A3BF89D" w14:textId="77777777" w:rsidR="00C17023" w:rsidRDefault="00C17023" w:rsidP="00104431">
            <w:pPr>
              <w:spacing w:after="0"/>
              <w:jc w:val="right"/>
            </w:pPr>
            <w:r>
              <w:t>(4.6-31)</w:t>
            </w:r>
          </w:p>
        </w:tc>
      </w:tr>
    </w:tbl>
    <w:p w14:paraId="77BE596B" w14:textId="77777777" w:rsidR="00C17023" w:rsidRDefault="00C17023" w:rsidP="00C17023">
      <w:pPr>
        <w:pStyle w:val="FirstParagraph"/>
      </w:pPr>
      <w:r>
        <w:t xml:space="preserve">where </w:t>
      </w:r>
      <m:oMath>
        <m:sSub>
          <m:sSubPr>
            <m:ctrlPr>
              <w:rPr>
                <w:rFonts w:ascii="Cambria Math" w:hAnsi="Cambria Math"/>
              </w:rPr>
            </m:ctrlPr>
          </m:sSubPr>
          <m:e>
            <m:r>
              <w:rPr>
                <w:rFonts w:ascii="Cambria Math" w:hAnsi="Cambria Math"/>
              </w:rPr>
              <m:t>E</m:t>
            </m:r>
          </m:e>
          <m:sub>
            <m:r>
              <m:rPr>
                <m:sty m:val="p"/>
              </m:rPr>
              <w:rPr>
                <w:rFonts w:ascii="Cambria Math" w:hAnsi="Cambria Math"/>
              </w:rPr>
              <m:t>mean</m:t>
            </m:r>
          </m:sub>
        </m:sSub>
      </m:oMath>
      <w:r>
        <w:t xml:space="preserve"> is expressed as a fraction rather than percent.</w:t>
      </w:r>
    </w:p>
    <w:p w14:paraId="5C796078" w14:textId="77777777" w:rsidR="00C17023" w:rsidRDefault="00C17023" w:rsidP="00C17023">
      <w:pPr>
        <w:pStyle w:val="Heading2"/>
        <w:keepNext/>
      </w:pPr>
      <w:bookmarkStart w:id="35" w:name="_Toc231232880"/>
      <w:r>
        <w:lastRenderedPageBreak/>
        <w:t>4.6.7 Population Weighting for Hydrogen Generation</w:t>
      </w:r>
      <w:bookmarkEnd w:id="35"/>
    </w:p>
    <w:p w14:paraId="3776CC83" w14:textId="77777777" w:rsidR="00C17023" w:rsidRDefault="00C17023" w:rsidP="00C17023">
      <w:pPr>
        <w:pStyle w:val="FirstParagraph"/>
      </w:pPr>
      <w:r>
        <w:t>The total zirconium-steam reaction and hydrogen generation depend on both the oxidation rate and the number of rods participating in the reaction. FLARE therefore separates the local oxidation severity from the oxidizing population fraction. The number of rods participating in oxidation is estimated as</w:t>
      </w:r>
    </w:p>
    <w:tbl>
      <w:tblPr>
        <w:tblStyle w:val="Table"/>
        <w:tblW w:w="0" w:type="auto"/>
        <w:jc w:val="center"/>
        <w:tblLayout w:type="fixed"/>
        <w:tblLook w:val="04A0" w:firstRow="1" w:lastRow="0" w:firstColumn="1" w:lastColumn="0" w:noHBand="0" w:noVBand="1"/>
      </w:tblPr>
      <w:tblGrid>
        <w:gridCol w:w="8200"/>
        <w:gridCol w:w="1200"/>
      </w:tblGrid>
      <w:tr w:rsidR="00C17023" w14:paraId="5F8AFD38" w14:textId="77777777" w:rsidTr="00104431">
        <w:trPr>
          <w:cnfStyle w:val="100000000000" w:firstRow="1" w:lastRow="0" w:firstColumn="0" w:lastColumn="0" w:oddVBand="0" w:evenVBand="0" w:oddHBand="0" w:evenHBand="0" w:firstRowFirstColumn="0" w:firstRowLastColumn="0" w:lastRowFirstColumn="0" w:lastRowLastColumn="0"/>
          <w:trHeight w:val="387"/>
          <w:jc w:val="center"/>
        </w:trPr>
        <w:tc>
          <w:tcPr>
            <w:tcW w:w="8200" w:type="dxa"/>
            <w:tcBorders>
              <w:bottom w:val="none" w:sz="0" w:space="0" w:color="auto"/>
            </w:tcBorders>
            <w:vAlign w:val="center"/>
          </w:tcPr>
          <w:p w14:paraId="63908D29"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ox</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N</m:t>
                    </m:r>
                  </m:e>
                  <m:sub>
                    <m:r>
                      <m:rPr>
                        <m:sty m:val="p"/>
                      </m:rPr>
                      <w:rPr>
                        <w:rFonts w:ascii="Cambria Math" w:hAnsi="Cambria Math"/>
                      </w:rPr>
                      <m:t>rod</m:t>
                    </m:r>
                  </m:sub>
                </m:sSub>
              </m:oMath>
            </m:oMathPara>
          </w:p>
        </w:tc>
        <w:tc>
          <w:tcPr>
            <w:tcW w:w="1200" w:type="dxa"/>
            <w:tcBorders>
              <w:bottom w:val="none" w:sz="0" w:space="0" w:color="auto"/>
            </w:tcBorders>
            <w:vAlign w:val="center"/>
          </w:tcPr>
          <w:p w14:paraId="3B845A5A" w14:textId="77777777" w:rsidR="00C17023" w:rsidRDefault="00C17023" w:rsidP="00104431">
            <w:pPr>
              <w:spacing w:after="0"/>
              <w:jc w:val="right"/>
            </w:pPr>
            <w:r>
              <w:t>(4.6-32)</w:t>
            </w:r>
          </w:p>
        </w:tc>
      </w:tr>
    </w:tbl>
    <w:p w14:paraId="722134F8" w14:textId="77777777" w:rsidR="00C17023" w:rsidRDefault="00C17023" w:rsidP="00C17023">
      <w:pPr>
        <w:pStyle w:val="FirstParagraph"/>
      </w:pPr>
      <w:r>
        <w:t xml:space="preserve">The oxidation rate for the mean oxidizing rod is evaluated from the Baker-Just rate expression using </w:t>
      </w:r>
      <m:oMath>
        <m:sSub>
          <m:sSubPr>
            <m:ctrlPr>
              <w:rPr>
                <w:rFonts w:ascii="Cambria Math" w:hAnsi="Cambria Math"/>
              </w:rPr>
            </m:ctrlPr>
          </m:sSubPr>
          <m:e>
            <m:r>
              <w:rPr>
                <w:rFonts w:ascii="Cambria Math" w:hAnsi="Cambria Math"/>
              </w:rPr>
              <m:t>T</m:t>
            </m:r>
          </m:e>
          <m:sub>
            <m:r>
              <m:rPr>
                <m:sty m:val="p"/>
              </m:rPr>
              <w:rPr>
                <w:rFonts w:ascii="Cambria Math" w:hAnsi="Cambria Math"/>
              </w:rPr>
              <m:t>mean ox</m:t>
            </m:r>
          </m:sub>
        </m:sSub>
      </m:oMath>
      <w:r>
        <w:t>. The core-wide hydrogen source is then approximated by scaling the representative oxidizing-rod reaction rate by the oxidizing population:</w:t>
      </w:r>
    </w:p>
    <w:tbl>
      <w:tblPr>
        <w:tblStyle w:val="Table"/>
        <w:tblW w:w="0" w:type="auto"/>
        <w:jc w:val="center"/>
        <w:tblLayout w:type="fixed"/>
        <w:tblLook w:val="04A0" w:firstRow="1" w:lastRow="0" w:firstColumn="1" w:lastColumn="0" w:noHBand="0" w:noVBand="1"/>
      </w:tblPr>
      <w:tblGrid>
        <w:gridCol w:w="8200"/>
        <w:gridCol w:w="1200"/>
      </w:tblGrid>
      <w:tr w:rsidR="00C17023" w14:paraId="560C1CA4" w14:textId="77777777" w:rsidTr="00104431">
        <w:trPr>
          <w:cnfStyle w:val="100000000000" w:firstRow="1" w:lastRow="0" w:firstColumn="0" w:lastColumn="0" w:oddVBand="0" w:evenVBand="0" w:oddHBand="0" w:evenHBand="0" w:firstRowFirstColumn="0" w:firstRowLastColumn="0" w:lastRowFirstColumn="0" w:lastRowLastColumn="0"/>
          <w:trHeight w:val="423"/>
          <w:jc w:val="center"/>
        </w:trPr>
        <w:tc>
          <w:tcPr>
            <w:tcW w:w="8200" w:type="dxa"/>
            <w:tcBorders>
              <w:bottom w:val="none" w:sz="0" w:space="0" w:color="auto"/>
            </w:tcBorders>
            <w:vAlign w:val="center"/>
          </w:tcPr>
          <w:p w14:paraId="7EF9EFF2"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ox</m:t>
                    </m:r>
                  </m:sub>
                </m:sSub>
                <m:d>
                  <m:dPr>
                    <m:ctrlPr>
                      <w:rPr>
                        <w:rFonts w:ascii="Cambria Math" w:hAnsi="Cambria Math"/>
                      </w:rPr>
                    </m:ctrlPr>
                  </m:dPr>
                  <m:e>
                    <m:r>
                      <w:rPr>
                        <w:rFonts w:ascii="Cambria Math" w:hAnsi="Cambria Math"/>
                      </w:rPr>
                      <m:t>t</m:t>
                    </m:r>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,rod</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mean ox</m:t>
                        </m:r>
                      </m:sub>
                    </m:sSub>
                    <m:d>
                      <m:dPr>
                        <m:ctrlPr>
                          <w:rPr>
                            <w:rFonts w:ascii="Cambria Math" w:hAnsi="Cambria Math"/>
                          </w:rPr>
                        </m:ctrlPr>
                      </m:dPr>
                      <m:e>
                        <m:r>
                          <w:rPr>
                            <w:rFonts w:ascii="Cambria Math" w:hAnsi="Cambria Math"/>
                          </w:rPr>
                          <m:t>t</m:t>
                        </m:r>
                      </m:e>
                    </m:d>
                  </m:e>
                </m:d>
              </m:oMath>
            </m:oMathPara>
          </w:p>
        </w:tc>
        <w:tc>
          <w:tcPr>
            <w:tcW w:w="1200" w:type="dxa"/>
            <w:tcBorders>
              <w:bottom w:val="none" w:sz="0" w:space="0" w:color="auto"/>
            </w:tcBorders>
            <w:vAlign w:val="center"/>
          </w:tcPr>
          <w:p w14:paraId="55771FCF" w14:textId="77777777" w:rsidR="00C17023" w:rsidRDefault="00C17023" w:rsidP="00104431">
            <w:pPr>
              <w:spacing w:after="0"/>
              <w:jc w:val="right"/>
            </w:pPr>
            <w:r>
              <w:t>(4.6-33)</w:t>
            </w:r>
          </w:p>
        </w:tc>
      </w:tr>
    </w:tbl>
    <w:p w14:paraId="29B3B49E" w14:textId="77777777" w:rsidR="00C17023" w:rsidRDefault="00C17023" w:rsidP="00C17023">
      <w:pPr>
        <w:pStyle w:val="FirstParagraph"/>
      </w:pPr>
      <w:r>
        <w:t>and the cumulative hydrogen generation is</w:t>
      </w:r>
    </w:p>
    <w:tbl>
      <w:tblPr>
        <w:tblStyle w:val="Table"/>
        <w:tblW w:w="0" w:type="auto"/>
        <w:jc w:val="center"/>
        <w:tblLayout w:type="fixed"/>
        <w:tblLook w:val="04A0" w:firstRow="1" w:lastRow="0" w:firstColumn="1" w:lastColumn="0" w:noHBand="0" w:noVBand="1"/>
      </w:tblPr>
      <w:tblGrid>
        <w:gridCol w:w="8200"/>
        <w:gridCol w:w="1200"/>
      </w:tblGrid>
      <w:tr w:rsidR="00C17023" w14:paraId="1AF18C4C" w14:textId="77777777" w:rsidTr="00104431">
        <w:trPr>
          <w:cnfStyle w:val="100000000000" w:firstRow="1" w:lastRow="0" w:firstColumn="0" w:lastColumn="0" w:oddVBand="0" w:evenVBand="0" w:oddHBand="0" w:evenHBand="0" w:firstRowFirstColumn="0" w:firstRowLastColumn="0" w:lastRowFirstColumn="0" w:lastRowLastColumn="0"/>
          <w:trHeight w:val="702"/>
          <w:jc w:val="center"/>
        </w:trPr>
        <w:tc>
          <w:tcPr>
            <w:tcW w:w="8200" w:type="dxa"/>
            <w:tcBorders>
              <w:bottom w:val="none" w:sz="0" w:space="0" w:color="auto"/>
            </w:tcBorders>
            <w:vAlign w:val="center"/>
          </w:tcPr>
          <w:p w14:paraId="6E24E098" w14:textId="77777777" w:rsidR="00C17023" w:rsidRDefault="00406E9C" w:rsidP="00104431">
            <w:pPr>
              <w:pStyle w:val="BodyText"/>
              <w:spacing w:before="0" w:after="0"/>
            </w:pPr>
            <m:oMathPara>
              <m:oMathParaPr>
                <m:jc m:val="center"/>
              </m:oMathPara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r>
                      <w:rPr>
                        <w:rFonts w:ascii="Cambria Math" w:hAnsi="Cambria Math"/>
                      </w:rPr>
                      <m:t>t</m:t>
                    </m:r>
                  </m:e>
                </m:d>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e>
                </m:nary>
                <m:d>
                  <m:dPr>
                    <m:ctrlPr>
                      <w:rPr>
                        <w:rFonts w:ascii="Cambria Math" w:hAnsi="Cambria Math"/>
                      </w:rPr>
                    </m:ctrlPr>
                  </m:dPr>
                  <m:e>
                    <m:r>
                      <w:rPr>
                        <w:rFonts w:ascii="Cambria Math" w:hAnsi="Cambria Math"/>
                      </w:rPr>
                      <m:t>τ</m:t>
                    </m:r>
                  </m:e>
                </m:d>
                <m:r>
                  <w:rPr>
                    <w:rFonts w:ascii="Cambria Math" w:hAnsi="Cambria Math"/>
                  </w:rPr>
                  <m:t> </m:t>
                </m:r>
                <m:r>
                  <w:rPr>
                    <w:rFonts w:ascii="Cambria Math" w:hAnsi="Cambria Math"/>
                  </w:rPr>
                  <m:t>dτ</m:t>
                </m:r>
              </m:oMath>
            </m:oMathPara>
          </w:p>
        </w:tc>
        <w:tc>
          <w:tcPr>
            <w:tcW w:w="1200" w:type="dxa"/>
            <w:tcBorders>
              <w:bottom w:val="none" w:sz="0" w:space="0" w:color="auto"/>
            </w:tcBorders>
            <w:vAlign w:val="center"/>
          </w:tcPr>
          <w:p w14:paraId="17C92733" w14:textId="77777777" w:rsidR="00C17023" w:rsidRDefault="00C17023" w:rsidP="00104431">
            <w:pPr>
              <w:spacing w:after="0"/>
              <w:jc w:val="right"/>
            </w:pPr>
            <w:r>
              <w:t>(4.6-34)</w:t>
            </w:r>
          </w:p>
        </w:tc>
      </w:tr>
    </w:tbl>
    <w:p w14:paraId="3F9FFF00" w14:textId="77777777" w:rsidR="00C17023" w:rsidRDefault="00C17023" w:rsidP="00C17023">
      <w:pPr>
        <w:pStyle w:val="FirstParagraph"/>
      </w:pPr>
      <w:r>
        <w:t>This formulation avoids treating the entire core as if it were at the hot-pin temperature. It also avoids the opposite nonconservatism of using the core-average cladding temperature when only the upper tail of the rod population is participating in high-temperature oxidation.</w:t>
      </w:r>
    </w:p>
    <w:p w14:paraId="78067019" w14:textId="77777777" w:rsidR="00C17023" w:rsidRDefault="00C17023" w:rsidP="00C17023">
      <w:pPr>
        <w:pStyle w:val="Heading2"/>
        <w:keepNext/>
      </w:pPr>
      <w:bookmarkStart w:id="36" w:name="_Toc231232881"/>
      <w:r>
        <w:t>4.6.8 Figures-of-Merit Tracked from the Rod-State Model</w:t>
      </w:r>
      <w:bookmarkEnd w:id="36"/>
    </w:p>
    <w:p w14:paraId="2A076BC4" w14:textId="77777777" w:rsidR="00C17023" w:rsidRDefault="00C17023" w:rsidP="00C17023">
      <w:pPr>
        <w:pStyle w:val="FirstParagraph"/>
      </w:pPr>
      <w:r>
        <w:t>The statistical rod-state model produces several distinct figures-of-merit:</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200"/>
        <w:gridCol w:w="1200"/>
      </w:tblGrid>
      <w:tr w:rsidR="00C17023" w14:paraId="016BB6A6"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8200" w:type="dxa"/>
            <w:vAlign w:val="center"/>
          </w:tcPr>
          <w:p w14:paraId="79BDFB44" w14:textId="77777777" w:rsidR="00C17023" w:rsidRDefault="00C17023" w:rsidP="00104431">
            <w:pPr>
              <w:pStyle w:val="BodyText"/>
              <w:spacing w:before="0" w:after="0"/>
            </w:pPr>
            <m:oMathPara>
              <m:oMathParaPr>
                <m:jc m:val="center"/>
              </m:oMathParaPr>
              <m:oMath>
                <m:r>
                  <m:rPr>
                    <m:sty m:val="p"/>
                  </m:rPr>
                  <w:rPr>
                    <w:rFonts w:ascii="Cambria Math" w:hAnsi="Cambria Math"/>
                  </w:rPr>
                  <m:t>PCT=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sSub>
                  <m:sSubPr>
                    <m:ctrlPr>
                      <w:rPr>
                        <w:rFonts w:ascii="Cambria Math" w:hAnsi="Cambria Math"/>
                      </w:rPr>
                    </m:ctrlPr>
                  </m:sSubPr>
                  <m:e>
                    <m:r>
                      <w:rPr>
                        <w:rFonts w:ascii="Cambria Math" w:hAnsi="Cambria Math"/>
                      </w:rPr>
                      <m:t>T</m:t>
                    </m:r>
                  </m:e>
                  <m:sub>
                    <m:r>
                      <m:rPr>
                        <m:sty m:val="p"/>
                      </m:rPr>
                      <w:rPr>
                        <w:rFonts w:ascii="Cambria Math" w:hAnsi="Cambria Math"/>
                      </w:rPr>
                      <m:t>hot</m:t>
                    </m:r>
                  </m:sub>
                </m:sSub>
                <m:d>
                  <m:dPr>
                    <m:ctrlPr>
                      <w:rPr>
                        <w:rFonts w:ascii="Cambria Math" w:hAnsi="Cambria Math"/>
                      </w:rPr>
                    </m:ctrlPr>
                  </m:dPr>
                  <m:e>
                    <m:r>
                      <w:rPr>
                        <w:rFonts w:ascii="Cambria Math" w:hAnsi="Cambria Math"/>
                      </w:rPr>
                      <m:t>t</m:t>
                    </m:r>
                  </m:e>
                </m:d>
              </m:oMath>
            </m:oMathPara>
          </w:p>
        </w:tc>
        <w:tc>
          <w:tcPr>
            <w:tcW w:w="1200" w:type="dxa"/>
            <w:vAlign w:val="center"/>
          </w:tcPr>
          <w:p w14:paraId="085D6155" w14:textId="77777777" w:rsidR="00C17023" w:rsidRDefault="00C17023" w:rsidP="00104431">
            <w:pPr>
              <w:spacing w:after="0"/>
              <w:jc w:val="right"/>
            </w:pPr>
            <w:r>
              <w:t>(4.6-35)</w:t>
            </w:r>
          </w:p>
        </w:tc>
      </w:tr>
      <w:tr w:rsidR="00C17023" w14:paraId="3BAE9B06" w14:textId="77777777" w:rsidTr="00104431">
        <w:trPr>
          <w:jc w:val="center"/>
        </w:trPr>
        <w:tc>
          <w:tcPr>
            <w:tcW w:w="8200" w:type="dxa"/>
            <w:vAlign w:val="center"/>
          </w:tcPr>
          <w:p w14:paraId="1C4ABDB2" w14:textId="77777777" w:rsidR="00C17023" w:rsidRDefault="00C17023" w:rsidP="00104431">
            <w:pPr>
              <w:pStyle w:val="FirstParagraph"/>
              <w:spacing w:before="0" w:after="0"/>
            </w:pPr>
            <m:oMathPara>
              <m:oMathParaPr>
                <m:jc m:val="center"/>
              </m:oMathParaPr>
              <m:oMath>
                <m:r>
                  <m:rPr>
                    <m:sty m:val="p"/>
                  </m:rPr>
                  <w:rPr>
                    <w:rFonts w:ascii="Cambria Math" w:hAnsi="Cambria Math"/>
                  </w:rPr>
                  <m:t>MLO=</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sSub>
                  <m:sSubPr>
                    <m:ctrlPr>
                      <w:rPr>
                        <w:rFonts w:ascii="Cambria Math" w:hAnsi="Cambria Math"/>
                      </w:rPr>
                    </m:ctrlPr>
                  </m:sSubPr>
                  <m:e>
                    <m:r>
                      <m:rPr>
                        <m:sty m:val="p"/>
                      </m:rPr>
                      <w:rPr>
                        <w:rFonts w:ascii="Cambria Math" w:hAnsi="Cambria Math"/>
                      </w:rPr>
                      <m:t>ECR</m:t>
                    </m:r>
                  </m:e>
                  <m:sub>
                    <m:r>
                      <m:rPr>
                        <m:sty m:val="p"/>
                      </m:rPr>
                      <w:rPr>
                        <w:rFonts w:ascii="Cambria Math" w:hAnsi="Cambria Math"/>
                      </w:rPr>
                      <m:t>hot</m:t>
                    </m:r>
                  </m:sub>
                </m:sSub>
                <m:d>
                  <m:dPr>
                    <m:ctrlPr>
                      <w:rPr>
                        <w:rFonts w:ascii="Cambria Math" w:hAnsi="Cambria Math"/>
                      </w:rPr>
                    </m:ctrlPr>
                  </m:dPr>
                  <m:e>
                    <m:r>
                      <w:rPr>
                        <w:rFonts w:ascii="Cambria Math" w:hAnsi="Cambria Math"/>
                      </w:rPr>
                      <m:t>t</m:t>
                    </m:r>
                  </m:e>
                </m:d>
              </m:oMath>
            </m:oMathPara>
          </w:p>
        </w:tc>
        <w:tc>
          <w:tcPr>
            <w:tcW w:w="1200" w:type="dxa"/>
            <w:vAlign w:val="center"/>
          </w:tcPr>
          <w:p w14:paraId="7A5C22C3" w14:textId="77777777" w:rsidR="00C17023" w:rsidRDefault="00C17023" w:rsidP="00104431">
            <w:pPr>
              <w:spacing w:after="0"/>
              <w:jc w:val="right"/>
            </w:pPr>
            <w:r>
              <w:t>(4.6-36)</w:t>
            </w:r>
          </w:p>
        </w:tc>
      </w:tr>
      <w:tr w:rsidR="00C17023" w14:paraId="6FEA455A" w14:textId="77777777" w:rsidTr="00104431">
        <w:trPr>
          <w:jc w:val="center"/>
        </w:trPr>
        <w:tc>
          <w:tcPr>
            <w:tcW w:w="8200" w:type="dxa"/>
            <w:vAlign w:val="center"/>
          </w:tcPr>
          <w:p w14:paraId="347E00EF" w14:textId="77777777" w:rsidR="00C17023" w:rsidRDefault="00406E9C" w:rsidP="00104431">
            <w:pPr>
              <w:pStyle w:val="FirstParagraph"/>
              <w:spacing w:before="0" w:after="0"/>
            </w:pPr>
            <m:oMathPara>
              <m:oMathParaPr>
                <m:jc m:val="center"/>
              </m:oMathParaPr>
              <m:oMath>
                <m:sSub>
                  <m:sSubPr>
                    <m:ctrlPr>
                      <w:rPr>
                        <w:rFonts w:ascii="Cambria Math" w:hAnsi="Cambria Math"/>
                      </w:rPr>
                    </m:ctrlPr>
                  </m:sSubPr>
                  <m:e>
                    <m:r>
                      <m:rPr>
                        <m:sty m:val="p"/>
                      </m:rPr>
                      <w:rPr>
                        <w:rFonts w:ascii="Cambria Math" w:hAnsi="Cambria Math"/>
                      </w:rPr>
                      <m:t>ECR</m:t>
                    </m:r>
                  </m:e>
                  <m:sub>
                    <m:r>
                      <m:rPr>
                        <m:sty m:val="p"/>
                      </m:rPr>
                      <w:rPr>
                        <w:rFonts w:ascii="Cambria Math" w:hAnsi="Cambria Math"/>
                      </w:rPr>
                      <m:t>mean ox,max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sSub>
                  <m:sSubPr>
                    <m:ctrlPr>
                      <w:rPr>
                        <w:rFonts w:ascii="Cambria Math" w:hAnsi="Cambria Math"/>
                      </w:rPr>
                    </m:ctrlPr>
                  </m:sSubPr>
                  <m:e>
                    <m:r>
                      <m:rPr>
                        <m:sty m:val="p"/>
                      </m:rPr>
                      <w:rPr>
                        <w:rFonts w:ascii="Cambria Math" w:hAnsi="Cambria Math"/>
                      </w:rPr>
                      <m:t>ECR</m:t>
                    </m:r>
                  </m:e>
                  <m:sub>
                    <m:r>
                      <m:rPr>
                        <m:sty m:val="p"/>
                      </m:rPr>
                      <w:rPr>
                        <w:rFonts w:ascii="Cambria Math" w:hAnsi="Cambria Math"/>
                      </w:rPr>
                      <m:t>mean ox</m:t>
                    </m:r>
                  </m:sub>
                </m:sSub>
                <m:d>
                  <m:dPr>
                    <m:ctrlPr>
                      <w:rPr>
                        <w:rFonts w:ascii="Cambria Math" w:hAnsi="Cambria Math"/>
                      </w:rPr>
                    </m:ctrlPr>
                  </m:dPr>
                  <m:e>
                    <m:r>
                      <w:rPr>
                        <w:rFonts w:ascii="Cambria Math" w:hAnsi="Cambria Math"/>
                      </w:rPr>
                      <m:t>t</m:t>
                    </m:r>
                  </m:e>
                </m:d>
              </m:oMath>
            </m:oMathPara>
          </w:p>
        </w:tc>
        <w:tc>
          <w:tcPr>
            <w:tcW w:w="1200" w:type="dxa"/>
            <w:vAlign w:val="center"/>
          </w:tcPr>
          <w:p w14:paraId="60F69CCD" w14:textId="77777777" w:rsidR="00C17023" w:rsidRDefault="00C17023" w:rsidP="00104431">
            <w:pPr>
              <w:spacing w:after="0"/>
              <w:jc w:val="right"/>
            </w:pPr>
            <w:r>
              <w:t>(4.6-37)</w:t>
            </w:r>
          </w:p>
        </w:tc>
      </w:tr>
      <w:tr w:rsidR="00C17023" w14:paraId="58646639" w14:textId="77777777" w:rsidTr="00104431">
        <w:trPr>
          <w:jc w:val="center"/>
        </w:trPr>
        <w:tc>
          <w:tcPr>
            <w:tcW w:w="8200" w:type="dxa"/>
            <w:vAlign w:val="center"/>
          </w:tcPr>
          <w:p w14:paraId="09738895" w14:textId="77777777" w:rsidR="00C17023" w:rsidRDefault="00406E9C" w:rsidP="00104431">
            <w:pPr>
              <w:pStyle w:val="FirstParagraph"/>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gap,max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sSub>
                  <m:sSubPr>
                    <m:ctrlPr>
                      <w:rPr>
                        <w:rFonts w:ascii="Cambria Math" w:hAnsi="Cambria Math"/>
                      </w:rPr>
                    </m:ctrlPr>
                  </m:sSubPr>
                  <m:e>
                    <m:r>
                      <w:rPr>
                        <w:rFonts w:ascii="Cambria Math" w:hAnsi="Cambria Math"/>
                      </w:rPr>
                      <m:t>f</m:t>
                    </m:r>
                  </m:e>
                  <m:sub>
                    <m:r>
                      <m:rPr>
                        <m:sty m:val="p"/>
                      </m:rPr>
                      <w:rPr>
                        <w:rFonts w:ascii="Cambria Math" w:hAnsi="Cambria Math"/>
                      </w:rPr>
                      <m:t>gap</m:t>
                    </m:r>
                  </m:sub>
                </m:sSub>
                <m:d>
                  <m:dPr>
                    <m:ctrlPr>
                      <w:rPr>
                        <w:rFonts w:ascii="Cambria Math" w:hAnsi="Cambria Math"/>
                      </w:rPr>
                    </m:ctrlPr>
                  </m:dPr>
                  <m:e>
                    <m:r>
                      <w:rPr>
                        <w:rFonts w:ascii="Cambria Math" w:hAnsi="Cambria Math"/>
                      </w:rPr>
                      <m:t>t</m:t>
                    </m:r>
                  </m:e>
                </m:d>
              </m:oMath>
            </m:oMathPara>
          </w:p>
        </w:tc>
        <w:tc>
          <w:tcPr>
            <w:tcW w:w="1200" w:type="dxa"/>
            <w:vAlign w:val="center"/>
          </w:tcPr>
          <w:p w14:paraId="304B6B69" w14:textId="77777777" w:rsidR="00C17023" w:rsidRDefault="00C17023" w:rsidP="00104431">
            <w:pPr>
              <w:spacing w:after="0"/>
              <w:jc w:val="right"/>
            </w:pPr>
            <w:r>
              <w:t>(4.6-38)</w:t>
            </w:r>
          </w:p>
        </w:tc>
      </w:tr>
      <w:tr w:rsidR="00C17023" w14:paraId="3D82AC94" w14:textId="77777777" w:rsidTr="00104431">
        <w:trPr>
          <w:jc w:val="center"/>
        </w:trPr>
        <w:tc>
          <w:tcPr>
            <w:tcW w:w="8200" w:type="dxa"/>
            <w:vAlign w:val="center"/>
          </w:tcPr>
          <w:p w14:paraId="1EB272B3" w14:textId="77777777" w:rsidR="00C17023" w:rsidRDefault="00406E9C" w:rsidP="00104431">
            <w:pPr>
              <w:pStyle w:val="FirstParagraph"/>
              <w:spacing w:before="0" w:after="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EIV,max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sSub>
                  <m:sSubPr>
                    <m:ctrlPr>
                      <w:rPr>
                        <w:rFonts w:ascii="Cambria Math" w:hAnsi="Cambria Math"/>
                      </w:rPr>
                    </m:ctrlPr>
                  </m:sSubPr>
                  <m:e>
                    <m:r>
                      <w:rPr>
                        <w:rFonts w:ascii="Cambria Math" w:hAnsi="Cambria Math"/>
                      </w:rPr>
                      <m:t>f</m:t>
                    </m:r>
                  </m:e>
                  <m:sub>
                    <m:r>
                      <m:rPr>
                        <m:sty m:val="p"/>
                      </m:rPr>
                      <w:rPr>
                        <w:rFonts w:ascii="Cambria Math" w:hAnsi="Cambria Math"/>
                      </w:rPr>
                      <m:t>EIV</m:t>
                    </m:r>
                  </m:sub>
                </m:sSub>
                <m:d>
                  <m:dPr>
                    <m:ctrlPr>
                      <w:rPr>
                        <w:rFonts w:ascii="Cambria Math" w:hAnsi="Cambria Math"/>
                      </w:rPr>
                    </m:ctrlPr>
                  </m:dPr>
                  <m:e>
                    <m:r>
                      <w:rPr>
                        <w:rFonts w:ascii="Cambria Math" w:hAnsi="Cambria Math"/>
                      </w:rPr>
                      <m:t>t</m:t>
                    </m:r>
                  </m:e>
                </m:d>
              </m:oMath>
            </m:oMathPara>
          </w:p>
        </w:tc>
        <w:tc>
          <w:tcPr>
            <w:tcW w:w="1200" w:type="dxa"/>
            <w:vAlign w:val="center"/>
          </w:tcPr>
          <w:p w14:paraId="3EE6F646" w14:textId="77777777" w:rsidR="00C17023" w:rsidRDefault="00C17023" w:rsidP="00104431">
            <w:pPr>
              <w:spacing w:after="0"/>
              <w:jc w:val="right"/>
            </w:pPr>
            <w:r>
              <w:t>(4.6-39)</w:t>
            </w:r>
          </w:p>
        </w:tc>
      </w:tr>
      <w:tr w:rsidR="00C17023" w14:paraId="4CA3566D" w14:textId="77777777" w:rsidTr="00104431">
        <w:trPr>
          <w:jc w:val="center"/>
        </w:trPr>
        <w:tc>
          <w:tcPr>
            <w:tcW w:w="8200" w:type="dxa"/>
            <w:vAlign w:val="center"/>
          </w:tcPr>
          <w:p w14:paraId="592378BD" w14:textId="77777777" w:rsidR="00C17023" w:rsidRDefault="00406E9C" w:rsidP="00104431">
            <w:pPr>
              <w:pStyle w:val="FirstParagraph"/>
              <w:spacing w:before="0" w:after="0"/>
            </w:pPr>
            <m:oMathPara>
              <m:oMathParaPr>
                <m:jc m:val="center"/>
              </m:oMathParaP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r>
                      <w:rPr>
                        <w:rFonts w:ascii="Cambria Math" w:hAnsi="Cambria Math"/>
                      </w:rPr>
                      <m:t>t</m:t>
                    </m:r>
                  </m:e>
                </m:d>
              </m:oMath>
            </m:oMathPara>
          </w:p>
        </w:tc>
        <w:tc>
          <w:tcPr>
            <w:tcW w:w="1200" w:type="dxa"/>
            <w:vAlign w:val="center"/>
          </w:tcPr>
          <w:p w14:paraId="40DBD5BC" w14:textId="77777777" w:rsidR="00C17023" w:rsidRDefault="00C17023" w:rsidP="00104431">
            <w:pPr>
              <w:spacing w:after="0"/>
              <w:jc w:val="right"/>
            </w:pPr>
            <w:r>
              <w:t>(4.6-40)</w:t>
            </w:r>
          </w:p>
        </w:tc>
      </w:tr>
    </w:tbl>
    <w:p w14:paraId="3137783A" w14:textId="77777777" w:rsidR="00C17023" w:rsidRDefault="00C17023" w:rsidP="00C17023">
      <w:pPr>
        <w:pStyle w:val="FirstParagraph"/>
      </w:pPr>
      <w:r>
        <w:t>The hot pin therefore controls peak local thermal criteria, while the failed fractions and mean oxidizing rod control population-integrated release and oxidation metrics. This separation is essential to maintaining a reasonable reduced-order representation of the core. A single lumped temperature is insufficient to represent local peaking, but using the hot pin for every rod would be excessively conservative for population-integrated quantities.</w:t>
      </w:r>
    </w:p>
    <w:p w14:paraId="380C20BD" w14:textId="77777777" w:rsidR="00C17023" w:rsidRDefault="00C17023" w:rsidP="00C17023">
      <w:pPr>
        <w:pStyle w:val="Heading2"/>
        <w:keepNext/>
      </w:pPr>
      <w:bookmarkStart w:id="37" w:name="_Toc231232882"/>
      <w:r>
        <w:t>4.6.9 Assumptions and Limitations</w:t>
      </w:r>
      <w:bookmarkEnd w:id="37"/>
    </w:p>
    <w:p w14:paraId="4450BA11" w14:textId="77777777" w:rsidR="00C17023" w:rsidRDefault="00C17023" w:rsidP="00C17023">
      <w:pPr>
        <w:pStyle w:val="FirstParagraph"/>
      </w:pPr>
      <w:r>
        <w:t>The rod-state model is based on the following assumptions.</w:t>
      </w:r>
    </w:p>
    <w:p w14:paraId="67FEFBFC" w14:textId="77777777" w:rsidR="00C17023" w:rsidRDefault="00C17023" w:rsidP="00C17023">
      <w:pPr>
        <w:pStyle w:val="BodyText"/>
      </w:pPr>
      <w:r>
        <w:t>First, the distribution of rod states is represented by a normal distribution in the local peaking multiplier. Actual core power distributions are deterministic outcomes of fuel loading, burnup, control history, and three-dimensional neutronic effects. The normal distribution is a convenient reduced-order approximation, not a mechanistic neutronic model.</w:t>
      </w:r>
    </w:p>
    <w:p w14:paraId="3C15DC45" w14:textId="77777777" w:rsidR="00C17023" w:rsidRDefault="00C17023" w:rsidP="00C17023">
      <w:pPr>
        <w:pStyle w:val="BodyText"/>
      </w:pPr>
      <w:r>
        <w:t>Second, local temperature rise is assumed to scale with local power peaking. This is reasonable for scoping calculations in which the same heat-transfer regime applies across the representative rod population, but it is less accurate when different portions of the rod population are in different heat-transfer regimes, such as nucleate boiling, transition boiling, film boiling, reflood, or dry-core conditions.</w:t>
      </w:r>
    </w:p>
    <w:p w14:paraId="2DB02839" w14:textId="77777777" w:rsidR="00C17023" w:rsidRDefault="00C17023" w:rsidP="00C17023">
      <w:pPr>
        <w:pStyle w:val="BodyText"/>
      </w:pPr>
      <w:r>
        <w:lastRenderedPageBreak/>
        <w:t xml:space="preserve">Third, the model assumes that the hot pin can be represented by the composite peaking factor </w:t>
      </w:r>
      <m:oMath>
        <m:sSub>
          <m:sSubPr>
            <m:ctrlPr>
              <w:rPr>
                <w:rFonts w:ascii="Cambria Math" w:hAnsi="Cambria Math"/>
              </w:rPr>
            </m:ctrlPr>
          </m:sSubPr>
          <m:e>
            <m:r>
              <w:rPr>
                <w:rFonts w:ascii="Cambria Math" w:hAnsi="Cambria Math"/>
              </w:rPr>
              <m:t>F</m:t>
            </m:r>
          </m:e>
          <m:sub>
            <m:r>
              <w:rPr>
                <w:rFonts w:ascii="Cambria Math" w:hAnsi="Cambria Math"/>
              </w:rPr>
              <m:t>r</m:t>
            </m:r>
          </m:sub>
        </m:sSub>
        <m:sSub>
          <m:sSubPr>
            <m:ctrlPr>
              <w:rPr>
                <w:rFonts w:ascii="Cambria Math" w:hAnsi="Cambria Math"/>
              </w:rPr>
            </m:ctrlPr>
          </m:sSubPr>
          <m:e>
            <m:r>
              <w:rPr>
                <w:rFonts w:ascii="Cambria Math" w:hAnsi="Cambria Math"/>
              </w:rPr>
              <m:t>F</m:t>
            </m:r>
          </m:e>
          <m:sub>
            <m:r>
              <w:rPr>
                <w:rFonts w:ascii="Cambria Math" w:hAnsi="Cambria Math"/>
              </w:rPr>
              <m:t>z</m:t>
            </m:r>
          </m:sub>
        </m:sSub>
      </m:oMath>
      <w:r>
        <w:t>. In detailed licensing analysis, radial and axial peaking are normally treated with more explicit spatial structure. FLARE collapses these effects into a limiting local multiplier.</w:t>
      </w:r>
    </w:p>
    <w:p w14:paraId="5A03CE6C" w14:textId="77777777" w:rsidR="00C17023" w:rsidRDefault="00C17023" w:rsidP="00C17023">
      <w:pPr>
        <w:pStyle w:val="BodyText"/>
      </w:pPr>
      <w:r>
        <w:t>Fourth, failed fractions are inferred from temperature thresholds applied to the reconstructed rod population. The model does not explicitly calculate rod internal pressure, cladding ballooning, burst strain, fuel relocation, axial gas communication, or detailed mechanical failure. The failed fractions should therefore be interpreted as screening estimates tied to thermal thresholds.</w:t>
      </w:r>
    </w:p>
    <w:p w14:paraId="5F12FC85" w14:textId="77777777" w:rsidR="00C17023" w:rsidRDefault="00C17023" w:rsidP="00C17023">
      <w:pPr>
        <w:pStyle w:val="BodyText"/>
      </w:pPr>
      <w:r>
        <w:t>Fifth, the mean oxidizing rod is a conditional statistical construct. It is intended to represent the average severity of rods participating in high-temperature oxidation. It is not an actual physical rod and should not be interpreted as a replacement for detailed rod-by-rod oxidation analysis.</w:t>
      </w:r>
    </w:p>
    <w:p w14:paraId="766E5ABF" w14:textId="77777777" w:rsidR="00C17023" w:rsidRDefault="00C17023" w:rsidP="00C17023">
      <w:pPr>
        <w:pStyle w:val="BodyText"/>
      </w:pPr>
      <w:r>
        <w:t>Finally, the statistical rod-state model is one-way coupled to the lumped thermal-hydraulic solution. Rod failures, oxidation, and hydrogen generation are tracked as consequences of the calculated thermal response; they do not feed back into the core thermal-hydraulic calculation except through any explicitly modeled heat sources or source-term coupling already present elsewhere in FLARE.</w:t>
      </w:r>
    </w:p>
    <w:p w14:paraId="1FECB74F" w14:textId="77777777" w:rsidR="001F0D14" w:rsidRDefault="001F0D14" w:rsidP="001F0D14">
      <w:pPr>
        <w:pStyle w:val="Heading1"/>
        <w:keepNext/>
      </w:pPr>
      <w:bookmarkStart w:id="38" w:name="_Toc231232883"/>
      <w:r>
        <w:t>4.7 Zirconium Oxidation and Hydrogen Generation</w:t>
      </w:r>
      <w:bookmarkEnd w:id="38"/>
    </w:p>
    <w:p w14:paraId="574101E1" w14:textId="77777777" w:rsidR="001F0D14" w:rsidRDefault="001F0D14" w:rsidP="001F0D14">
      <w:pPr>
        <w:pStyle w:val="FirstParagraph"/>
      </w:pPr>
      <w:r>
        <w:t>The statistical rod-state model in Section 4.6 defines the rod temperature histories that are passed to the oxidation model. Section 4.7 defines the oxidation and hydrogen-generation theory used to convert those temperature histories into equivalent cladding reacted fraction, maximum local oxidation, mean oxidizing rod oxidation, and core-wide hydrogen generation. In FLARE, zirconium oxidation is treated as a consequence model: the thermal-hydraulic and heat-structure solution determines cladding temperature, and the oxidation calculation post-processes that temperature history. The calculated oxidation and hydrogen quantities are then used as figures-of-merit for regulatory screening, source-term escalation, and FLARECON containment-hydrogen assessment.</w:t>
      </w:r>
    </w:p>
    <w:p w14:paraId="73F1E6B5" w14:textId="77777777" w:rsidR="001F0D14" w:rsidRDefault="001F0D14" w:rsidP="001F0D14">
      <w:pPr>
        <w:pStyle w:val="BodyText"/>
      </w:pPr>
      <w:r>
        <w:t>The oxidation model is intentionally reduced-order. It is not a detailed fuel-rod mechanical model and does not explicitly represent cladding ballooning, burst strain, oxide-layer cracking, oxygen diffusion into prior-beta metal, fuel relocation, or axial variation of the oxidation front. Its purpose is to provide a transparent, conservative scoping estimate of high-temperature zirconium-steam reaction using the same small set of state variables available in the lumped-parameter FLARE core model.</w:t>
      </w:r>
    </w:p>
    <w:p w14:paraId="222CA305" w14:textId="77777777" w:rsidR="001F0D14" w:rsidRDefault="001F0D14" w:rsidP="001F0D14">
      <w:pPr>
        <w:pStyle w:val="Heading2"/>
        <w:keepNext/>
      </w:pPr>
      <w:bookmarkStart w:id="39" w:name="_Toc231232884"/>
      <w:r>
        <w:t>4.7.1 Zirconium-Steam Reaction</w:t>
      </w:r>
      <w:bookmarkEnd w:id="39"/>
    </w:p>
    <w:p w14:paraId="2576B4A2" w14:textId="77777777" w:rsidR="001F0D14" w:rsidRDefault="001F0D14" w:rsidP="001F0D14">
      <w:pPr>
        <w:pStyle w:val="FirstParagraph"/>
      </w:pPr>
      <w:r>
        <w:t>The principal high-temperature reaction of interest is the exothermic oxidation of zirconium by steam,</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6D7D630B"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55FC7F12" w14:textId="77777777" w:rsidR="001F0D14" w:rsidRDefault="001F0D14" w:rsidP="00104431">
            <w:pPr>
              <w:pStyle w:val="BodyText"/>
              <w:spacing w:before="0" w:after="0"/>
              <w:jc w:val="center"/>
            </w:pPr>
            <m:oMathPara>
              <m:oMathParaPr>
                <m:jc m:val="center"/>
              </m:oMathParaPr>
              <m:oMath>
                <m:r>
                  <m:rPr>
                    <m:sty m:val="p"/>
                  </m:rPr>
                  <w:rPr>
                    <w:rFonts w:ascii="Cambria Math" w:hAnsi="Cambria Math"/>
                  </w:rPr>
                  <m:t>Zr+</m:t>
                </m:r>
                <m:r>
                  <w:rPr>
                    <w:rFonts w:ascii="Cambria Math" w:hAnsi="Cambria Math"/>
                  </w:rPr>
                  <m:t>2 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O→Zr</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r>
                  <w:rPr>
                    <w:rFonts w:ascii="Cambria Math" w:hAnsi="Cambria Math"/>
                  </w:rPr>
                  <m:t>2 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rxn</m:t>
                    </m:r>
                  </m:sub>
                </m:sSub>
              </m:oMath>
            </m:oMathPara>
          </w:p>
        </w:tc>
        <w:tc>
          <w:tcPr>
            <w:tcW w:w="1300" w:type="dxa"/>
            <w:tcBorders>
              <w:bottom w:val="nil"/>
            </w:tcBorders>
            <w:vAlign w:val="center"/>
          </w:tcPr>
          <w:p w14:paraId="52A3B5AC" w14:textId="77777777" w:rsidR="001F0D14" w:rsidRDefault="001F0D14" w:rsidP="00104431">
            <w:pPr>
              <w:spacing w:after="0"/>
              <w:jc w:val="right"/>
            </w:pPr>
            <w:r>
              <w:rPr>
                <w:rFonts w:ascii="Times New Roman" w:hAnsi="Times New Roman"/>
                <w:sz w:val="22"/>
              </w:rPr>
              <w:t>(4.7-1)</w:t>
            </w:r>
          </w:p>
        </w:tc>
      </w:tr>
    </w:tbl>
    <w:p w14:paraId="7E4D9BD9" w14:textId="77777777" w:rsidR="001F0D14" w:rsidRDefault="001F0D14" w:rsidP="001F0D14">
      <w:pPr>
        <w:pStyle w:val="FirstParagraph"/>
      </w:pPr>
      <w:r>
        <w:t xml:space="preserve">where </w:t>
      </w:r>
      <m:oMath>
        <m:sSub>
          <m:sSubPr>
            <m:ctrlPr>
              <w:rPr>
                <w:rFonts w:ascii="Cambria Math" w:hAnsi="Cambria Math"/>
              </w:rPr>
            </m:ctrlPr>
          </m:sSubPr>
          <m:e>
            <m:r>
              <w:rPr>
                <w:rFonts w:ascii="Cambria Math" w:hAnsi="Cambria Math"/>
              </w:rPr>
              <m:t>Q</m:t>
            </m:r>
          </m:e>
          <m:sub>
            <m:r>
              <m:rPr>
                <m:sty m:val="p"/>
              </m:rPr>
              <w:rPr>
                <w:rFonts w:ascii="Cambria Math" w:hAnsi="Cambria Math"/>
              </w:rPr>
              <m:t>rxn</m:t>
            </m:r>
          </m:sub>
        </m:sSub>
      </m:oMath>
      <w:r>
        <w:t xml:space="preserve"> is the heat of reaction. The reaction consumes zirconium metal and steam, forms zirconium dioxide, and releases hydrogen. In detailed severe-accident codes, the reaction heat may be strongly coupled to the local cladding energy equation. In FLARE, the oxidation calculation is principally used to estimate cladding reacted fraction and hydrogen production. Any oxidation heat feedback is treated only if explicitly enabled in the applicable heat-source model; otherwise, the reaction is a diagnostic and source-term quantity derived from the calculated cladding temperature.</w:t>
      </w:r>
    </w:p>
    <w:p w14:paraId="0260C19B" w14:textId="77777777" w:rsidR="001F0D14" w:rsidRDefault="001F0D14" w:rsidP="001F0D14">
      <w:pPr>
        <w:pStyle w:val="BodyText"/>
      </w:pPr>
      <w:r>
        <w:t xml:space="preserve">The stoichiometric relation between oxygen uptake and zirconium consumption follows directly from Eq. 4.7-1. If </w:t>
      </w:r>
      <m:oMath>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O</m:t>
            </m:r>
          </m:sub>
        </m:sSub>
      </m:oMath>
      <w:r>
        <w:t xml:space="preserve"> is the mass of oxygen added to the cladding, the corresponding mass of zirconium reacted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7A14D6C9"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54F00ED4" w14:textId="77777777" w:rsidR="001F0D14" w:rsidRDefault="001F0D14" w:rsidP="00104431">
            <w:pPr>
              <w:pStyle w:val="BodyText"/>
              <w:spacing w:before="0" w:after="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m</m:t>
                    </m:r>
                  </m:e>
                  <m:sub>
                    <m:r>
                      <m:rPr>
                        <m:sty m:val="p"/>
                      </m:rPr>
                      <w:rPr>
                        <w:rFonts w:ascii="Cambria Math" w:hAnsi="Cambria Math"/>
                      </w:rPr>
                      <m:t>Zr</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O</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Zr</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1875CBB6" w14:textId="77777777" w:rsidR="001F0D14" w:rsidRDefault="001F0D14" w:rsidP="00104431">
            <w:pPr>
              <w:spacing w:after="0"/>
              <w:jc w:val="right"/>
            </w:pPr>
            <w:r>
              <w:rPr>
                <w:rFonts w:ascii="Times New Roman" w:hAnsi="Times New Roman"/>
                <w:sz w:val="22"/>
              </w:rPr>
              <w:t>(4.7-2)</w:t>
            </w:r>
          </w:p>
        </w:tc>
      </w:tr>
    </w:tbl>
    <w:p w14:paraId="0C80DCC7" w14:textId="77777777" w:rsidR="001F0D14" w:rsidRDefault="001F0D14" w:rsidP="001F0D14">
      <w:pPr>
        <w:pStyle w:val="FirstParagraph"/>
      </w:pPr>
      <w:r>
        <w:t xml:space="preserve">where </w:t>
      </w:r>
      <m:oMath>
        <m:sSub>
          <m:sSubPr>
            <m:ctrlPr>
              <w:rPr>
                <w:rFonts w:ascii="Cambria Math" w:hAnsi="Cambria Math"/>
              </w:rPr>
            </m:ctrlPr>
          </m:sSubPr>
          <m:e>
            <m:r>
              <w:rPr>
                <w:rFonts w:ascii="Cambria Math" w:hAnsi="Cambria Math"/>
              </w:rPr>
              <m:t>M</m:t>
            </m:r>
          </m:e>
          <m:sub>
            <m:r>
              <m:rPr>
                <m:sty m:val="p"/>
              </m:rPr>
              <w:rPr>
                <w:rFonts w:ascii="Cambria Math" w:hAnsi="Cambria Math"/>
              </w:rPr>
              <m:t>Zr</m:t>
            </m:r>
          </m:sub>
        </m:sSub>
      </m:oMath>
      <w:r>
        <w:t xml:space="preserve"> is the molecular weight of zirconium and </w:t>
      </w:r>
      <m:oMath>
        <m:sSub>
          <m:sSubPr>
            <m:ctrlPr>
              <w:rPr>
                <w:rFonts w:ascii="Cambria Math" w:hAnsi="Cambria Math"/>
              </w:rPr>
            </m:ctrlPr>
          </m:sSubPr>
          <m:e>
            <m:r>
              <w:rPr>
                <w:rFonts w:ascii="Cambria Math" w:hAnsi="Cambria Math"/>
              </w:rPr>
              <m:t>M</m:t>
            </m:r>
          </m:e>
          <m:sub>
            <m:r>
              <w:rPr>
                <w:rFonts w:ascii="Cambria Math" w:hAnsi="Cambria Math"/>
              </w:rPr>
              <m:t>O</m:t>
            </m:r>
          </m:sub>
        </m:sSub>
      </m:oMath>
      <w:r>
        <w:t xml:space="preserve"> is the atomic weight of oxygen. The corresponding hydrogen mass generated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1DFD9E64"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46A2663B" w14:textId="77777777" w:rsidR="001F0D14" w:rsidRDefault="001F0D14" w:rsidP="00104431">
            <w:pPr>
              <w:pStyle w:val="BodyText"/>
              <w:spacing w:before="0" w:after="0"/>
              <w:jc w:val="center"/>
            </w:pPr>
            <m:oMathPara>
              <m:oMathParaPr>
                <m:jc m:val="center"/>
              </m:oMathParaPr>
              <m:oMath>
                <m:r>
                  <w:rPr>
                    <w:rFonts w:ascii="Cambria Math" w:hAnsi="Cambria Math"/>
                  </w:rPr>
                  <w:lastRenderedPageBreak/>
                  <m:t>Δ</m:t>
                </m:r>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O</m:t>
                    </m:r>
                  </m:sub>
                </m:sSub>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O</m:t>
                        </m:r>
                      </m:sub>
                    </m:sSub>
                  </m:den>
                </m:f>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O</m:t>
                    </m:r>
                  </m:sub>
                </m:sSub>
                <m:f>
                  <m:fPr>
                    <m:ctrlPr>
                      <w:rPr>
                        <w:rFonts w:ascii="Cambria Math" w:hAnsi="Cambria Math"/>
                      </w:rPr>
                    </m:ctrlPr>
                  </m:fPr>
                  <m:num>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num>
                  <m:den>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5F38B827" w14:textId="77777777" w:rsidR="001F0D14" w:rsidRDefault="001F0D14" w:rsidP="00104431">
            <w:pPr>
              <w:spacing w:after="0"/>
              <w:jc w:val="right"/>
            </w:pPr>
            <w:r>
              <w:rPr>
                <w:rFonts w:ascii="Times New Roman" w:hAnsi="Times New Roman"/>
                <w:sz w:val="22"/>
              </w:rPr>
              <w:t>(4.7-3)</w:t>
            </w:r>
          </w:p>
        </w:tc>
      </w:tr>
    </w:tbl>
    <w:p w14:paraId="25B21D39" w14:textId="77777777" w:rsidR="001F0D14" w:rsidRDefault="001F0D14" w:rsidP="001F0D14">
      <w:pPr>
        <w:pStyle w:val="FirstParagraph"/>
      </w:pPr>
      <w:r>
        <w:t xml:space="preserve">where </w:t>
      </w:r>
      <m:oMath>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oMath>
      <w:r>
        <w:t xml:space="preserve"> is the molecular weight of hydrogen gas. These stoichiometric relationships are used to convert oxide weight gain into equivalent cladding reacted fraction and core-wide hydrogen generation.</w:t>
      </w:r>
    </w:p>
    <w:p w14:paraId="3D17E4B4" w14:textId="77777777" w:rsidR="001F0D14" w:rsidRDefault="001F0D14" w:rsidP="001F0D14">
      <w:pPr>
        <w:pStyle w:val="Heading2"/>
        <w:keepNext/>
      </w:pPr>
      <w:bookmarkStart w:id="40" w:name="_Toc231232885"/>
      <w:r>
        <w:t>4.7.2 Baker-Just Parabolic Oxidation Law</w:t>
      </w:r>
      <w:bookmarkEnd w:id="40"/>
    </w:p>
    <w:p w14:paraId="58ADB4CA" w14:textId="77777777" w:rsidR="001F0D14" w:rsidRDefault="001F0D14" w:rsidP="001F0D14">
      <w:pPr>
        <w:pStyle w:val="FirstParagraph"/>
      </w:pPr>
      <w:r>
        <w:t xml:space="preserve">FLARE uses the Baker-Just correlation as the default high-temperature zirconium oxidation model. The Baker-Just model is a parabolic rate law for oxygen weight gain. Let </w:t>
      </w:r>
      <m:oMath>
        <m:r>
          <w:rPr>
            <w:rFonts w:ascii="Cambria Math" w:hAnsi="Cambria Math"/>
          </w:rPr>
          <m:t>W</m:t>
        </m:r>
      </m:oMath>
      <w:r>
        <w:t xml:space="preserve"> denote the oxygen areal weight gain on the cladding surface. In FLARE notation, </w:t>
      </w:r>
      <m:oMath>
        <m:r>
          <w:rPr>
            <w:rFonts w:ascii="Cambria Math" w:hAnsi="Cambria Math"/>
          </w:rPr>
          <m:t>W</m:t>
        </m:r>
      </m:oMath>
      <w:r>
        <w:t xml:space="preserve"> may be carried internally in engineering units consistent with the implemented Baker-Just constants; conceptually, it is an oxygen mass per unit cladding surface area. The parabolic law may be written as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2ACD4C74"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1AFD9CB3" w14:textId="77777777" w:rsidR="001F0D14" w:rsidRDefault="00406E9C" w:rsidP="00104431">
            <w:pPr>
              <w:pStyle w:val="BodyText"/>
              <w:spacing w:before="0" w:after="0"/>
              <w:jc w:val="center"/>
            </w:pPr>
            <m:oMathPara>
              <m:oMathParaPr>
                <m:jc m:val="center"/>
              </m:oMathParaPr>
              <m:oMath>
                <m:f>
                  <m:fPr>
                    <m:ctrlPr>
                      <w:rPr>
                        <w:rFonts w:ascii="Cambria Math" w:hAnsi="Cambria Math"/>
                      </w:rPr>
                    </m:ctrlPr>
                  </m:fPr>
                  <m:num>
                    <m:r>
                      <w:rPr>
                        <w:rFonts w:ascii="Cambria Math" w:hAnsi="Cambria Math"/>
                      </w:rPr>
                      <m:t>dW</m:t>
                    </m:r>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clad</m:t>
                            </m:r>
                          </m:sub>
                        </m:sSub>
                      </m:e>
                    </m:d>
                  </m:num>
                  <m:den>
                    <m:r>
                      <w:rPr>
                        <w:rFonts w:ascii="Cambria Math" w:hAnsi="Cambria Math"/>
                      </w:rPr>
                      <m:t>W</m:t>
                    </m:r>
                  </m:den>
                </m:f>
              </m:oMath>
            </m:oMathPara>
          </w:p>
        </w:tc>
        <w:tc>
          <w:tcPr>
            <w:tcW w:w="1300" w:type="dxa"/>
            <w:tcBorders>
              <w:bottom w:val="nil"/>
            </w:tcBorders>
            <w:vAlign w:val="center"/>
          </w:tcPr>
          <w:p w14:paraId="0E714769" w14:textId="77777777" w:rsidR="001F0D14" w:rsidRDefault="001F0D14" w:rsidP="00104431">
            <w:pPr>
              <w:spacing w:after="0"/>
              <w:jc w:val="right"/>
            </w:pPr>
            <w:r>
              <w:rPr>
                <w:rFonts w:ascii="Times New Roman" w:hAnsi="Times New Roman"/>
                <w:sz w:val="22"/>
              </w:rPr>
              <w:t>(4.7-4)</w:t>
            </w:r>
          </w:p>
        </w:tc>
      </w:tr>
    </w:tbl>
    <w:p w14:paraId="20FAD8A8" w14:textId="77777777" w:rsidR="001F0D14" w:rsidRDefault="001F0D14" w:rsidP="001F0D14">
      <w:pPr>
        <w:pStyle w:val="FirstParagraph"/>
      </w:pPr>
      <w:r>
        <w:t>where the temperature-dependent rate coefficient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595F5D53"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525668B1"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BJ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clad</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BJ</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m:rPr>
                                <m:sty m:val="p"/>
                              </m:rPr>
                              <w:rPr>
                                <w:rFonts w:ascii="Cambria Math" w:hAnsi="Cambria Math"/>
                              </w:rPr>
                              <m:t>BJ</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clad</m:t>
                            </m:r>
                          </m:sub>
                        </m:sSub>
                      </m:den>
                    </m:f>
                  </m:e>
                </m:d>
              </m:oMath>
            </m:oMathPara>
          </w:p>
        </w:tc>
        <w:tc>
          <w:tcPr>
            <w:tcW w:w="1300" w:type="dxa"/>
            <w:tcBorders>
              <w:bottom w:val="nil"/>
            </w:tcBorders>
            <w:vAlign w:val="center"/>
          </w:tcPr>
          <w:p w14:paraId="57FB28F6" w14:textId="77777777" w:rsidR="001F0D14" w:rsidRDefault="001F0D14" w:rsidP="00104431">
            <w:pPr>
              <w:spacing w:after="0"/>
              <w:jc w:val="right"/>
            </w:pPr>
            <w:r>
              <w:rPr>
                <w:rFonts w:ascii="Times New Roman" w:hAnsi="Times New Roman"/>
                <w:sz w:val="22"/>
              </w:rPr>
              <w:t>(4.7-5)</w:t>
            </w:r>
          </w:p>
        </w:tc>
      </w:tr>
    </w:tbl>
    <w:p w14:paraId="3A8C31F0" w14:textId="77777777" w:rsidR="001F0D14" w:rsidRDefault="001F0D14" w:rsidP="001F0D14">
      <w:pPr>
        <w:pStyle w:val="FirstParagraph"/>
      </w:pPr>
      <w:r>
        <w:t xml:space="preserve">Here </w:t>
      </w:r>
      <m:oMath>
        <m:sSub>
          <m:sSubPr>
            <m:ctrlPr>
              <w:rPr>
                <w:rFonts w:ascii="Cambria Math" w:hAnsi="Cambria Math"/>
              </w:rPr>
            </m:ctrlPr>
          </m:sSubPr>
          <m:e>
            <m:r>
              <w:rPr>
                <w:rFonts w:ascii="Cambria Math" w:hAnsi="Cambria Math"/>
              </w:rPr>
              <m:t>A</m:t>
            </m:r>
          </m:e>
          <m:sub>
            <m:r>
              <m:rPr>
                <m:sty m:val="p"/>
              </m:rPr>
              <w:rPr>
                <w:rFonts w:ascii="Cambria Math" w:hAnsi="Cambria Math"/>
              </w:rPr>
              <m:t>BJ</m:t>
            </m:r>
          </m:sub>
        </m:sSub>
      </m:oMath>
      <w:r>
        <w:t xml:space="preserve"> and </w:t>
      </w:r>
      <m:oMath>
        <m:sSub>
          <m:sSubPr>
            <m:ctrlPr>
              <w:rPr>
                <w:rFonts w:ascii="Cambria Math" w:hAnsi="Cambria Math"/>
              </w:rPr>
            </m:ctrlPr>
          </m:sSubPr>
          <m:e>
            <m:r>
              <w:rPr>
                <w:rFonts w:ascii="Cambria Math" w:hAnsi="Cambria Math"/>
              </w:rPr>
              <m:t>B</m:t>
            </m:r>
          </m:e>
          <m:sub>
            <m:r>
              <m:rPr>
                <m:sty m:val="p"/>
              </m:rPr>
              <w:rPr>
                <w:rFonts w:ascii="Cambria Math" w:hAnsi="Cambria Math"/>
              </w:rPr>
              <m:t>BJ</m:t>
            </m:r>
          </m:sub>
        </m:sSub>
      </m:oMath>
      <w:r>
        <w:t xml:space="preserve"> are the Baker-Just constants in the unit system used by the implementation, and </w:t>
      </w:r>
      <m:oMath>
        <m:sSub>
          <m:sSubPr>
            <m:ctrlPr>
              <w:rPr>
                <w:rFonts w:ascii="Cambria Math" w:hAnsi="Cambria Math"/>
              </w:rPr>
            </m:ctrlPr>
          </m:sSubPr>
          <m:e>
            <m:r>
              <w:rPr>
                <w:rFonts w:ascii="Cambria Math" w:hAnsi="Cambria Math"/>
              </w:rPr>
              <m:t>T</m:t>
            </m:r>
          </m:e>
          <m:sub>
            <m:r>
              <m:rPr>
                <m:sty m:val="p"/>
              </m:rPr>
              <w:rPr>
                <w:rFonts w:ascii="Cambria Math" w:hAnsi="Cambria Math"/>
              </w:rPr>
              <m:t>clad</m:t>
            </m:r>
          </m:sub>
        </m:sSub>
      </m:oMath>
      <w:r>
        <w:t xml:space="preserve"> is the cladding surface temperature in kelvin. The inverse dependence on </w:t>
      </w:r>
      <m:oMath>
        <m:r>
          <w:rPr>
            <w:rFonts w:ascii="Cambria Math" w:hAnsi="Cambria Math"/>
          </w:rPr>
          <m:t>W</m:t>
        </m:r>
      </m:oMath>
      <w:r>
        <w:t xml:space="preserve"> produces the familiar parabolic behavior: oxidation is initially rapid when the oxide layer is thin and slows as the oxide layer thickens.</w:t>
      </w:r>
    </w:p>
    <w:p w14:paraId="2F649689" w14:textId="77777777" w:rsidR="001F0D14" w:rsidRDefault="001F0D14" w:rsidP="001F0D14">
      <w:pPr>
        <w:pStyle w:val="BodyText"/>
      </w:pPr>
      <w:r>
        <w:t xml:space="preserve">Equivalently, Eq. 4.7-4 can be written in terms of </w:t>
      </w:r>
      <m:oMath>
        <m:sSup>
          <m:sSupPr>
            <m:ctrlPr>
              <w:rPr>
                <w:rFonts w:ascii="Cambria Math" w:hAnsi="Cambria Math"/>
              </w:rPr>
            </m:ctrlPr>
          </m:sSupPr>
          <m:e>
            <m:r>
              <w:rPr>
                <w:rFonts w:ascii="Cambria Math" w:hAnsi="Cambria Math"/>
              </w:rPr>
              <m:t>W</m:t>
            </m:r>
          </m:e>
          <m:sup>
            <m:r>
              <w:rPr>
                <w:rFonts w:ascii="Cambria Math" w:hAnsi="Cambria Math"/>
              </w:rPr>
              <m:t>2</m:t>
            </m:r>
          </m:sup>
        </m:sSup>
      </m:oMath>
      <w:r>
        <w:t>:</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288F7576"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40EFD126" w14:textId="77777777" w:rsidR="001F0D14" w:rsidRDefault="00406E9C" w:rsidP="00104431">
            <w:pPr>
              <w:pStyle w:val="BodyText"/>
              <w:spacing w:before="0" w:after="0"/>
              <w:jc w:val="center"/>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W</m:t>
                        </m:r>
                      </m:e>
                      <m:sup>
                        <m:r>
                          <w:rPr>
                            <w:rFonts w:ascii="Cambria Math" w:hAnsi="Cambria Math"/>
                          </w:rPr>
                          <m:t>2</m:t>
                        </m:r>
                      </m:sup>
                    </m:sSup>
                  </m:num>
                  <m:den>
                    <m:r>
                      <w:rPr>
                        <w:rFonts w:ascii="Cambria Math" w:hAnsi="Cambria Math"/>
                      </w:rPr>
                      <m:t>dt</m:t>
                    </m:r>
                  </m:den>
                </m:f>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m:rPr>
                        <m:sty m:val="p"/>
                      </m:rPr>
                      <w:rPr>
                        <w:rFonts w:ascii="Cambria Math" w:hAnsi="Cambria Math"/>
                      </w:rPr>
                      <m:t>BJ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clad</m:t>
                        </m:r>
                      </m:sub>
                    </m:sSub>
                  </m:e>
                </m:d>
              </m:oMath>
            </m:oMathPara>
          </w:p>
        </w:tc>
        <w:tc>
          <w:tcPr>
            <w:tcW w:w="1300" w:type="dxa"/>
            <w:tcBorders>
              <w:bottom w:val="nil"/>
            </w:tcBorders>
            <w:vAlign w:val="center"/>
          </w:tcPr>
          <w:p w14:paraId="4B376E4E" w14:textId="77777777" w:rsidR="001F0D14" w:rsidRDefault="001F0D14" w:rsidP="00104431">
            <w:pPr>
              <w:spacing w:after="0"/>
              <w:jc w:val="right"/>
            </w:pPr>
            <w:r>
              <w:rPr>
                <w:rFonts w:ascii="Times New Roman" w:hAnsi="Times New Roman"/>
                <w:sz w:val="22"/>
              </w:rPr>
              <w:t>(4.7-6)</w:t>
            </w:r>
          </w:p>
        </w:tc>
      </w:tr>
    </w:tbl>
    <w:p w14:paraId="229A0284" w14:textId="77777777" w:rsidR="001F0D14" w:rsidRDefault="001F0D14" w:rsidP="001F0D14">
      <w:pPr>
        <w:pStyle w:val="FirstParagraph"/>
      </w:pPr>
      <w:r>
        <w:t xml:space="preserve">For a constant cladding temperature over a time interval </w:t>
      </w:r>
      <m:oMath>
        <m:r>
          <w:rPr>
            <w:rFonts w:ascii="Cambria Math" w:hAnsi="Cambria Math"/>
          </w:rPr>
          <m:t>Δt</m:t>
        </m:r>
      </m:oMath>
      <w:r>
        <w:t>, the exact parabolic update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1A55C0AC"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095F42D8"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m:rPr>
                                <m:sty m:val="p"/>
                              </m:rPr>
                              <w:rPr>
                                <w:rFonts w:ascii="Cambria Math" w:hAnsi="Cambria Math"/>
                              </w:rPr>
                              <m:t>BJ</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clad</m:t>
                                </m:r>
                              </m:sub>
                            </m:sSub>
                          </m:e>
                        </m:d>
                        <m:r>
                          <w:rPr>
                            <w:rFonts w:ascii="Cambria Math" w:hAnsi="Cambria Math"/>
                          </w:rPr>
                          <m:t>Δt</m:t>
                        </m:r>
                      </m:e>
                    </m:d>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1300" w:type="dxa"/>
            <w:tcBorders>
              <w:bottom w:val="nil"/>
            </w:tcBorders>
            <w:vAlign w:val="center"/>
          </w:tcPr>
          <w:p w14:paraId="2694177C" w14:textId="77777777" w:rsidR="001F0D14" w:rsidRDefault="001F0D14" w:rsidP="00104431">
            <w:pPr>
              <w:spacing w:after="0"/>
              <w:jc w:val="right"/>
            </w:pPr>
            <w:r>
              <w:rPr>
                <w:rFonts w:ascii="Times New Roman" w:hAnsi="Times New Roman"/>
                <w:sz w:val="22"/>
              </w:rPr>
              <w:t>(4.7-7)</w:t>
            </w:r>
          </w:p>
        </w:tc>
      </w:tr>
    </w:tbl>
    <w:p w14:paraId="66CD4B0B" w14:textId="77777777" w:rsidR="001F0D14" w:rsidRDefault="001F0D14" w:rsidP="001F0D14">
      <w:pPr>
        <w:pStyle w:val="FirstParagraph"/>
      </w:pPr>
      <w:r>
        <w:t xml:space="preserve">This form is numerically convenient because it avoids a singular explicit update when </w:t>
      </w:r>
      <m:oMath>
        <m:r>
          <w:rPr>
            <w:rFonts w:ascii="Cambria Math" w:hAnsi="Cambria Math"/>
          </w:rPr>
          <m:t>W</m:t>
        </m:r>
      </m:oMath>
      <w:r>
        <w:t xml:space="preserve"> is small. In transient calculations, FLARE evaluates the rate coefficient using a representative temperature over the step, typically the current or time-centered cladding temperature depending on the integration option.</w:t>
      </w:r>
    </w:p>
    <w:p w14:paraId="6CC4C68D" w14:textId="77777777" w:rsidR="001F0D14" w:rsidRDefault="001F0D14" w:rsidP="001F0D14">
      <w:pPr>
        <w:pStyle w:val="Heading2"/>
        <w:keepNext/>
      </w:pPr>
      <w:bookmarkStart w:id="41" w:name="_Toc231232886"/>
      <w:r>
        <w:t>4.7.3 Numerical Integration of Oxide Weight Gain</w:t>
      </w:r>
      <w:bookmarkEnd w:id="41"/>
    </w:p>
    <w:p w14:paraId="5401FC18" w14:textId="77777777" w:rsidR="001F0D14" w:rsidRDefault="001F0D14" w:rsidP="001F0D14">
      <w:pPr>
        <w:pStyle w:val="FirstParagraph"/>
      </w:pPr>
      <w:r>
        <w:t xml:space="preserve">The oxidation calculation is integrated in time using the cladding temperature history from the selected rod state. For a rod state </w:t>
      </w:r>
      <m:oMath>
        <m:r>
          <w:rPr>
            <w:rFonts w:ascii="Cambria Math" w:hAnsi="Cambria Math"/>
          </w:rPr>
          <m:t>s</m:t>
        </m:r>
      </m:oMath>
      <w:r>
        <w:t>, such as the hot pin or mean oxidizing rod, the oxidation state is advanced as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0479464F"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6B30FBB5" w14:textId="77777777" w:rsidR="001F0D14" w:rsidRDefault="00406E9C" w:rsidP="00104431">
            <w:pPr>
              <w:pStyle w:val="BodyText"/>
              <w:spacing w:before="0" w:after="0"/>
              <w:jc w:val="center"/>
            </w:pPr>
            <m:oMathPara>
              <m:oMathParaPr>
                <m:jc m:val="center"/>
              </m:oMathParaPr>
              <m:oMath>
                <m:sSubSup>
                  <m:sSubSupPr>
                    <m:ctrlPr>
                      <w:rPr>
                        <w:rFonts w:ascii="Cambria Math" w:hAnsi="Cambria Math"/>
                      </w:rPr>
                    </m:ctrlPr>
                  </m:sSubSupPr>
                  <m:e>
                    <m:r>
                      <w:rPr>
                        <w:rFonts w:ascii="Cambria Math" w:hAnsi="Cambria Math"/>
                      </w:rPr>
                      <m:t>W</m:t>
                    </m:r>
                  </m:e>
                  <m:sub>
                    <m:r>
                      <w:rPr>
                        <w:rFonts w:ascii="Cambria Math" w:hAnsi="Cambria Math"/>
                      </w:rPr>
                      <m:t>s</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s</m:t>
                                    </m:r>
                                  </m:sub>
                                  <m:sup>
                                    <m:r>
                                      <w:rPr>
                                        <w:rFonts w:ascii="Cambria Math" w:hAnsi="Cambria Math"/>
                                      </w:rPr>
                                      <m:t>n</m:t>
                                    </m:r>
                                  </m:sup>
                                </m:sSubSup>
                              </m:e>
                            </m:d>
                          </m:e>
                          <m:sup>
                            <m:r>
                              <w:rPr>
                                <w:rFonts w:ascii="Cambria Math" w:hAnsi="Cambria Math"/>
                              </w:rPr>
                              <m:t>2</m:t>
                            </m:r>
                          </m:sup>
                        </m:s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m:rPr>
                                <m:sty m:val="p"/>
                              </m:rPr>
                              <w:rPr>
                                <w:rFonts w:ascii="Cambria Math" w:hAnsi="Cambria Math"/>
                              </w:rPr>
                              <m:t>BJ</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r>
                          <w:rPr>
                            <w:rFonts w:ascii="Cambria Math" w:hAnsi="Cambria Math"/>
                          </w:rPr>
                          <m:t>Δt</m:t>
                        </m:r>
                      </m:e>
                    </m:d>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1300" w:type="dxa"/>
            <w:tcBorders>
              <w:bottom w:val="nil"/>
            </w:tcBorders>
            <w:vAlign w:val="center"/>
          </w:tcPr>
          <w:p w14:paraId="51354A89" w14:textId="77777777" w:rsidR="001F0D14" w:rsidRDefault="001F0D14" w:rsidP="00104431">
            <w:pPr>
              <w:spacing w:after="0"/>
              <w:jc w:val="right"/>
            </w:pPr>
            <w:r>
              <w:rPr>
                <w:rFonts w:ascii="Times New Roman" w:hAnsi="Times New Roman"/>
                <w:sz w:val="22"/>
              </w:rPr>
              <w:t>(4.7-8)</w:t>
            </w:r>
          </w:p>
        </w:tc>
      </w:tr>
    </w:tbl>
    <w:p w14:paraId="3B8B04B0" w14:textId="77777777" w:rsidR="001F0D14" w:rsidRDefault="001F0D14" w:rsidP="001F0D14">
      <w:pPr>
        <w:pStyle w:val="FirstParagraph"/>
      </w:pPr>
      <w:r>
        <w:t xml:space="preserve">where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oMath>
      <w:r>
        <w:t xml:space="preserve"> is the representative cladding temperature for the time step. A simple time-centered estimate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61A68E57"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5F3FB26C" w14:textId="77777777" w:rsidR="001F0D14" w:rsidRDefault="00406E9C" w:rsidP="00104431">
            <w:pPr>
              <w:pStyle w:val="BodyText"/>
              <w:spacing w:before="0" w:after="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n</m:t>
                        </m:r>
                        <m:r>
                          <m:rPr>
                            <m:sty m:val="p"/>
                          </m:rPr>
                          <w:rPr>
                            <w:rFonts w:ascii="Cambria Math" w:hAnsi="Cambria Math"/>
                          </w:rPr>
                          <m:t>+</m:t>
                        </m:r>
                        <m:r>
                          <w:rPr>
                            <w:rFonts w:ascii="Cambria Math" w:hAnsi="Cambria Math"/>
                          </w:rPr>
                          <m:t>1</m:t>
                        </m:r>
                      </m:sup>
                    </m:sSubSup>
                  </m:e>
                </m:d>
              </m:oMath>
            </m:oMathPara>
          </w:p>
        </w:tc>
        <w:tc>
          <w:tcPr>
            <w:tcW w:w="1300" w:type="dxa"/>
            <w:tcBorders>
              <w:bottom w:val="nil"/>
            </w:tcBorders>
            <w:vAlign w:val="center"/>
          </w:tcPr>
          <w:p w14:paraId="29ACB4F3" w14:textId="77777777" w:rsidR="001F0D14" w:rsidRDefault="001F0D14" w:rsidP="00104431">
            <w:pPr>
              <w:spacing w:after="0"/>
              <w:jc w:val="right"/>
            </w:pPr>
            <w:r>
              <w:rPr>
                <w:rFonts w:ascii="Times New Roman" w:hAnsi="Times New Roman"/>
                <w:sz w:val="22"/>
              </w:rPr>
              <w:t>(4.7-9)</w:t>
            </w:r>
          </w:p>
        </w:tc>
      </w:tr>
    </w:tbl>
    <w:p w14:paraId="4DAF850F" w14:textId="77777777" w:rsidR="001F0D14" w:rsidRDefault="001F0D14" w:rsidP="001F0D14">
      <w:pPr>
        <w:pStyle w:val="FirstParagraph"/>
      </w:pPr>
      <w:r>
        <w:t xml:space="preserve">When only the current-step temperature is available, the implementation may use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n</m:t>
            </m:r>
            <m:r>
              <m:rPr>
                <m:sty m:val="p"/>
              </m:rPr>
              <w:rPr>
                <w:rFonts w:ascii="Cambria Math" w:hAnsi="Cambria Math"/>
              </w:rPr>
              <m:t>+</m:t>
            </m:r>
            <m:r>
              <w:rPr>
                <w:rFonts w:ascii="Cambria Math" w:hAnsi="Cambria Math"/>
              </w:rPr>
              <m:t>1</m:t>
            </m:r>
          </m:sup>
        </m:sSubSup>
      </m:oMath>
      <w:r>
        <w:t xml:space="preserve"> as the representative value. Since the Baker-Just rate is exponentially dependent on temperature, the selected time-centering convention should be retained consistently for verification and sensitivity studies.</w:t>
      </w:r>
    </w:p>
    <w:p w14:paraId="6190680A" w14:textId="77777777" w:rsidR="001F0D14" w:rsidRDefault="001F0D14" w:rsidP="001F0D14">
      <w:pPr>
        <w:pStyle w:val="BodyText"/>
      </w:pPr>
      <w:r>
        <w:lastRenderedPageBreak/>
        <w:t xml:space="preserve">Oxidation is normally suppressed below a threshold temperature because low-temperature zirconium oxidation is not a controlling contributor to large-break LOCA acceptance metrics or hydrogen generation in the intended FLARE applications. With an oxidation cutoff </w:t>
      </w:r>
      <m:oMath>
        <m:sSub>
          <m:sSubPr>
            <m:ctrlPr>
              <w:rPr>
                <w:rFonts w:ascii="Cambria Math" w:hAnsi="Cambria Math"/>
              </w:rPr>
            </m:ctrlPr>
          </m:sSubPr>
          <m:e>
            <m:r>
              <w:rPr>
                <w:rFonts w:ascii="Cambria Math" w:hAnsi="Cambria Math"/>
              </w:rPr>
              <m:t>T</m:t>
            </m:r>
          </m:e>
          <m:sub>
            <m:r>
              <m:rPr>
                <m:sty m:val="p"/>
              </m:rPr>
              <w:rPr>
                <w:rFonts w:ascii="Cambria Math" w:hAnsi="Cambria Math"/>
              </w:rPr>
              <m:t>ox</m:t>
            </m:r>
          </m:sub>
        </m:sSub>
      </m:oMath>
      <w:r>
        <w:t>, the effective rate coefficient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4115B90A"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7BF42E6E"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K</m:t>
                    </m:r>
                  </m:e>
                  <m:sub>
                    <m:r>
                      <m:rPr>
                        <m:sty m:val="p"/>
                      </m:rPr>
                      <w:rPr>
                        <w:rFonts w:ascii="Cambria Math" w:hAnsi="Cambria Math"/>
                      </w:rPr>
                      <m:t>eff</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m:rPr>
                                  <m:sty m:val="p"/>
                                </m:rPr>
                                <w:rPr>
                                  <w:rFonts w:ascii="Cambria Math" w:hAnsi="Cambria Math"/>
                                </w:rPr>
                                <m:t>ox</m:t>
                              </m:r>
                            </m:sub>
                          </m:sSub>
                        </m:e>
                      </m:mr>
                      <m:mr>
                        <m:e>
                          <m:sSub>
                            <m:sSubPr>
                              <m:ctrlPr>
                                <w:rPr>
                                  <w:rFonts w:ascii="Cambria Math" w:hAnsi="Cambria Math"/>
                                </w:rPr>
                              </m:ctrlPr>
                            </m:sSubPr>
                            <m:e>
                              <m:r>
                                <w:rPr>
                                  <w:rFonts w:ascii="Cambria Math" w:hAnsi="Cambria Math"/>
                                </w:rPr>
                                <m:t>K</m:t>
                              </m:r>
                            </m:e>
                            <m:sub>
                              <m:r>
                                <m:rPr>
                                  <m:sty m:val="p"/>
                                </m:rPr>
                                <w:rPr>
                                  <w:rFonts w:ascii="Cambria Math" w:hAnsi="Cambria Math"/>
                                </w:rPr>
                                <m:t>BJ</m:t>
                              </m:r>
                            </m:sub>
                          </m:sSub>
                          <m:d>
                            <m:dPr>
                              <m:ctrlPr>
                                <w:rPr>
                                  <w:rFonts w:ascii="Cambria Math" w:hAnsi="Cambria Math"/>
                                </w:rPr>
                              </m:ctrlPr>
                            </m:dPr>
                            <m:e>
                              <m:r>
                                <w:rPr>
                                  <w:rFonts w:ascii="Cambria Math" w:hAnsi="Cambria Math"/>
                                </w:rPr>
                                <m:t>T</m:t>
                              </m:r>
                            </m:e>
                          </m:d>
                          <m:r>
                            <m:rPr>
                              <m:sty m:val="p"/>
                            </m:rPr>
                            <w:rPr>
                              <w:rFonts w:ascii="Cambria Math" w:hAnsi="Cambria Math"/>
                            </w:rPr>
                            <m:t>,</m:t>
                          </m:r>
                        </m:e>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ox</m:t>
                              </m:r>
                            </m:sub>
                          </m:sSub>
                        </m:e>
                      </m:mr>
                    </m:m>
                  </m:e>
                </m:d>
              </m:oMath>
            </m:oMathPara>
          </w:p>
        </w:tc>
        <w:tc>
          <w:tcPr>
            <w:tcW w:w="1300" w:type="dxa"/>
            <w:tcBorders>
              <w:bottom w:val="nil"/>
            </w:tcBorders>
            <w:vAlign w:val="center"/>
          </w:tcPr>
          <w:p w14:paraId="61A63A41" w14:textId="77777777" w:rsidR="001F0D14" w:rsidRDefault="001F0D14" w:rsidP="00104431">
            <w:pPr>
              <w:spacing w:after="0"/>
              <w:jc w:val="right"/>
            </w:pPr>
            <w:r>
              <w:rPr>
                <w:rFonts w:ascii="Times New Roman" w:hAnsi="Times New Roman"/>
                <w:sz w:val="22"/>
              </w:rPr>
              <w:t>(4.7-10)</w:t>
            </w:r>
          </w:p>
        </w:tc>
      </w:tr>
    </w:tbl>
    <w:p w14:paraId="79687DE9" w14:textId="77777777" w:rsidR="001F0D14" w:rsidRDefault="001F0D14" w:rsidP="001F0D14">
      <w:pPr>
        <w:pStyle w:val="FirstParagraph"/>
      </w:pPr>
      <w:r>
        <w:t xml:space="preserve">The cutoff is a modeling guard, not a statement that oxidation is physically absent below </w:t>
      </w:r>
      <m:oMath>
        <m:sSub>
          <m:sSubPr>
            <m:ctrlPr>
              <w:rPr>
                <w:rFonts w:ascii="Cambria Math" w:hAnsi="Cambria Math"/>
              </w:rPr>
            </m:ctrlPr>
          </m:sSubPr>
          <m:e>
            <m:r>
              <w:rPr>
                <w:rFonts w:ascii="Cambria Math" w:hAnsi="Cambria Math"/>
              </w:rPr>
              <m:t>T</m:t>
            </m:r>
          </m:e>
          <m:sub>
            <m:r>
              <m:rPr>
                <m:sty m:val="p"/>
              </m:rPr>
              <w:rPr>
                <w:rFonts w:ascii="Cambria Math" w:hAnsi="Cambria Math"/>
              </w:rPr>
              <m:t>ox</m:t>
            </m:r>
          </m:sub>
        </m:sSub>
      </m:oMath>
      <w:r>
        <w:t>. It reflects the intended use of FLARE as a rapid accident-analysis screening tool focused on high-temperature cladding response.</w:t>
      </w:r>
    </w:p>
    <w:p w14:paraId="38B34636" w14:textId="77777777" w:rsidR="001F0D14" w:rsidRDefault="001F0D14" w:rsidP="001F0D14">
      <w:pPr>
        <w:pStyle w:val="Heading2"/>
        <w:keepNext/>
      </w:pPr>
      <w:bookmarkStart w:id="42" w:name="_Toc231232887"/>
      <w:r>
        <w:t>4.7.4 Equivalent Cladding Reacted Fraction</w:t>
      </w:r>
      <w:bookmarkEnd w:id="42"/>
    </w:p>
    <w:p w14:paraId="5099551E" w14:textId="77777777" w:rsidR="001F0D14" w:rsidRDefault="001F0D14" w:rsidP="001F0D14">
      <w:pPr>
        <w:pStyle w:val="FirstParagraph"/>
      </w:pPr>
      <w:r>
        <w:t xml:space="preserve">The equivalent cladding reacted fraction is the fraction of the original cladding metal thickness that would be consumed by the amount of oxygen uptake calculated from the oxidation model. If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is the oxygen mass uptake per unit cladding surface area for rod state </w:t>
      </w:r>
      <m:oMath>
        <m:r>
          <w:rPr>
            <w:rFonts w:ascii="Cambria Math" w:hAnsi="Cambria Math"/>
          </w:rPr>
          <m:t>s</m:t>
        </m:r>
      </m:oMath>
      <w:r>
        <w:t>, the equivalent reacted zirconium thickness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1E0B44E8"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25632F06"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δ</m:t>
                    </m:r>
                  </m:e>
                  <m:sub>
                    <m:r>
                      <m:rPr>
                        <m:sty m:val="p"/>
                      </m:rPr>
                      <w:rPr>
                        <w:rFonts w:ascii="Cambria Math" w:hAnsi="Cambria Math"/>
                      </w:rPr>
                      <m:t>rxn,</m:t>
                    </m:r>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m:rPr>
                            <m:sty m:val="p"/>
                          </m:rPr>
                          <w:rPr>
                            <w:rFonts w:ascii="Cambria Math" w:hAnsi="Cambria Math"/>
                          </w:rPr>
                          <m:t>Zr</m:t>
                        </m:r>
                      </m:sub>
                    </m:sSub>
                  </m:den>
                </m:f>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Zr</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690FCBD3" w14:textId="77777777" w:rsidR="001F0D14" w:rsidRDefault="001F0D14" w:rsidP="00104431">
            <w:pPr>
              <w:spacing w:after="0"/>
              <w:jc w:val="right"/>
            </w:pPr>
            <w:r>
              <w:rPr>
                <w:rFonts w:ascii="Times New Roman" w:hAnsi="Times New Roman"/>
                <w:sz w:val="22"/>
              </w:rPr>
              <w:t>(4.7-11)</w:t>
            </w:r>
          </w:p>
        </w:tc>
      </w:tr>
    </w:tbl>
    <w:p w14:paraId="315F374C" w14:textId="77777777" w:rsidR="001F0D14" w:rsidRDefault="001F0D14" w:rsidP="001F0D14">
      <w:pPr>
        <w:pStyle w:val="FirstParagraph"/>
      </w:pPr>
      <w:r>
        <w:t xml:space="preserve">where </w:t>
      </w:r>
      <m:oMath>
        <m:sSub>
          <m:sSubPr>
            <m:ctrlPr>
              <w:rPr>
                <w:rFonts w:ascii="Cambria Math" w:hAnsi="Cambria Math"/>
              </w:rPr>
            </m:ctrlPr>
          </m:sSubPr>
          <m:e>
            <m:r>
              <w:rPr>
                <w:rFonts w:ascii="Cambria Math" w:hAnsi="Cambria Math"/>
              </w:rPr>
              <m:t>ρ</m:t>
            </m:r>
          </m:e>
          <m:sub>
            <m:r>
              <m:rPr>
                <m:sty m:val="p"/>
              </m:rPr>
              <w:rPr>
                <w:rFonts w:ascii="Cambria Math" w:hAnsi="Cambria Math"/>
              </w:rPr>
              <m:t>Zr</m:t>
            </m:r>
          </m:sub>
        </m:sSub>
      </m:oMath>
      <w:r>
        <w:t xml:space="preserve"> is the density of zirconium metal. The equivalent cladding reacted fraction is then</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4C06E59D"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2CD92F3C"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m:rPr>
                        <m:sty m:val="p"/>
                      </m:rPr>
                      <w:rPr>
                        <w:rFonts w:ascii="Cambria Math" w:hAnsi="Cambria Math"/>
                      </w:rPr>
                      <m:t>ECR</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m:rPr>
                            <m:sty m:val="p"/>
                          </m:rPr>
                          <w:rPr>
                            <w:rFonts w:ascii="Cambria Math" w:hAnsi="Cambria Math"/>
                          </w:rPr>
                          <m:t>rxn,</m:t>
                        </m:r>
                        <m:r>
                          <w:rPr>
                            <w:rFonts w:ascii="Cambria Math" w:hAnsi="Cambria Math"/>
                          </w:rPr>
                          <m:t>s</m:t>
                        </m:r>
                      </m:sub>
                    </m:sSub>
                  </m:num>
                  <m:den>
                    <m:sSub>
                      <m:sSubPr>
                        <m:ctrlPr>
                          <w:rPr>
                            <w:rFonts w:ascii="Cambria Math" w:hAnsi="Cambria Math"/>
                          </w:rPr>
                        </m:ctrlPr>
                      </m:sSubPr>
                      <m:e>
                        <m:r>
                          <w:rPr>
                            <w:rFonts w:ascii="Cambria Math" w:hAnsi="Cambria Math"/>
                          </w:rPr>
                          <m:t>δ</m:t>
                        </m:r>
                      </m:e>
                      <m:sub>
                        <m:r>
                          <m:rPr>
                            <m:sty m:val="p"/>
                          </m:rPr>
                          <w:rPr>
                            <w:rFonts w:ascii="Cambria Math" w:hAnsi="Cambria Math"/>
                          </w:rPr>
                          <m:t>clad</m:t>
                        </m:r>
                      </m:sub>
                    </m:sSub>
                  </m:den>
                </m:f>
              </m:oMath>
            </m:oMathPara>
          </w:p>
        </w:tc>
        <w:tc>
          <w:tcPr>
            <w:tcW w:w="1300" w:type="dxa"/>
            <w:tcBorders>
              <w:bottom w:val="nil"/>
            </w:tcBorders>
            <w:vAlign w:val="center"/>
          </w:tcPr>
          <w:p w14:paraId="22F5D55C" w14:textId="77777777" w:rsidR="001F0D14" w:rsidRDefault="001F0D14" w:rsidP="00104431">
            <w:pPr>
              <w:spacing w:after="0"/>
              <w:jc w:val="right"/>
            </w:pPr>
            <w:r>
              <w:rPr>
                <w:rFonts w:ascii="Times New Roman" w:hAnsi="Times New Roman"/>
                <w:sz w:val="22"/>
              </w:rPr>
              <w:t>(4.7-12)</w:t>
            </w:r>
          </w:p>
        </w:tc>
      </w:tr>
    </w:tbl>
    <w:p w14:paraId="3FA3A4E8" w14:textId="77777777" w:rsidR="001F0D14" w:rsidRDefault="001F0D14" w:rsidP="001F0D14">
      <w:pPr>
        <w:pStyle w:val="FirstParagraph"/>
      </w:pPr>
      <w:r>
        <w:t>and the value reported in percent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5FADA87A"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03FA2F34"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m:rPr>
                        <m:sty m:val="p"/>
                      </m:rPr>
                      <w:rPr>
                        <w:rFonts w:ascii="Cambria Math" w:hAnsi="Cambria Math"/>
                      </w:rPr>
                      <m:t>ECR</m:t>
                    </m:r>
                  </m:e>
                  <m:sub>
                    <m:r>
                      <w:rPr>
                        <w:rFonts w:ascii="Cambria Math" w:hAnsi="Cambria Math"/>
                      </w:rPr>
                      <m:t>s</m:t>
                    </m:r>
                    <m:r>
                      <m:rPr>
                        <m:sty m:val="p"/>
                      </m:rPr>
                      <w:rPr>
                        <w:rFonts w:ascii="Cambria Math" w:hAnsi="Cambria Math"/>
                      </w:rPr>
                      <m:t>,%</m:t>
                    </m:r>
                  </m:sub>
                </m:sSub>
                <m:r>
                  <m:rPr>
                    <m:sty m:val="p"/>
                  </m:rPr>
                  <w:rPr>
                    <w:rFonts w:ascii="Cambria Math" w:hAnsi="Cambria Math"/>
                  </w:rPr>
                  <m:t>=</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s</m:t>
                        </m:r>
                      </m:sub>
                    </m:sSub>
                  </m:num>
                  <m:den>
                    <m:sSub>
                      <m:sSubPr>
                        <m:ctrlPr>
                          <w:rPr>
                            <w:rFonts w:ascii="Cambria Math" w:hAnsi="Cambria Math"/>
                          </w:rPr>
                        </m:ctrlPr>
                      </m:sSubPr>
                      <m:e>
                        <m:r>
                          <w:rPr>
                            <w:rFonts w:ascii="Cambria Math" w:hAnsi="Cambria Math"/>
                          </w:rPr>
                          <m:t>ρ</m:t>
                        </m:r>
                      </m:e>
                      <m:sub>
                        <m:r>
                          <m:rPr>
                            <m:sty m:val="p"/>
                          </m:rPr>
                          <w:rPr>
                            <w:rFonts w:ascii="Cambria Math" w:hAnsi="Cambria Math"/>
                          </w:rPr>
                          <m:t>Zr</m:t>
                        </m:r>
                      </m:sub>
                    </m:sSub>
                    <m:sSub>
                      <m:sSubPr>
                        <m:ctrlPr>
                          <w:rPr>
                            <w:rFonts w:ascii="Cambria Math" w:hAnsi="Cambria Math"/>
                          </w:rPr>
                        </m:ctrlPr>
                      </m:sSubPr>
                      <m:e>
                        <m:r>
                          <w:rPr>
                            <w:rFonts w:ascii="Cambria Math" w:hAnsi="Cambria Math"/>
                          </w:rPr>
                          <m:t>δ</m:t>
                        </m:r>
                      </m:e>
                      <m:sub>
                        <m:r>
                          <m:rPr>
                            <m:sty m:val="p"/>
                          </m:rPr>
                          <w:rPr>
                            <w:rFonts w:ascii="Cambria Math" w:hAnsi="Cambria Math"/>
                          </w:rPr>
                          <m:t>clad</m:t>
                        </m:r>
                      </m:sub>
                    </m:sSub>
                  </m:den>
                </m:f>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Zr</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2FF185FB" w14:textId="77777777" w:rsidR="001F0D14" w:rsidRDefault="001F0D14" w:rsidP="00104431">
            <w:pPr>
              <w:spacing w:after="0"/>
              <w:jc w:val="right"/>
            </w:pPr>
            <w:r>
              <w:rPr>
                <w:rFonts w:ascii="Times New Roman" w:hAnsi="Times New Roman"/>
                <w:sz w:val="22"/>
              </w:rPr>
              <w:t>(4.7-13)</w:t>
            </w:r>
          </w:p>
        </w:tc>
      </w:tr>
    </w:tbl>
    <w:p w14:paraId="2425364D" w14:textId="77777777" w:rsidR="001F0D14" w:rsidRDefault="001F0D14" w:rsidP="001F0D14">
      <w:pPr>
        <w:pStyle w:val="FirstParagraph"/>
      </w:pPr>
      <w:r>
        <w:t xml:space="preserve">where </w:t>
      </w:r>
      <m:oMath>
        <m:sSub>
          <m:sSubPr>
            <m:ctrlPr>
              <w:rPr>
                <w:rFonts w:ascii="Cambria Math" w:hAnsi="Cambria Math"/>
              </w:rPr>
            </m:ctrlPr>
          </m:sSubPr>
          <m:e>
            <m:r>
              <w:rPr>
                <w:rFonts w:ascii="Cambria Math" w:hAnsi="Cambria Math"/>
              </w:rPr>
              <m:t>δ</m:t>
            </m:r>
          </m:e>
          <m:sub>
            <m:r>
              <m:rPr>
                <m:sty m:val="p"/>
              </m:rPr>
              <w:rPr>
                <w:rFonts w:ascii="Cambria Math" w:hAnsi="Cambria Math"/>
              </w:rPr>
              <m:t>clad</m:t>
            </m:r>
          </m:sub>
        </m:sSub>
      </m:oMath>
      <w:r>
        <w:t xml:space="preserve"> is the initial cladding wall thickness. The regulatory maximum-local-oxidation figure-of-merit is based on the hot-pin value,</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55ECD740"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42A0E39E" w14:textId="77777777" w:rsidR="001F0D14" w:rsidRDefault="001F0D14" w:rsidP="00104431">
            <w:pPr>
              <w:pStyle w:val="BodyText"/>
              <w:spacing w:before="0" w:after="0"/>
              <w:jc w:val="center"/>
            </w:pPr>
            <m:oMathPara>
              <m:oMathParaPr>
                <m:jc m:val="center"/>
              </m:oMathParaPr>
              <m:oMath>
                <m:r>
                  <m:rPr>
                    <m:sty m:val="p"/>
                  </m:rPr>
                  <w:rPr>
                    <w:rFonts w:ascii="Cambria Math" w:hAnsi="Cambria Math"/>
                  </w:rPr>
                  <m:t>MLO=</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ECR</m:t>
                        </m:r>
                      </m:e>
                      <m:sub>
                        <m:r>
                          <m:rPr>
                            <m:sty m:val="p"/>
                          </m:rPr>
                          <w:rPr>
                            <w:rFonts w:ascii="Cambria Math" w:hAnsi="Cambria Math"/>
                          </w:rPr>
                          <m:t>hot,%</m:t>
                        </m:r>
                      </m:sub>
                    </m:sSub>
                    <m:d>
                      <m:dPr>
                        <m:ctrlPr>
                          <w:rPr>
                            <w:rFonts w:ascii="Cambria Math" w:hAnsi="Cambria Math"/>
                          </w:rPr>
                        </m:ctrlPr>
                      </m:dPr>
                      <m:e>
                        <m:r>
                          <w:rPr>
                            <w:rFonts w:ascii="Cambria Math" w:hAnsi="Cambria Math"/>
                          </w:rPr>
                          <m:t>t</m:t>
                        </m:r>
                      </m:e>
                    </m:d>
                  </m:e>
                </m:d>
              </m:oMath>
            </m:oMathPara>
          </w:p>
        </w:tc>
        <w:tc>
          <w:tcPr>
            <w:tcW w:w="1300" w:type="dxa"/>
            <w:tcBorders>
              <w:bottom w:val="nil"/>
            </w:tcBorders>
            <w:vAlign w:val="center"/>
          </w:tcPr>
          <w:p w14:paraId="3148EE5B" w14:textId="77777777" w:rsidR="001F0D14" w:rsidRDefault="001F0D14" w:rsidP="00104431">
            <w:pPr>
              <w:spacing w:after="0"/>
              <w:jc w:val="right"/>
            </w:pPr>
            <w:r>
              <w:rPr>
                <w:rFonts w:ascii="Times New Roman" w:hAnsi="Times New Roman"/>
                <w:sz w:val="22"/>
              </w:rPr>
              <w:t>(4.7-14)</w:t>
            </w:r>
          </w:p>
        </w:tc>
      </w:tr>
    </w:tbl>
    <w:p w14:paraId="7A0A82F2" w14:textId="77777777" w:rsidR="001F0D14" w:rsidRDefault="001F0D14" w:rsidP="001F0D14">
      <w:pPr>
        <w:pStyle w:val="FirstParagraph"/>
      </w:pPr>
      <w:r>
        <w:t>where the hot pin is defined in Section 4.6. The mean oxidizing rod ECR is calculated similarly but uses the conditional mean oxidizing rod temperature rather than the hot-pin temperature.</w:t>
      </w:r>
    </w:p>
    <w:p w14:paraId="004E6FCF" w14:textId="77777777" w:rsidR="001F0D14" w:rsidRDefault="001F0D14" w:rsidP="001F0D14">
      <w:pPr>
        <w:pStyle w:val="Heading2"/>
        <w:keepNext/>
      </w:pPr>
      <w:bookmarkStart w:id="43" w:name="_Toc231232888"/>
      <w:r>
        <w:t>4.7.5 Hot-Pin Oxidation</w:t>
      </w:r>
      <w:bookmarkEnd w:id="43"/>
    </w:p>
    <w:p w14:paraId="5C240F45" w14:textId="77777777" w:rsidR="001F0D14" w:rsidRDefault="001F0D14" w:rsidP="001F0D14">
      <w:pPr>
        <w:pStyle w:val="FirstParagraph"/>
      </w:pPr>
      <w:r>
        <w:t xml:space="preserve">The hot pin represents the most adverse local rod state implied by the specified radial and axial peaking factors. Its temperature history, </w:t>
      </w:r>
      <m:oMath>
        <m:sSub>
          <m:sSubPr>
            <m:ctrlPr>
              <w:rPr>
                <w:rFonts w:ascii="Cambria Math" w:hAnsi="Cambria Math"/>
              </w:rPr>
            </m:ctrlPr>
          </m:sSubPr>
          <m:e>
            <m:r>
              <w:rPr>
                <w:rFonts w:ascii="Cambria Math" w:hAnsi="Cambria Math"/>
              </w:rPr>
              <m:t>T</m:t>
            </m:r>
          </m:e>
          <m:sub>
            <m:r>
              <m:rPr>
                <m:sty m:val="p"/>
              </m:rPr>
              <w:rPr>
                <w:rFonts w:ascii="Cambria Math" w:hAnsi="Cambria Math"/>
              </w:rPr>
              <m:t>hot</m:t>
            </m:r>
          </m:sub>
        </m:sSub>
        <m:d>
          <m:dPr>
            <m:ctrlPr>
              <w:rPr>
                <w:rFonts w:ascii="Cambria Math" w:hAnsi="Cambria Math"/>
              </w:rPr>
            </m:ctrlPr>
          </m:dPr>
          <m:e>
            <m:r>
              <w:rPr>
                <w:rFonts w:ascii="Cambria Math" w:hAnsi="Cambria Math"/>
              </w:rPr>
              <m:t>t</m:t>
            </m:r>
          </m:e>
        </m:d>
      </m:oMath>
      <w:r>
        <w:t>, is used to calculate the local oxidation state most relevant to peak cladding temperature and maximum local oxidation. The hot-pin oxide weight gain is advanced as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280E8EF5"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6E6AB750" w14:textId="77777777" w:rsidR="001F0D14" w:rsidRDefault="00406E9C" w:rsidP="00104431">
            <w:pPr>
              <w:pStyle w:val="BodyText"/>
              <w:spacing w:before="0" w:after="0"/>
              <w:jc w:val="center"/>
            </w:pPr>
            <m:oMathPara>
              <m:oMathParaPr>
                <m:jc m:val="center"/>
              </m:oMathParaPr>
              <m:oMath>
                <m:sSubSup>
                  <m:sSubSupPr>
                    <m:ctrlPr>
                      <w:rPr>
                        <w:rFonts w:ascii="Cambria Math" w:hAnsi="Cambria Math"/>
                      </w:rPr>
                    </m:ctrlPr>
                  </m:sSubSupPr>
                  <m:e>
                    <m:r>
                      <w:rPr>
                        <w:rFonts w:ascii="Cambria Math" w:hAnsi="Cambria Math"/>
                      </w:rPr>
                      <m:t>W</m:t>
                    </m:r>
                  </m:e>
                  <m:sub>
                    <m:r>
                      <m:rPr>
                        <m:sty m:val="p"/>
                      </m:rPr>
                      <w:rPr>
                        <w:rFonts w:ascii="Cambria Math" w:hAnsi="Cambria Math"/>
                      </w:rPr>
                      <m:t>hot</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m:rPr>
                                        <m:sty m:val="p"/>
                                      </m:rPr>
                                      <w:rPr>
                                        <w:rFonts w:ascii="Cambria Math" w:hAnsi="Cambria Math"/>
                                      </w:rPr>
                                      <m:t>hot</m:t>
                                    </m:r>
                                  </m:sub>
                                  <m:sup>
                                    <m:r>
                                      <w:rPr>
                                        <w:rFonts w:ascii="Cambria Math" w:hAnsi="Cambria Math"/>
                                      </w:rPr>
                                      <m:t>n</m:t>
                                    </m:r>
                                  </m:sup>
                                </m:sSubSup>
                              </m:e>
                            </m:d>
                          </m:e>
                          <m:sup>
                            <m:r>
                              <w:rPr>
                                <w:rFonts w:ascii="Cambria Math" w:hAnsi="Cambria Math"/>
                              </w:rPr>
                              <m:t>2</m:t>
                            </m:r>
                          </m:sup>
                        </m:s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m:rPr>
                                <m:sty m:val="p"/>
                              </m:rPr>
                              <w:rPr>
                                <w:rFonts w:ascii="Cambria Math" w:hAnsi="Cambria Math"/>
                              </w:rPr>
                              <m:t>eff</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hot</m:t>
                                </m:r>
                              </m:sub>
                              <m:sup>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r>
                          <w:rPr>
                            <w:rFonts w:ascii="Cambria Math" w:hAnsi="Cambria Math"/>
                          </w:rPr>
                          <m:t>Δt</m:t>
                        </m:r>
                      </m:e>
                    </m:d>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1300" w:type="dxa"/>
            <w:tcBorders>
              <w:bottom w:val="nil"/>
            </w:tcBorders>
            <w:vAlign w:val="center"/>
          </w:tcPr>
          <w:p w14:paraId="0F0759D9" w14:textId="77777777" w:rsidR="001F0D14" w:rsidRDefault="001F0D14" w:rsidP="00104431">
            <w:pPr>
              <w:spacing w:after="0"/>
              <w:jc w:val="right"/>
            </w:pPr>
            <w:r>
              <w:rPr>
                <w:rFonts w:ascii="Times New Roman" w:hAnsi="Times New Roman"/>
                <w:sz w:val="22"/>
              </w:rPr>
              <w:t>(4.7-15)</w:t>
            </w:r>
          </w:p>
        </w:tc>
      </w:tr>
    </w:tbl>
    <w:p w14:paraId="518F1E86" w14:textId="77777777" w:rsidR="001F0D14" w:rsidRDefault="001F0D14" w:rsidP="001F0D14">
      <w:pPr>
        <w:pStyle w:val="FirstParagraph"/>
      </w:pPr>
      <w:r>
        <w:t>The hot-pin equivalent cladding reacted fraction is then</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7A42F775" w14:textId="77777777" w:rsidTr="001F0D14">
        <w:trPr>
          <w:cnfStyle w:val="100000000000" w:firstRow="1" w:lastRow="0" w:firstColumn="0" w:lastColumn="0" w:oddVBand="0" w:evenVBand="0" w:oddHBand="0" w:evenHBand="0" w:firstRowFirstColumn="0" w:firstRowLastColumn="0" w:lastRowFirstColumn="0" w:lastRowLastColumn="0"/>
          <w:trHeight w:val="612"/>
          <w:jc w:val="center"/>
        </w:trPr>
        <w:tc>
          <w:tcPr>
            <w:tcW w:w="7900" w:type="dxa"/>
            <w:tcBorders>
              <w:bottom w:val="nil"/>
            </w:tcBorders>
            <w:vAlign w:val="center"/>
          </w:tcPr>
          <w:p w14:paraId="7A92EC7E" w14:textId="77777777" w:rsidR="001F0D14" w:rsidRDefault="00406E9C" w:rsidP="00104431">
            <w:pPr>
              <w:pStyle w:val="BodyText"/>
              <w:spacing w:before="0" w:after="0"/>
              <w:jc w:val="center"/>
            </w:pPr>
            <m:oMathPara>
              <m:oMathParaPr>
                <m:jc m:val="center"/>
              </m:oMathParaPr>
              <m:oMath>
                <m:sSubSup>
                  <m:sSubSupPr>
                    <m:ctrlPr>
                      <w:rPr>
                        <w:rFonts w:ascii="Cambria Math" w:hAnsi="Cambria Math"/>
                      </w:rPr>
                    </m:ctrlPr>
                  </m:sSubSupPr>
                  <m:e>
                    <m:r>
                      <m:rPr>
                        <m:sty m:val="p"/>
                      </m:rPr>
                      <w:rPr>
                        <w:rFonts w:ascii="Cambria Math" w:hAnsi="Cambria Math"/>
                      </w:rPr>
                      <m:t>ECR</m:t>
                    </m:r>
                  </m:e>
                  <m:sub>
                    <m:r>
                      <m:rPr>
                        <m:sty m:val="p"/>
                      </m:rPr>
                      <w:rPr>
                        <w:rFonts w:ascii="Cambria Math" w:hAnsi="Cambria Math"/>
                      </w:rPr>
                      <m:t>hot,%</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100</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m:rPr>
                            <m:sty m:val="p"/>
                          </m:rPr>
                          <w:rPr>
                            <w:rFonts w:ascii="Cambria Math" w:hAnsi="Cambria Math"/>
                          </w:rPr>
                          <m:t>hot</m:t>
                        </m:r>
                      </m:sub>
                      <m:sup>
                        <m:r>
                          <w:rPr>
                            <w:rFonts w:ascii="Cambria Math" w:hAnsi="Cambria Math"/>
                          </w:rPr>
                          <m:t>n</m:t>
                        </m:r>
                        <m:r>
                          <m:rPr>
                            <m:sty m:val="p"/>
                          </m:rPr>
                          <w:rPr>
                            <w:rFonts w:ascii="Cambria Math" w:hAnsi="Cambria Math"/>
                          </w:rPr>
                          <m:t>+</m:t>
                        </m:r>
                        <m:r>
                          <w:rPr>
                            <w:rFonts w:ascii="Cambria Math" w:hAnsi="Cambria Math"/>
                          </w:rPr>
                          <m:t>1</m:t>
                        </m:r>
                      </m:sup>
                    </m:sSubSup>
                  </m:num>
                  <m:den>
                    <m:sSub>
                      <m:sSubPr>
                        <m:ctrlPr>
                          <w:rPr>
                            <w:rFonts w:ascii="Cambria Math" w:hAnsi="Cambria Math"/>
                          </w:rPr>
                        </m:ctrlPr>
                      </m:sSubPr>
                      <m:e>
                        <m:r>
                          <w:rPr>
                            <w:rFonts w:ascii="Cambria Math" w:hAnsi="Cambria Math"/>
                          </w:rPr>
                          <m:t>ρ</m:t>
                        </m:r>
                      </m:e>
                      <m:sub>
                        <m:r>
                          <m:rPr>
                            <m:sty m:val="p"/>
                          </m:rPr>
                          <w:rPr>
                            <w:rFonts w:ascii="Cambria Math" w:hAnsi="Cambria Math"/>
                          </w:rPr>
                          <m:t>Zr</m:t>
                        </m:r>
                      </m:sub>
                    </m:sSub>
                    <m:sSub>
                      <m:sSubPr>
                        <m:ctrlPr>
                          <w:rPr>
                            <w:rFonts w:ascii="Cambria Math" w:hAnsi="Cambria Math"/>
                          </w:rPr>
                        </m:ctrlPr>
                      </m:sSubPr>
                      <m:e>
                        <m:r>
                          <w:rPr>
                            <w:rFonts w:ascii="Cambria Math" w:hAnsi="Cambria Math"/>
                          </w:rPr>
                          <m:t>δ</m:t>
                        </m:r>
                      </m:e>
                      <m:sub>
                        <m:r>
                          <m:rPr>
                            <m:sty m:val="p"/>
                          </m:rPr>
                          <w:rPr>
                            <w:rFonts w:ascii="Cambria Math" w:hAnsi="Cambria Math"/>
                          </w:rPr>
                          <m:t>clad</m:t>
                        </m:r>
                      </m:sub>
                    </m:sSub>
                  </m:den>
                </m:f>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Zr</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71879A9A" w14:textId="77777777" w:rsidR="001F0D14" w:rsidRDefault="001F0D14" w:rsidP="00104431">
            <w:pPr>
              <w:spacing w:after="0"/>
              <w:jc w:val="right"/>
            </w:pPr>
            <w:r>
              <w:rPr>
                <w:rFonts w:ascii="Times New Roman" w:hAnsi="Times New Roman"/>
                <w:sz w:val="22"/>
              </w:rPr>
              <w:t>(4.7-16)</w:t>
            </w:r>
          </w:p>
        </w:tc>
      </w:tr>
    </w:tbl>
    <w:p w14:paraId="761C4AE5" w14:textId="77777777" w:rsidR="001F0D14" w:rsidRDefault="001F0D14" w:rsidP="001F0D14">
      <w:pPr>
        <w:pStyle w:val="FirstParagraph"/>
      </w:pPr>
      <w:r>
        <w:t>This value is tracked as a latched maximum over the transient because maximum local oxidation is a limiting local condition:</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2EB6535D"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36723C16"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m:rPr>
                        <m:sty m:val="p"/>
                      </m:rPr>
                      <w:rPr>
                        <w:rFonts w:ascii="Cambria Math" w:hAnsi="Cambria Math"/>
                      </w:rPr>
                      <m:t>ECR</m:t>
                    </m:r>
                  </m:e>
                  <m:sub>
                    <m:r>
                      <m:rPr>
                        <m:sty m:val="p"/>
                      </m:rPr>
                      <w:rPr>
                        <w:rFonts w:ascii="Cambria Math" w:hAnsi="Cambria Math"/>
                      </w:rPr>
                      <m:t>hot,max</m:t>
                    </m:r>
                  </m:sub>
                </m:sSub>
                <m:d>
                  <m:dPr>
                    <m:ctrlPr>
                      <w:rPr>
                        <w:rFonts w:ascii="Cambria Math" w:hAnsi="Cambria Math"/>
                      </w:rPr>
                    </m:ctrlPr>
                  </m:dPr>
                  <m:e>
                    <m:r>
                      <w:rPr>
                        <w:rFonts w:ascii="Cambria Math" w:hAnsi="Cambria Math"/>
                      </w:rPr>
                      <m:t>t</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τ</m:t>
                    </m:r>
                    <m:r>
                      <m:rPr>
                        <m:sty m:val="p"/>
                      </m:rPr>
                      <w:rPr>
                        <w:rFonts w:ascii="Cambria Math" w:hAnsi="Cambria Math"/>
                      </w:rPr>
                      <m:t>≤</m:t>
                    </m:r>
                    <m:r>
                      <w:rPr>
                        <w:rFonts w:ascii="Cambria Math" w:hAnsi="Cambria Math"/>
                      </w:rPr>
                      <m:t>t</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ECR</m:t>
                        </m:r>
                      </m:e>
                      <m:sub>
                        <m:r>
                          <m:rPr>
                            <m:sty m:val="p"/>
                          </m:rPr>
                          <w:rPr>
                            <w:rFonts w:ascii="Cambria Math" w:hAnsi="Cambria Math"/>
                          </w:rPr>
                          <m:t>hot,%</m:t>
                        </m:r>
                      </m:sub>
                    </m:sSub>
                    <m:d>
                      <m:dPr>
                        <m:ctrlPr>
                          <w:rPr>
                            <w:rFonts w:ascii="Cambria Math" w:hAnsi="Cambria Math"/>
                          </w:rPr>
                        </m:ctrlPr>
                      </m:dPr>
                      <m:e>
                        <m:r>
                          <w:rPr>
                            <w:rFonts w:ascii="Cambria Math" w:hAnsi="Cambria Math"/>
                          </w:rPr>
                          <m:t>τ</m:t>
                        </m:r>
                      </m:e>
                    </m:d>
                  </m:e>
                </m:d>
              </m:oMath>
            </m:oMathPara>
          </w:p>
        </w:tc>
        <w:tc>
          <w:tcPr>
            <w:tcW w:w="1300" w:type="dxa"/>
            <w:tcBorders>
              <w:bottom w:val="nil"/>
            </w:tcBorders>
            <w:vAlign w:val="center"/>
          </w:tcPr>
          <w:p w14:paraId="5777EC6F" w14:textId="77777777" w:rsidR="001F0D14" w:rsidRDefault="001F0D14" w:rsidP="00104431">
            <w:pPr>
              <w:spacing w:after="0"/>
              <w:jc w:val="right"/>
            </w:pPr>
            <w:r>
              <w:rPr>
                <w:rFonts w:ascii="Times New Roman" w:hAnsi="Times New Roman"/>
                <w:sz w:val="22"/>
              </w:rPr>
              <w:t>(4.7-17)</w:t>
            </w:r>
          </w:p>
        </w:tc>
      </w:tr>
    </w:tbl>
    <w:p w14:paraId="23A8E5FD" w14:textId="77777777" w:rsidR="001F0D14" w:rsidRDefault="001F0D14" w:rsidP="001F0D14">
      <w:pPr>
        <w:pStyle w:val="FirstParagraph"/>
      </w:pPr>
      <w:r>
        <w:lastRenderedPageBreak/>
        <w:t>The hot-pin result should not be used by itself to estimate core-wide oxidation or hydrogen generation. Applying the hot-pin temperature to every rod would implicitly assume the entire core is at the limiting local peaking condition and would generally overstate population-integrated oxidation.</w:t>
      </w:r>
    </w:p>
    <w:p w14:paraId="218BCE2A" w14:textId="77777777" w:rsidR="001F0D14" w:rsidRDefault="001F0D14" w:rsidP="001F0D14">
      <w:pPr>
        <w:pStyle w:val="Heading2"/>
        <w:keepNext/>
      </w:pPr>
      <w:bookmarkStart w:id="44" w:name="_Toc231232889"/>
      <w:r>
        <w:t>4.7.6 Mean Oxidizing Rod Oxidation</w:t>
      </w:r>
      <w:bookmarkEnd w:id="44"/>
    </w:p>
    <w:p w14:paraId="0B70DE07" w14:textId="77777777" w:rsidR="001F0D14" w:rsidRDefault="001F0D14" w:rsidP="001F0D14">
      <w:pPr>
        <w:pStyle w:val="FirstParagraph"/>
      </w:pPr>
      <w:r>
        <w:t>For core-wide hydrogen generation and severe-event source-term escalation, FLARE uses the mean oxidizing rod defined in Section 4.6. This rod state represents the conditional mean temperature of the portion of the rod population above the oxidation threshold. Its oxide weight gain is advanced as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757F1C6A"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040271F0" w14:textId="77777777" w:rsidR="001F0D14" w:rsidRDefault="00406E9C" w:rsidP="00104431">
            <w:pPr>
              <w:pStyle w:val="BodyText"/>
              <w:spacing w:before="0" w:after="0"/>
              <w:jc w:val="center"/>
            </w:pPr>
            <m:oMathPara>
              <m:oMathParaPr>
                <m:jc m:val="center"/>
              </m:oMathParaPr>
              <m:oMath>
                <m:sSubSup>
                  <m:sSubSupPr>
                    <m:ctrlPr>
                      <w:rPr>
                        <w:rFonts w:ascii="Cambria Math" w:hAnsi="Cambria Math"/>
                      </w:rPr>
                    </m:ctrlPr>
                  </m:sSubSupPr>
                  <m:e>
                    <m:r>
                      <w:rPr>
                        <w:rFonts w:ascii="Cambria Math" w:hAnsi="Cambria Math"/>
                      </w:rPr>
                      <m:t>W</m:t>
                    </m:r>
                  </m:e>
                  <m:sub>
                    <m:r>
                      <m:rPr>
                        <m:sty m:val="p"/>
                      </m:rPr>
                      <w:rPr>
                        <w:rFonts w:ascii="Cambria Math" w:hAnsi="Cambria Math"/>
                      </w:rPr>
                      <m:t>mean ox</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W</m:t>
                                    </m:r>
                                  </m:e>
                                  <m:sub>
                                    <m:r>
                                      <m:rPr>
                                        <m:sty m:val="p"/>
                                      </m:rPr>
                                      <w:rPr>
                                        <w:rFonts w:ascii="Cambria Math" w:hAnsi="Cambria Math"/>
                                      </w:rPr>
                                      <m:t>mean ox</m:t>
                                    </m:r>
                                  </m:sub>
                                  <m:sup>
                                    <m:r>
                                      <w:rPr>
                                        <w:rFonts w:ascii="Cambria Math" w:hAnsi="Cambria Math"/>
                                      </w:rPr>
                                      <m:t>n</m:t>
                                    </m:r>
                                  </m:sup>
                                </m:sSubSup>
                              </m:e>
                            </m:d>
                          </m:e>
                          <m:sup>
                            <m:r>
                              <w:rPr>
                                <w:rFonts w:ascii="Cambria Math" w:hAnsi="Cambria Math"/>
                              </w:rPr>
                              <m:t>2</m:t>
                            </m:r>
                          </m:sup>
                        </m:s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m:rPr>
                                <m:sty m:val="p"/>
                              </m:rPr>
                              <w:rPr>
                                <w:rFonts w:ascii="Cambria Math" w:hAnsi="Cambria Math"/>
                              </w:rPr>
                              <m:t>eff</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T</m:t>
                                </m:r>
                              </m:e>
                              <m:sub>
                                <m:r>
                                  <m:rPr>
                                    <m:sty m:val="p"/>
                                  </m:rPr>
                                  <w:rPr>
                                    <w:rFonts w:ascii="Cambria Math" w:hAnsi="Cambria Math"/>
                                  </w:rPr>
                                  <m:t>mean ox</m:t>
                                </m:r>
                              </m:sub>
                              <m:sup>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e>
                        </m:d>
                        <m:r>
                          <w:rPr>
                            <w:rFonts w:ascii="Cambria Math" w:hAnsi="Cambria Math"/>
                          </w:rPr>
                          <m:t>Δt</m:t>
                        </m:r>
                      </m:e>
                    </m:d>
                  </m:e>
                  <m:sup>
                    <m:r>
                      <w:rPr>
                        <w:rFonts w:ascii="Cambria Math" w:hAnsi="Cambria Math"/>
                      </w:rPr>
                      <m:t>1</m:t>
                    </m:r>
                    <m:r>
                      <m:rPr>
                        <m:sty m:val="p"/>
                      </m:rPr>
                      <w:rPr>
                        <w:rFonts w:ascii="Cambria Math" w:hAnsi="Cambria Math"/>
                      </w:rPr>
                      <m:t>/</m:t>
                    </m:r>
                    <m:r>
                      <w:rPr>
                        <w:rFonts w:ascii="Cambria Math" w:hAnsi="Cambria Math"/>
                      </w:rPr>
                      <m:t>2</m:t>
                    </m:r>
                  </m:sup>
                </m:sSup>
              </m:oMath>
            </m:oMathPara>
          </w:p>
        </w:tc>
        <w:tc>
          <w:tcPr>
            <w:tcW w:w="1300" w:type="dxa"/>
            <w:tcBorders>
              <w:bottom w:val="nil"/>
            </w:tcBorders>
            <w:vAlign w:val="center"/>
          </w:tcPr>
          <w:p w14:paraId="6CD9AAEC" w14:textId="77777777" w:rsidR="001F0D14" w:rsidRDefault="001F0D14" w:rsidP="00104431">
            <w:pPr>
              <w:spacing w:after="0"/>
              <w:jc w:val="right"/>
            </w:pPr>
            <w:r>
              <w:rPr>
                <w:rFonts w:ascii="Times New Roman" w:hAnsi="Times New Roman"/>
                <w:sz w:val="22"/>
              </w:rPr>
              <w:t>(4.7-18)</w:t>
            </w:r>
          </w:p>
        </w:tc>
      </w:tr>
    </w:tbl>
    <w:p w14:paraId="2871F1F0" w14:textId="77777777" w:rsidR="001F0D14" w:rsidRDefault="001F0D14" w:rsidP="001F0D14">
      <w:pPr>
        <w:pStyle w:val="FirstParagraph"/>
      </w:pPr>
      <w:r>
        <w:t>and its corresponding ECR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5FB5D12E"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365B5F87" w14:textId="77777777" w:rsidR="001F0D14" w:rsidRDefault="00406E9C" w:rsidP="00104431">
            <w:pPr>
              <w:pStyle w:val="BodyText"/>
              <w:spacing w:before="0" w:after="0"/>
              <w:jc w:val="center"/>
            </w:pPr>
            <m:oMathPara>
              <m:oMathParaPr>
                <m:jc m:val="center"/>
              </m:oMathParaPr>
              <m:oMath>
                <m:sSubSup>
                  <m:sSubSupPr>
                    <m:ctrlPr>
                      <w:rPr>
                        <w:rFonts w:ascii="Cambria Math" w:hAnsi="Cambria Math"/>
                      </w:rPr>
                    </m:ctrlPr>
                  </m:sSubSupPr>
                  <m:e>
                    <m:r>
                      <m:rPr>
                        <m:sty m:val="p"/>
                      </m:rPr>
                      <w:rPr>
                        <w:rFonts w:ascii="Cambria Math" w:hAnsi="Cambria Math"/>
                      </w:rPr>
                      <m:t>ECR</m:t>
                    </m:r>
                  </m:e>
                  <m:sub>
                    <m:r>
                      <m:rPr>
                        <m:sty m:val="p"/>
                      </m:rPr>
                      <w:rPr>
                        <w:rFonts w:ascii="Cambria Math" w:hAnsi="Cambria Math"/>
                      </w:rPr>
                      <m:t>mean ox,%</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100</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m:rPr>
                            <m:sty m:val="p"/>
                          </m:rPr>
                          <w:rPr>
                            <w:rFonts w:ascii="Cambria Math" w:hAnsi="Cambria Math"/>
                          </w:rPr>
                          <m:t>mean ox</m:t>
                        </m:r>
                      </m:sub>
                      <m:sup>
                        <m:r>
                          <w:rPr>
                            <w:rFonts w:ascii="Cambria Math" w:hAnsi="Cambria Math"/>
                          </w:rPr>
                          <m:t>n</m:t>
                        </m:r>
                        <m:r>
                          <m:rPr>
                            <m:sty m:val="p"/>
                          </m:rPr>
                          <w:rPr>
                            <w:rFonts w:ascii="Cambria Math" w:hAnsi="Cambria Math"/>
                          </w:rPr>
                          <m:t>+</m:t>
                        </m:r>
                        <m:r>
                          <w:rPr>
                            <w:rFonts w:ascii="Cambria Math" w:hAnsi="Cambria Math"/>
                          </w:rPr>
                          <m:t>1</m:t>
                        </m:r>
                      </m:sup>
                    </m:sSubSup>
                  </m:num>
                  <m:den>
                    <m:sSub>
                      <m:sSubPr>
                        <m:ctrlPr>
                          <w:rPr>
                            <w:rFonts w:ascii="Cambria Math" w:hAnsi="Cambria Math"/>
                          </w:rPr>
                        </m:ctrlPr>
                      </m:sSubPr>
                      <m:e>
                        <m:r>
                          <w:rPr>
                            <w:rFonts w:ascii="Cambria Math" w:hAnsi="Cambria Math"/>
                          </w:rPr>
                          <m:t>ρ</m:t>
                        </m:r>
                      </m:e>
                      <m:sub>
                        <m:r>
                          <m:rPr>
                            <m:sty m:val="p"/>
                          </m:rPr>
                          <w:rPr>
                            <w:rFonts w:ascii="Cambria Math" w:hAnsi="Cambria Math"/>
                          </w:rPr>
                          <m:t>Zr</m:t>
                        </m:r>
                      </m:sub>
                    </m:sSub>
                    <m:sSub>
                      <m:sSubPr>
                        <m:ctrlPr>
                          <w:rPr>
                            <w:rFonts w:ascii="Cambria Math" w:hAnsi="Cambria Math"/>
                          </w:rPr>
                        </m:ctrlPr>
                      </m:sSubPr>
                      <m:e>
                        <m:r>
                          <w:rPr>
                            <w:rFonts w:ascii="Cambria Math" w:hAnsi="Cambria Math"/>
                          </w:rPr>
                          <m:t>δ</m:t>
                        </m:r>
                      </m:e>
                      <m:sub>
                        <m:r>
                          <m:rPr>
                            <m:sty m:val="p"/>
                          </m:rPr>
                          <w:rPr>
                            <w:rFonts w:ascii="Cambria Math" w:hAnsi="Cambria Math"/>
                          </w:rPr>
                          <m:t>clad</m:t>
                        </m:r>
                      </m:sub>
                    </m:sSub>
                  </m:den>
                </m:f>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Zr</m:t>
                        </m:r>
                      </m:sub>
                    </m:sSub>
                  </m:num>
                  <m:den>
                    <m:r>
                      <w:rPr>
                        <w:rFonts w:ascii="Cambria Math" w:hAnsi="Cambria Math"/>
                      </w:rPr>
                      <m:t>2</m:t>
                    </m:r>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6A6C81A0" w14:textId="77777777" w:rsidR="001F0D14" w:rsidRDefault="001F0D14" w:rsidP="00104431">
            <w:pPr>
              <w:spacing w:after="0"/>
              <w:jc w:val="right"/>
            </w:pPr>
            <w:r>
              <w:rPr>
                <w:rFonts w:ascii="Times New Roman" w:hAnsi="Times New Roman"/>
                <w:sz w:val="22"/>
              </w:rPr>
              <w:t>(4.7-19)</w:t>
            </w:r>
          </w:p>
        </w:tc>
      </w:tr>
    </w:tbl>
    <w:p w14:paraId="5D26CDCA" w14:textId="77777777" w:rsidR="001F0D14" w:rsidRDefault="001F0D14" w:rsidP="001F0D14">
      <w:pPr>
        <w:pStyle w:val="FirstParagraph"/>
      </w:pPr>
      <w:r>
        <w:t>The severe-event escalation model uses the maximum mean oxidizing rod ECR expressed as a fraction,</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4266EA05"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34B1B6CB"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mean</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ECR</m:t>
                            </m:r>
                          </m:e>
                          <m:sub>
                            <m:r>
                              <m:rPr>
                                <m:sty m:val="p"/>
                              </m:rPr>
                              <w:rPr>
                                <w:rFonts w:ascii="Cambria Math" w:hAnsi="Cambria Math"/>
                              </w:rPr>
                              <m:t>mean ox,%</m:t>
                            </m:r>
                          </m:sub>
                        </m:sSub>
                        <m:d>
                          <m:dPr>
                            <m:ctrlPr>
                              <w:rPr>
                                <w:rFonts w:ascii="Cambria Math" w:hAnsi="Cambria Math"/>
                              </w:rPr>
                            </m:ctrlPr>
                          </m:dPr>
                          <m:e>
                            <m:r>
                              <w:rPr>
                                <w:rFonts w:ascii="Cambria Math" w:hAnsi="Cambria Math"/>
                              </w:rPr>
                              <m:t>t</m:t>
                            </m:r>
                          </m:e>
                        </m:d>
                      </m:num>
                      <m:den>
                        <m:r>
                          <w:rPr>
                            <w:rFonts w:ascii="Cambria Math" w:hAnsi="Cambria Math"/>
                          </w:rPr>
                          <m:t>100</m:t>
                        </m:r>
                      </m:den>
                    </m:f>
                  </m:e>
                </m:d>
              </m:oMath>
            </m:oMathPara>
          </w:p>
        </w:tc>
        <w:tc>
          <w:tcPr>
            <w:tcW w:w="1300" w:type="dxa"/>
            <w:tcBorders>
              <w:bottom w:val="nil"/>
            </w:tcBorders>
            <w:vAlign w:val="center"/>
          </w:tcPr>
          <w:p w14:paraId="20BE5F9E" w14:textId="77777777" w:rsidR="001F0D14" w:rsidRDefault="001F0D14" w:rsidP="00104431">
            <w:pPr>
              <w:spacing w:after="0"/>
              <w:jc w:val="right"/>
            </w:pPr>
            <w:r>
              <w:rPr>
                <w:rFonts w:ascii="Times New Roman" w:hAnsi="Times New Roman"/>
                <w:sz w:val="22"/>
              </w:rPr>
              <w:t>(4.7-20)</w:t>
            </w:r>
          </w:p>
        </w:tc>
      </w:tr>
    </w:tbl>
    <w:p w14:paraId="012C8F72" w14:textId="77777777" w:rsidR="001F0D14" w:rsidRDefault="001F0D14" w:rsidP="001F0D14">
      <w:pPr>
        <w:pStyle w:val="FirstParagraph"/>
      </w:pPr>
      <w:r>
        <w:t>This choice separates the local limiting-rod metric from the population-representative oxidation metric. The hot pin remains the appropriate rod state for maximum local oxidation, while the mean oxidizing rod is more appropriate for scaling quantities tied to the oxidizing subset of the core.</w:t>
      </w:r>
    </w:p>
    <w:p w14:paraId="2587C2C9" w14:textId="77777777" w:rsidR="001F0D14" w:rsidRDefault="001F0D14" w:rsidP="001F0D14">
      <w:pPr>
        <w:pStyle w:val="Heading2"/>
        <w:keepNext/>
      </w:pPr>
      <w:bookmarkStart w:id="45" w:name="_Toc231232890"/>
      <w:r>
        <w:t>4.7.7 Core-Wide Hydrogen Generation</w:t>
      </w:r>
      <w:bookmarkEnd w:id="45"/>
    </w:p>
    <w:p w14:paraId="64485F9A" w14:textId="77777777" w:rsidR="001F0D14" w:rsidRDefault="001F0D14" w:rsidP="001F0D14">
      <w:pPr>
        <w:pStyle w:val="FirstParagraph"/>
      </w:pPr>
      <w:r>
        <w:t>The hydrogen source is calculated from the incremental oxygen uptake of the oxidizing rod population. For a representative oxidizing rod, the incremental oxygen uptake over a time step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3044C3F1" w14:textId="77777777" w:rsidTr="001F0D14">
        <w:trPr>
          <w:cnfStyle w:val="100000000000" w:firstRow="1" w:lastRow="0" w:firstColumn="0" w:lastColumn="0" w:oddVBand="0" w:evenVBand="0" w:oddHBand="0" w:evenHBand="0" w:firstRowFirstColumn="0" w:firstRowLastColumn="0" w:lastRowFirstColumn="0" w:lastRowLastColumn="0"/>
          <w:trHeight w:val="360"/>
          <w:jc w:val="center"/>
        </w:trPr>
        <w:tc>
          <w:tcPr>
            <w:tcW w:w="7900" w:type="dxa"/>
            <w:tcBorders>
              <w:bottom w:val="nil"/>
            </w:tcBorders>
            <w:vAlign w:val="center"/>
          </w:tcPr>
          <w:p w14:paraId="47888055" w14:textId="77777777" w:rsidR="001F0D14" w:rsidRDefault="001F0D14" w:rsidP="00104431">
            <w:pPr>
              <w:pStyle w:val="BodyText"/>
              <w:spacing w:before="0" w:after="0"/>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W</m:t>
                    </m:r>
                  </m:e>
                  <m:sub>
                    <m:r>
                      <m:rPr>
                        <m:sty m:val="p"/>
                      </m:rPr>
                      <w:rPr>
                        <w:rFonts w:ascii="Cambria Math" w:hAnsi="Cambria Math"/>
                      </w:rPr>
                      <m:t>mean ox</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mean ox</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m:rPr>
                        <m:sty m:val="p"/>
                      </m:rPr>
                      <w:rPr>
                        <w:rFonts w:ascii="Cambria Math" w:hAnsi="Cambria Math"/>
                      </w:rPr>
                      <m:t>mean ox</m:t>
                    </m:r>
                  </m:sub>
                  <m:sup>
                    <m:r>
                      <w:rPr>
                        <w:rFonts w:ascii="Cambria Math" w:hAnsi="Cambria Math"/>
                      </w:rPr>
                      <m:t>n</m:t>
                    </m:r>
                  </m:sup>
                </m:sSubSup>
              </m:oMath>
            </m:oMathPara>
          </w:p>
        </w:tc>
        <w:tc>
          <w:tcPr>
            <w:tcW w:w="1300" w:type="dxa"/>
            <w:tcBorders>
              <w:bottom w:val="nil"/>
            </w:tcBorders>
            <w:vAlign w:val="center"/>
          </w:tcPr>
          <w:p w14:paraId="5AB015E4" w14:textId="77777777" w:rsidR="001F0D14" w:rsidRDefault="001F0D14" w:rsidP="00104431">
            <w:pPr>
              <w:spacing w:after="0"/>
              <w:jc w:val="right"/>
            </w:pPr>
            <w:r>
              <w:rPr>
                <w:rFonts w:ascii="Times New Roman" w:hAnsi="Times New Roman"/>
                <w:sz w:val="22"/>
              </w:rPr>
              <w:t>(4.7-21)</w:t>
            </w:r>
          </w:p>
        </w:tc>
      </w:tr>
    </w:tbl>
    <w:p w14:paraId="591DAE8B" w14:textId="77777777" w:rsidR="001F0D14" w:rsidRDefault="001F0D14" w:rsidP="001F0D14">
      <w:pPr>
        <w:pStyle w:val="FirstParagraph"/>
      </w:pPr>
      <w:r>
        <w:t>The effective oxidizing cladding surface area per rod is approximated as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2FBB3D61"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62BDFAF6"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clad</m:t>
                    </m:r>
                  </m:sub>
                </m:sSub>
                <m:r>
                  <m:rPr>
                    <m:sty m:val="p"/>
                  </m:rPr>
                  <w:rPr>
                    <w:rFonts w:ascii="Cambria Math" w:hAnsi="Cambria Math"/>
                  </w:rPr>
                  <m:t>=</m:t>
                </m:r>
                <m:r>
                  <w:rPr>
                    <w:rFonts w:ascii="Cambria Math" w:hAnsi="Cambria Math"/>
                  </w:rPr>
                  <m:t>π</m:t>
                </m:r>
                <m:sSub>
                  <m:sSubPr>
                    <m:ctrlPr>
                      <w:rPr>
                        <w:rFonts w:ascii="Cambria Math" w:hAnsi="Cambria Math"/>
                      </w:rPr>
                    </m:ctrlPr>
                  </m:sSubPr>
                  <m:e>
                    <m:r>
                      <w:rPr>
                        <w:rFonts w:ascii="Cambria Math" w:hAnsi="Cambria Math"/>
                      </w:rPr>
                      <m:t>d</m:t>
                    </m:r>
                  </m:e>
                  <m:sub>
                    <m:r>
                      <m:rPr>
                        <m:sty m:val="p"/>
                      </m:rPr>
                      <w:rPr>
                        <w:rFonts w:ascii="Cambria Math" w:hAnsi="Cambria Math"/>
                      </w:rPr>
                      <m:t>pin</m:t>
                    </m:r>
                  </m:sub>
                </m:sSub>
                <m:sSub>
                  <m:sSubPr>
                    <m:ctrlPr>
                      <w:rPr>
                        <w:rFonts w:ascii="Cambria Math" w:hAnsi="Cambria Math"/>
                      </w:rPr>
                    </m:ctrlPr>
                  </m:sSubPr>
                  <m:e>
                    <m:r>
                      <w:rPr>
                        <w:rFonts w:ascii="Cambria Math" w:hAnsi="Cambria Math"/>
                      </w:rPr>
                      <m:t>L</m:t>
                    </m:r>
                  </m:e>
                  <m:sub>
                    <m:r>
                      <m:rPr>
                        <m:sty m:val="p"/>
                      </m:rPr>
                      <w:rPr>
                        <w:rFonts w:ascii="Cambria Math" w:hAnsi="Cambria Math"/>
                      </w:rPr>
                      <m:t>heated</m:t>
                    </m:r>
                  </m:sub>
                </m:sSub>
              </m:oMath>
            </m:oMathPara>
          </w:p>
        </w:tc>
        <w:tc>
          <w:tcPr>
            <w:tcW w:w="1300" w:type="dxa"/>
            <w:tcBorders>
              <w:bottom w:val="nil"/>
            </w:tcBorders>
            <w:vAlign w:val="center"/>
          </w:tcPr>
          <w:p w14:paraId="2D51A1DC" w14:textId="77777777" w:rsidR="001F0D14" w:rsidRDefault="001F0D14" w:rsidP="00104431">
            <w:pPr>
              <w:spacing w:after="0"/>
              <w:jc w:val="right"/>
            </w:pPr>
            <w:r>
              <w:rPr>
                <w:rFonts w:ascii="Times New Roman" w:hAnsi="Times New Roman"/>
                <w:sz w:val="22"/>
              </w:rPr>
              <w:t>(4.7-22)</w:t>
            </w:r>
          </w:p>
        </w:tc>
      </w:tr>
    </w:tbl>
    <w:p w14:paraId="3D2E7E84" w14:textId="77777777" w:rsidR="001F0D14" w:rsidRDefault="001F0D14" w:rsidP="001F0D14">
      <w:pPr>
        <w:pStyle w:val="FirstParagraph"/>
      </w:pPr>
      <w:r>
        <w:t xml:space="preserve">where </w:t>
      </w:r>
      <m:oMath>
        <m:sSub>
          <m:sSubPr>
            <m:ctrlPr>
              <w:rPr>
                <w:rFonts w:ascii="Cambria Math" w:hAnsi="Cambria Math"/>
              </w:rPr>
            </m:ctrlPr>
          </m:sSubPr>
          <m:e>
            <m:r>
              <w:rPr>
                <w:rFonts w:ascii="Cambria Math" w:hAnsi="Cambria Math"/>
              </w:rPr>
              <m:t>d</m:t>
            </m:r>
          </m:e>
          <m:sub>
            <m:r>
              <m:rPr>
                <m:sty m:val="p"/>
              </m:rPr>
              <w:rPr>
                <w:rFonts w:ascii="Cambria Math" w:hAnsi="Cambria Math"/>
              </w:rPr>
              <m:t>pin</m:t>
            </m:r>
          </m:sub>
        </m:sSub>
      </m:oMath>
      <w:r>
        <w:t xml:space="preserve"> is the cladding outside diameter used in the reduced-order rod model. If </w:t>
      </w:r>
      <m:oMath>
        <m:sSub>
          <m:sSubPr>
            <m:ctrlPr>
              <w:rPr>
                <w:rFonts w:ascii="Cambria Math" w:hAnsi="Cambria Math"/>
              </w:rPr>
            </m:ctrlPr>
          </m:sSubPr>
          <m:e>
            <m:r>
              <w:rPr>
                <w:rFonts w:ascii="Cambria Math" w:hAnsi="Cambria Math"/>
              </w:rPr>
              <m:t>f</m:t>
            </m:r>
          </m:e>
          <m:sub>
            <m:r>
              <m:rPr>
                <m:sty m:val="p"/>
              </m:rPr>
              <w:rPr>
                <w:rFonts w:ascii="Cambria Math" w:hAnsi="Cambria Math"/>
              </w:rPr>
              <m:t>ox</m:t>
            </m:r>
          </m:sub>
        </m:sSub>
        <m:d>
          <m:dPr>
            <m:ctrlPr>
              <w:rPr>
                <w:rFonts w:ascii="Cambria Math" w:hAnsi="Cambria Math"/>
              </w:rPr>
            </m:ctrlPr>
          </m:dPr>
          <m:e>
            <m:r>
              <w:rPr>
                <w:rFonts w:ascii="Cambria Math" w:hAnsi="Cambria Math"/>
              </w:rPr>
              <m:t>t</m:t>
            </m:r>
          </m:e>
        </m:d>
      </m:oMath>
      <w:r>
        <w:t xml:space="preserve"> is the oxidizing fraction from the statistical rod-state model, the number of oxidizing rods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750CE34A"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3BB86459"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ox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ox</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N</m:t>
                    </m:r>
                  </m:e>
                  <m:sub>
                    <m:r>
                      <m:rPr>
                        <m:sty m:val="p"/>
                      </m:rPr>
                      <w:rPr>
                        <w:rFonts w:ascii="Cambria Math" w:hAnsi="Cambria Math"/>
                      </w:rPr>
                      <m:t>rod</m:t>
                    </m:r>
                  </m:sub>
                </m:sSub>
              </m:oMath>
            </m:oMathPara>
          </w:p>
        </w:tc>
        <w:tc>
          <w:tcPr>
            <w:tcW w:w="1300" w:type="dxa"/>
            <w:tcBorders>
              <w:bottom w:val="nil"/>
            </w:tcBorders>
            <w:vAlign w:val="center"/>
          </w:tcPr>
          <w:p w14:paraId="2BEE6E5E" w14:textId="77777777" w:rsidR="001F0D14" w:rsidRDefault="001F0D14" w:rsidP="00104431">
            <w:pPr>
              <w:spacing w:after="0"/>
              <w:jc w:val="right"/>
            </w:pPr>
            <w:r>
              <w:rPr>
                <w:rFonts w:ascii="Times New Roman" w:hAnsi="Times New Roman"/>
                <w:sz w:val="22"/>
              </w:rPr>
              <w:t>(4.7-23)</w:t>
            </w:r>
          </w:p>
        </w:tc>
      </w:tr>
    </w:tbl>
    <w:p w14:paraId="0A78713E" w14:textId="77777777" w:rsidR="001F0D14" w:rsidRDefault="001F0D14" w:rsidP="001F0D14">
      <w:pPr>
        <w:pStyle w:val="FirstParagraph"/>
      </w:pPr>
      <w:r>
        <w:t>The incremental hydrogen mass generated during the time step is then</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447367BF"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499D059B" w14:textId="77777777" w:rsidR="001F0D14" w:rsidRDefault="001F0D14" w:rsidP="00104431">
            <w:pPr>
              <w:pStyle w:val="BodyText"/>
              <w:spacing w:before="0" w:after="0"/>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ox</m:t>
                    </m:r>
                  </m:sub>
                  <m:sup>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sSub>
                  <m:sSubPr>
                    <m:ctrlPr>
                      <w:rPr>
                        <w:rFonts w:ascii="Cambria Math" w:hAnsi="Cambria Math"/>
                      </w:rPr>
                    </m:ctrlPr>
                  </m:sSubPr>
                  <m:e>
                    <m:r>
                      <w:rPr>
                        <w:rFonts w:ascii="Cambria Math" w:hAnsi="Cambria Math"/>
                      </w:rPr>
                      <m:t>A</m:t>
                    </m:r>
                  </m:e>
                  <m:sub>
                    <m:r>
                      <m:rPr>
                        <m:sty m:val="p"/>
                      </m:rPr>
                      <w:rPr>
                        <w:rFonts w:ascii="Cambria Math" w:hAnsi="Cambria Math"/>
                      </w:rPr>
                      <m:t>clad</m:t>
                    </m:r>
                  </m:sub>
                </m:sSub>
                <m:r>
                  <w:rPr>
                    <w:rFonts w:ascii="Cambria Math" w:hAnsi="Cambria Math"/>
                  </w:rPr>
                  <m:t>Δ</m:t>
                </m:r>
                <m:sSubSup>
                  <m:sSubSupPr>
                    <m:ctrlPr>
                      <w:rPr>
                        <w:rFonts w:ascii="Cambria Math" w:hAnsi="Cambria Math"/>
                      </w:rPr>
                    </m:ctrlPr>
                  </m:sSubSupPr>
                  <m:e>
                    <m:r>
                      <w:rPr>
                        <w:rFonts w:ascii="Cambria Math" w:hAnsi="Cambria Math"/>
                      </w:rPr>
                      <m:t>W</m:t>
                    </m:r>
                  </m:e>
                  <m:sub>
                    <m:r>
                      <m:rPr>
                        <m:sty m:val="p"/>
                      </m:rPr>
                      <w:rPr>
                        <w:rFonts w:ascii="Cambria Math" w:hAnsi="Cambria Math"/>
                      </w:rPr>
                      <m:t>mean ox</m:t>
                    </m:r>
                  </m:sub>
                  <m:sup>
                    <m:r>
                      <w:rPr>
                        <w:rFonts w:ascii="Cambria Math" w:hAnsi="Cambria Math"/>
                      </w:rPr>
                      <m:t>n</m:t>
                    </m:r>
                    <m:r>
                      <m:rPr>
                        <m:sty m:val="p"/>
                      </m:rPr>
                      <w:rPr>
                        <w:rFonts w:ascii="Cambria Math" w:hAnsi="Cambria Math"/>
                      </w:rPr>
                      <m:t>+</m:t>
                    </m:r>
                    <m:r>
                      <w:rPr>
                        <w:rFonts w:ascii="Cambria Math" w:hAnsi="Cambria Math"/>
                      </w:rPr>
                      <m:t>1</m:t>
                    </m:r>
                  </m:sup>
                </m:sSubSup>
                <m:f>
                  <m:fPr>
                    <m:ctrlPr>
                      <w:rPr>
                        <w:rFonts w:ascii="Cambria Math" w:hAnsi="Cambria Math"/>
                      </w:rPr>
                    </m:ctrlPr>
                  </m:fPr>
                  <m:num>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num>
                  <m:den>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27ECD9FC" w14:textId="77777777" w:rsidR="001F0D14" w:rsidRDefault="001F0D14" w:rsidP="00104431">
            <w:pPr>
              <w:spacing w:after="0"/>
              <w:jc w:val="right"/>
            </w:pPr>
            <w:r>
              <w:rPr>
                <w:rFonts w:ascii="Times New Roman" w:hAnsi="Times New Roman"/>
                <w:sz w:val="22"/>
              </w:rPr>
              <w:t>(4.7-24)</w:t>
            </w:r>
          </w:p>
        </w:tc>
      </w:tr>
    </w:tbl>
    <w:p w14:paraId="1A5FE401" w14:textId="77777777" w:rsidR="001F0D14" w:rsidRDefault="001F0D14" w:rsidP="001F0D14">
      <w:pPr>
        <w:pStyle w:val="FirstParagraph"/>
      </w:pPr>
      <w:r>
        <w:t>and the cumulative hydrogen mass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0E431047"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6BBAB721" w14:textId="77777777" w:rsidR="001F0D14" w:rsidRDefault="00406E9C" w:rsidP="00104431">
            <w:pPr>
              <w:pStyle w:val="BodyText"/>
              <w:spacing w:before="0" w:after="0"/>
              <w:jc w:val="center"/>
            </w:pPr>
            <m:oMathPara>
              <m:oMathParaPr>
                <m:jc m:val="center"/>
              </m:oMathParaPr>
              <m:oMath>
                <m:sSubSup>
                  <m:sSubSupPr>
                    <m:ctrlPr>
                      <w:rPr>
                        <w:rFonts w:ascii="Cambria Math" w:hAnsi="Cambria Math"/>
                      </w:rPr>
                    </m:ctrlPr>
                  </m:sSubSup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up>
                    <m:r>
                      <w:rPr>
                        <w:rFonts w:ascii="Cambria Math" w:hAnsi="Cambria Math"/>
                      </w:rPr>
                      <m:t>n</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up>
                    <m:r>
                      <w:rPr>
                        <w:rFonts w:ascii="Cambria Math" w:hAnsi="Cambria Math"/>
                      </w:rPr>
                      <m:t>n</m:t>
                    </m:r>
                    <m:r>
                      <m:rPr>
                        <m:sty m:val="p"/>
                      </m:rPr>
                      <w:rPr>
                        <w:rFonts w:ascii="Cambria Math" w:hAnsi="Cambria Math"/>
                      </w:rPr>
                      <m:t>+</m:t>
                    </m:r>
                    <m:r>
                      <w:rPr>
                        <w:rFonts w:ascii="Cambria Math" w:hAnsi="Cambria Math"/>
                      </w:rPr>
                      <m:t>1</m:t>
                    </m:r>
                  </m:sup>
                </m:sSubSup>
              </m:oMath>
            </m:oMathPara>
          </w:p>
        </w:tc>
        <w:tc>
          <w:tcPr>
            <w:tcW w:w="1300" w:type="dxa"/>
            <w:tcBorders>
              <w:bottom w:val="nil"/>
            </w:tcBorders>
            <w:vAlign w:val="center"/>
          </w:tcPr>
          <w:p w14:paraId="751052BD" w14:textId="77777777" w:rsidR="001F0D14" w:rsidRDefault="001F0D14" w:rsidP="00104431">
            <w:pPr>
              <w:spacing w:after="0"/>
              <w:jc w:val="right"/>
            </w:pPr>
            <w:r>
              <w:rPr>
                <w:rFonts w:ascii="Times New Roman" w:hAnsi="Times New Roman"/>
                <w:sz w:val="22"/>
              </w:rPr>
              <w:t>(4.7-25)</w:t>
            </w:r>
          </w:p>
        </w:tc>
      </w:tr>
    </w:tbl>
    <w:p w14:paraId="3DD431C2" w14:textId="77777777" w:rsidR="001F0D14" w:rsidRDefault="001F0D14" w:rsidP="001F0D14">
      <w:pPr>
        <w:pStyle w:val="FirstParagraph"/>
      </w:pPr>
      <w:r>
        <w:t>Equivalently, in differential form,</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319AC456"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1085C1A3"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ox</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A</m:t>
                    </m:r>
                  </m:e>
                  <m:sub>
                    <m:r>
                      <m:rPr>
                        <m:sty m:val="p"/>
                      </m:rPr>
                      <w:rPr>
                        <w:rFonts w:ascii="Cambria Math" w:hAnsi="Cambria Math"/>
                      </w:rPr>
                      <m:t>clad</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W</m:t>
                        </m:r>
                      </m:e>
                      <m:sub>
                        <m:r>
                          <m:rPr>
                            <m:sty m:val="p"/>
                          </m:rPr>
                          <w:rPr>
                            <w:rFonts w:ascii="Cambria Math" w:hAnsi="Cambria Math"/>
                          </w:rPr>
                          <m:t>mean ox</m:t>
                        </m:r>
                      </m:sub>
                    </m:sSub>
                  </m:num>
                  <m:den>
                    <m:r>
                      <w:rPr>
                        <w:rFonts w:ascii="Cambria Math" w:hAnsi="Cambria Math"/>
                      </w:rPr>
                      <m:t>dt</m:t>
                    </m:r>
                  </m:den>
                </m:f>
                <m:f>
                  <m:fPr>
                    <m:ctrlPr>
                      <w:rPr>
                        <w:rFonts w:ascii="Cambria Math" w:hAnsi="Cambria Math"/>
                      </w:rPr>
                    </m:ctrlPr>
                  </m:fPr>
                  <m:num>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num>
                  <m:den>
                    <m:sSub>
                      <m:sSubPr>
                        <m:ctrlPr>
                          <w:rPr>
                            <w:rFonts w:ascii="Cambria Math" w:hAnsi="Cambria Math"/>
                          </w:rPr>
                        </m:ctrlPr>
                      </m:sSubPr>
                      <m:e>
                        <m:r>
                          <w:rPr>
                            <w:rFonts w:ascii="Cambria Math" w:hAnsi="Cambria Math"/>
                          </w:rPr>
                          <m:t>M</m:t>
                        </m:r>
                      </m:e>
                      <m:sub>
                        <m:r>
                          <w:rPr>
                            <w:rFonts w:ascii="Cambria Math" w:hAnsi="Cambria Math"/>
                          </w:rPr>
                          <m:t>O</m:t>
                        </m:r>
                      </m:sub>
                    </m:sSub>
                  </m:den>
                </m:f>
              </m:oMath>
            </m:oMathPara>
          </w:p>
        </w:tc>
        <w:tc>
          <w:tcPr>
            <w:tcW w:w="1300" w:type="dxa"/>
            <w:tcBorders>
              <w:bottom w:val="nil"/>
            </w:tcBorders>
            <w:vAlign w:val="center"/>
          </w:tcPr>
          <w:p w14:paraId="76623BBD" w14:textId="77777777" w:rsidR="001F0D14" w:rsidRDefault="001F0D14" w:rsidP="00104431">
            <w:pPr>
              <w:spacing w:after="0"/>
              <w:jc w:val="right"/>
            </w:pPr>
            <w:r>
              <w:rPr>
                <w:rFonts w:ascii="Times New Roman" w:hAnsi="Times New Roman"/>
                <w:sz w:val="22"/>
              </w:rPr>
              <w:t>(4.7-26)</w:t>
            </w:r>
          </w:p>
        </w:tc>
      </w:tr>
    </w:tbl>
    <w:p w14:paraId="196AE8B1" w14:textId="77777777" w:rsidR="001F0D14" w:rsidRDefault="001F0D14" w:rsidP="001F0D14">
      <w:pPr>
        <w:pStyle w:val="FirstParagraph"/>
      </w:pPr>
      <w:r>
        <w:lastRenderedPageBreak/>
        <w:t>The hydrogen source passed to FLARECON is based on the incremental or time-rate form of this expression, depending on the output coupling interval. FLARECON then treats hydrogen as a noncondensable gas species in the containment gas mixture.</w:t>
      </w:r>
    </w:p>
    <w:p w14:paraId="356D92C9" w14:textId="77777777" w:rsidR="001F0D14" w:rsidRDefault="001F0D14" w:rsidP="001F0D14">
      <w:pPr>
        <w:pStyle w:val="Heading2"/>
        <w:keepNext/>
      </w:pPr>
      <w:bookmarkStart w:id="46" w:name="_Toc231232891"/>
      <w:r>
        <w:t>4.7.8 Relationship to 10 CFR 50.46 Figures-of-Merit</w:t>
      </w:r>
      <w:bookmarkEnd w:id="46"/>
    </w:p>
    <w:p w14:paraId="47A5039C" w14:textId="77777777" w:rsidR="001F0D14" w:rsidRDefault="001F0D14" w:rsidP="001F0D14">
      <w:pPr>
        <w:pStyle w:val="FirstParagraph"/>
      </w:pPr>
      <w:r>
        <w:t>The oxidation model supports two distinct 10 CFR 50.46-related figures-of-merit. The maximum-local-oxidation metric is based on the hot pin,</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72F14BEC"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2088424D" w14:textId="77777777" w:rsidR="001F0D14" w:rsidRDefault="001F0D14" w:rsidP="00104431">
            <w:pPr>
              <w:pStyle w:val="BodyText"/>
              <w:spacing w:before="0" w:after="0"/>
              <w:jc w:val="center"/>
            </w:pPr>
            <m:oMathPara>
              <m:oMathParaPr>
                <m:jc m:val="center"/>
              </m:oMathParaPr>
              <m:oMath>
                <m:r>
                  <m:rPr>
                    <m:sty m:val="p"/>
                  </m:rPr>
                  <w:rPr>
                    <w:rFonts w:ascii="Cambria Math" w:hAnsi="Cambria Math"/>
                  </w:rPr>
                  <m:t>MLO=</m:t>
                </m:r>
                <m:limLow>
                  <m:limLowPr>
                    <m:ctrlPr>
                      <w:rPr>
                        <w:rFonts w:ascii="Cambria Math" w:hAnsi="Cambria Math"/>
                      </w:rPr>
                    </m:ctrlPr>
                  </m:limLowPr>
                  <m:e>
                    <m:r>
                      <m:rPr>
                        <m:sty m:val="p"/>
                      </m:rPr>
                      <w:rPr>
                        <w:rFonts w:ascii="Cambria Math" w:hAnsi="Cambria Math"/>
                      </w:rPr>
                      <m:t>max</m:t>
                    </m:r>
                  </m:e>
                  <m:lim>
                    <m:r>
                      <w:rPr>
                        <w:rFonts w:ascii="Cambria Math" w:hAnsi="Cambria Math"/>
                      </w:rPr>
                      <m:t>t</m:t>
                    </m:r>
                  </m:lim>
                </m:limLow>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ECR</m:t>
                        </m:r>
                      </m:e>
                      <m:sub>
                        <m:r>
                          <m:rPr>
                            <m:sty m:val="p"/>
                          </m:rPr>
                          <w:rPr>
                            <w:rFonts w:ascii="Cambria Math" w:hAnsi="Cambria Math"/>
                          </w:rPr>
                          <m:t>hot,%</m:t>
                        </m:r>
                      </m:sub>
                    </m:sSub>
                    <m:d>
                      <m:dPr>
                        <m:ctrlPr>
                          <w:rPr>
                            <w:rFonts w:ascii="Cambria Math" w:hAnsi="Cambria Math"/>
                          </w:rPr>
                        </m:ctrlPr>
                      </m:dPr>
                      <m:e>
                        <m:r>
                          <w:rPr>
                            <w:rFonts w:ascii="Cambria Math" w:hAnsi="Cambria Math"/>
                          </w:rPr>
                          <m:t>t</m:t>
                        </m:r>
                      </m:e>
                    </m:d>
                  </m:e>
                </m:d>
              </m:oMath>
            </m:oMathPara>
          </w:p>
        </w:tc>
        <w:tc>
          <w:tcPr>
            <w:tcW w:w="1300" w:type="dxa"/>
            <w:tcBorders>
              <w:bottom w:val="nil"/>
            </w:tcBorders>
            <w:vAlign w:val="center"/>
          </w:tcPr>
          <w:p w14:paraId="26645A84" w14:textId="77777777" w:rsidR="001F0D14" w:rsidRDefault="001F0D14" w:rsidP="00104431">
            <w:pPr>
              <w:spacing w:after="0"/>
              <w:jc w:val="right"/>
            </w:pPr>
            <w:r>
              <w:rPr>
                <w:rFonts w:ascii="Times New Roman" w:hAnsi="Times New Roman"/>
                <w:sz w:val="22"/>
              </w:rPr>
              <w:t>(4.7-27)</w:t>
            </w:r>
          </w:p>
        </w:tc>
      </w:tr>
    </w:tbl>
    <w:p w14:paraId="2DFA9200" w14:textId="77777777" w:rsidR="001F0D14" w:rsidRDefault="001F0D14" w:rsidP="001F0D14">
      <w:pPr>
        <w:pStyle w:val="FirstParagraph"/>
      </w:pPr>
      <w:r>
        <w:t>while the core-wide oxidation and hydrogen-generation metric is based on the population-integrated zirconium reaction. A convenient expression for the fraction of total cladding inventory reacted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2D3E7894"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00BFC7D2"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CWO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Zr,rxn</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M</m:t>
                        </m:r>
                      </m:e>
                      <m:sub>
                        <m:r>
                          <m:rPr>
                            <m:sty m:val="p"/>
                          </m:rPr>
                          <w:rPr>
                            <w:rFonts w:ascii="Cambria Math" w:hAnsi="Cambria Math"/>
                          </w:rPr>
                          <m:t>Zr,total</m:t>
                        </m:r>
                      </m:sub>
                    </m:sSub>
                  </m:den>
                </m:f>
              </m:oMath>
            </m:oMathPara>
          </w:p>
        </w:tc>
        <w:tc>
          <w:tcPr>
            <w:tcW w:w="1300" w:type="dxa"/>
            <w:tcBorders>
              <w:bottom w:val="nil"/>
            </w:tcBorders>
            <w:vAlign w:val="center"/>
          </w:tcPr>
          <w:p w14:paraId="58617125" w14:textId="77777777" w:rsidR="001F0D14" w:rsidRDefault="001F0D14" w:rsidP="00104431">
            <w:pPr>
              <w:spacing w:after="0"/>
              <w:jc w:val="right"/>
            </w:pPr>
            <w:r>
              <w:rPr>
                <w:rFonts w:ascii="Times New Roman" w:hAnsi="Times New Roman"/>
                <w:sz w:val="22"/>
              </w:rPr>
              <w:t>(4.7-28)</w:t>
            </w:r>
          </w:p>
        </w:tc>
      </w:tr>
    </w:tbl>
    <w:p w14:paraId="50A4866E" w14:textId="77777777" w:rsidR="001F0D14" w:rsidRDefault="001F0D14" w:rsidP="001F0D14">
      <w:pPr>
        <w:pStyle w:val="FirstParagraph"/>
      </w:pPr>
      <w:r>
        <w:t>where</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02AD2D81"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52C5FA6F"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Zr,rxn</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r>
                      <w:rPr>
                        <w:rFonts w:ascii="Cambria Math" w:hAnsi="Cambria Math"/>
                      </w:rPr>
                      <m:t>t</m:t>
                    </m:r>
                  </m:e>
                </m:d>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Zr</m:t>
                        </m:r>
                      </m:sub>
                    </m:sSub>
                  </m:num>
                  <m:den>
                    <m:r>
                      <w:rPr>
                        <w:rFonts w:ascii="Cambria Math" w:hAnsi="Cambria Math"/>
                      </w:rPr>
                      <m:t>2</m:t>
                    </m:r>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en>
                </m:f>
              </m:oMath>
            </m:oMathPara>
          </w:p>
        </w:tc>
        <w:tc>
          <w:tcPr>
            <w:tcW w:w="1300" w:type="dxa"/>
            <w:tcBorders>
              <w:bottom w:val="nil"/>
            </w:tcBorders>
            <w:vAlign w:val="center"/>
          </w:tcPr>
          <w:p w14:paraId="10255150" w14:textId="77777777" w:rsidR="001F0D14" w:rsidRDefault="001F0D14" w:rsidP="00104431">
            <w:pPr>
              <w:spacing w:after="0"/>
              <w:jc w:val="right"/>
            </w:pPr>
            <w:r>
              <w:rPr>
                <w:rFonts w:ascii="Times New Roman" w:hAnsi="Times New Roman"/>
                <w:sz w:val="22"/>
              </w:rPr>
              <w:t>(4.7-29)</w:t>
            </w:r>
          </w:p>
        </w:tc>
      </w:tr>
    </w:tbl>
    <w:p w14:paraId="48B74D42" w14:textId="77777777" w:rsidR="001F0D14" w:rsidRDefault="001F0D14" w:rsidP="001F0D14">
      <w:pPr>
        <w:pStyle w:val="FirstParagraph"/>
      </w:pPr>
      <w:r>
        <w:t>and</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64119C41"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3B1BBAF1"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M</m:t>
                    </m:r>
                  </m:e>
                  <m:sub>
                    <m:r>
                      <m:rPr>
                        <m:sty m:val="p"/>
                      </m:rPr>
                      <w:rPr>
                        <w:rFonts w:ascii="Cambria Math" w:hAnsi="Cambria Math"/>
                      </w:rPr>
                      <m:t>Zr,total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rod</m:t>
                    </m:r>
                  </m:sub>
                </m:sSub>
                <m:sSub>
                  <m:sSubPr>
                    <m:ctrlPr>
                      <w:rPr>
                        <w:rFonts w:ascii="Cambria Math" w:hAnsi="Cambria Math"/>
                      </w:rPr>
                    </m:ctrlPr>
                  </m:sSubPr>
                  <m:e>
                    <m:r>
                      <w:rPr>
                        <w:rFonts w:ascii="Cambria Math" w:hAnsi="Cambria Math"/>
                      </w:rPr>
                      <m:t>ρ</m:t>
                    </m:r>
                  </m:e>
                  <m:sub>
                    <m:r>
                      <m:rPr>
                        <m:sty m:val="p"/>
                      </m:rPr>
                      <w:rPr>
                        <w:rFonts w:ascii="Cambria Math" w:hAnsi="Cambria Math"/>
                      </w:rPr>
                      <m:t>Zr</m:t>
                    </m:r>
                  </m:sub>
                </m:sSub>
                <m:r>
                  <w:rPr>
                    <w:rFonts w:ascii="Cambria Math" w:hAnsi="Cambria Math"/>
                  </w:rPr>
                  <m:t>π</m:t>
                </m:r>
                <m:sSub>
                  <m:sSubPr>
                    <m:ctrlPr>
                      <w:rPr>
                        <w:rFonts w:ascii="Cambria Math" w:hAnsi="Cambria Math"/>
                      </w:rPr>
                    </m:ctrlPr>
                  </m:sSubPr>
                  <m:e>
                    <m:r>
                      <w:rPr>
                        <w:rFonts w:ascii="Cambria Math" w:hAnsi="Cambria Math"/>
                      </w:rPr>
                      <m:t>d</m:t>
                    </m:r>
                  </m:e>
                  <m:sub>
                    <m:r>
                      <m:rPr>
                        <m:sty m:val="p"/>
                      </m:rPr>
                      <w:rPr>
                        <w:rFonts w:ascii="Cambria Math" w:hAnsi="Cambria Math"/>
                      </w:rPr>
                      <m:t>pin</m:t>
                    </m:r>
                  </m:sub>
                </m:sSub>
                <m:sSub>
                  <m:sSubPr>
                    <m:ctrlPr>
                      <w:rPr>
                        <w:rFonts w:ascii="Cambria Math" w:hAnsi="Cambria Math"/>
                      </w:rPr>
                    </m:ctrlPr>
                  </m:sSubPr>
                  <m:e>
                    <m:r>
                      <w:rPr>
                        <w:rFonts w:ascii="Cambria Math" w:hAnsi="Cambria Math"/>
                      </w:rPr>
                      <m:t>δ</m:t>
                    </m:r>
                  </m:e>
                  <m:sub>
                    <m:r>
                      <m:rPr>
                        <m:sty m:val="p"/>
                      </m:rPr>
                      <w:rPr>
                        <w:rFonts w:ascii="Cambria Math" w:hAnsi="Cambria Math"/>
                      </w:rPr>
                      <m:t>clad</m:t>
                    </m:r>
                  </m:sub>
                </m:sSub>
                <m:sSub>
                  <m:sSubPr>
                    <m:ctrlPr>
                      <w:rPr>
                        <w:rFonts w:ascii="Cambria Math" w:hAnsi="Cambria Math"/>
                      </w:rPr>
                    </m:ctrlPr>
                  </m:sSubPr>
                  <m:e>
                    <m:r>
                      <w:rPr>
                        <w:rFonts w:ascii="Cambria Math" w:hAnsi="Cambria Math"/>
                      </w:rPr>
                      <m:t>L</m:t>
                    </m:r>
                  </m:e>
                  <m:sub>
                    <m:r>
                      <m:rPr>
                        <m:sty m:val="p"/>
                      </m:rPr>
                      <w:rPr>
                        <w:rFonts w:ascii="Cambria Math" w:hAnsi="Cambria Math"/>
                      </w:rPr>
                      <m:t>heated</m:t>
                    </m:r>
                  </m:sub>
                </m:sSub>
              </m:oMath>
            </m:oMathPara>
          </w:p>
        </w:tc>
        <w:tc>
          <w:tcPr>
            <w:tcW w:w="1300" w:type="dxa"/>
            <w:tcBorders>
              <w:bottom w:val="nil"/>
            </w:tcBorders>
            <w:vAlign w:val="center"/>
          </w:tcPr>
          <w:p w14:paraId="31DF717D" w14:textId="77777777" w:rsidR="001F0D14" w:rsidRDefault="001F0D14" w:rsidP="00104431">
            <w:pPr>
              <w:spacing w:after="0"/>
              <w:jc w:val="right"/>
            </w:pPr>
            <w:r>
              <w:rPr>
                <w:rFonts w:ascii="Times New Roman" w:hAnsi="Times New Roman"/>
                <w:sz w:val="22"/>
              </w:rPr>
              <w:t>(4.7-30)</w:t>
            </w:r>
          </w:p>
        </w:tc>
      </w:tr>
    </w:tbl>
    <w:p w14:paraId="12A44D45" w14:textId="77777777" w:rsidR="001F0D14" w:rsidRDefault="001F0D14" w:rsidP="001F0D14">
      <w:pPr>
        <w:pStyle w:val="FirstParagraph"/>
      </w:pPr>
      <w:r>
        <w:t>for a thin-wall cladding approximation. Thus,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40BE376E"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443519DF"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CWO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M</m:t>
                        </m:r>
                      </m:e>
                      <m:sub>
                        <m:r>
                          <m:rPr>
                            <m:sty m:val="p"/>
                          </m:rPr>
                          <w:rPr>
                            <w:rFonts w:ascii="Cambria Math" w:hAnsi="Cambria Math"/>
                          </w:rPr>
                          <m:t>Zr</m:t>
                        </m:r>
                      </m:sub>
                    </m:sSub>
                  </m:num>
                  <m:den>
                    <m:r>
                      <w:rPr>
                        <w:rFonts w:ascii="Cambria Math" w:hAnsi="Cambria Math"/>
                      </w:rPr>
                      <m:t>2</m:t>
                    </m:r>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sSub>
                      <m:sSubPr>
                        <m:ctrlPr>
                          <w:rPr>
                            <w:rFonts w:ascii="Cambria Math" w:hAnsi="Cambria Math"/>
                          </w:rPr>
                        </m:ctrlPr>
                      </m:sSubPr>
                      <m:e>
                        <m:r>
                          <w:rPr>
                            <w:rFonts w:ascii="Cambria Math" w:hAnsi="Cambria Math"/>
                          </w:rPr>
                          <m:t>N</m:t>
                        </m:r>
                      </m:e>
                      <m:sub>
                        <m:r>
                          <m:rPr>
                            <m:sty m:val="p"/>
                          </m:rPr>
                          <w:rPr>
                            <w:rFonts w:ascii="Cambria Math" w:hAnsi="Cambria Math"/>
                          </w:rPr>
                          <m:t>rod</m:t>
                        </m:r>
                      </m:sub>
                    </m:sSub>
                    <m:sSub>
                      <m:sSubPr>
                        <m:ctrlPr>
                          <w:rPr>
                            <w:rFonts w:ascii="Cambria Math" w:hAnsi="Cambria Math"/>
                          </w:rPr>
                        </m:ctrlPr>
                      </m:sSubPr>
                      <m:e>
                        <m:r>
                          <w:rPr>
                            <w:rFonts w:ascii="Cambria Math" w:hAnsi="Cambria Math"/>
                          </w:rPr>
                          <m:t>ρ</m:t>
                        </m:r>
                      </m:e>
                      <m:sub>
                        <m:r>
                          <m:rPr>
                            <m:sty m:val="p"/>
                          </m:rPr>
                          <w:rPr>
                            <w:rFonts w:ascii="Cambria Math" w:hAnsi="Cambria Math"/>
                          </w:rPr>
                          <m:t>Zr</m:t>
                        </m:r>
                      </m:sub>
                    </m:sSub>
                    <m:r>
                      <w:rPr>
                        <w:rFonts w:ascii="Cambria Math" w:hAnsi="Cambria Math"/>
                      </w:rPr>
                      <m:t>π</m:t>
                    </m:r>
                    <m:sSub>
                      <m:sSubPr>
                        <m:ctrlPr>
                          <w:rPr>
                            <w:rFonts w:ascii="Cambria Math" w:hAnsi="Cambria Math"/>
                          </w:rPr>
                        </m:ctrlPr>
                      </m:sSubPr>
                      <m:e>
                        <m:r>
                          <w:rPr>
                            <w:rFonts w:ascii="Cambria Math" w:hAnsi="Cambria Math"/>
                          </w:rPr>
                          <m:t>d</m:t>
                        </m:r>
                      </m:e>
                      <m:sub>
                        <m:r>
                          <m:rPr>
                            <m:sty m:val="p"/>
                          </m:rPr>
                          <w:rPr>
                            <w:rFonts w:ascii="Cambria Math" w:hAnsi="Cambria Math"/>
                          </w:rPr>
                          <m:t>pin</m:t>
                        </m:r>
                      </m:sub>
                    </m:sSub>
                    <m:sSub>
                      <m:sSubPr>
                        <m:ctrlPr>
                          <w:rPr>
                            <w:rFonts w:ascii="Cambria Math" w:hAnsi="Cambria Math"/>
                          </w:rPr>
                        </m:ctrlPr>
                      </m:sSubPr>
                      <m:e>
                        <m:r>
                          <w:rPr>
                            <w:rFonts w:ascii="Cambria Math" w:hAnsi="Cambria Math"/>
                          </w:rPr>
                          <m:t>δ</m:t>
                        </m:r>
                      </m:e>
                      <m:sub>
                        <m:r>
                          <m:rPr>
                            <m:sty m:val="p"/>
                          </m:rPr>
                          <w:rPr>
                            <w:rFonts w:ascii="Cambria Math" w:hAnsi="Cambria Math"/>
                          </w:rPr>
                          <m:t>clad</m:t>
                        </m:r>
                      </m:sub>
                    </m:sSub>
                    <m:sSub>
                      <m:sSubPr>
                        <m:ctrlPr>
                          <w:rPr>
                            <w:rFonts w:ascii="Cambria Math" w:hAnsi="Cambria Math"/>
                          </w:rPr>
                        </m:ctrlPr>
                      </m:sSubPr>
                      <m:e>
                        <m:r>
                          <w:rPr>
                            <w:rFonts w:ascii="Cambria Math" w:hAnsi="Cambria Math"/>
                          </w:rPr>
                          <m:t>L</m:t>
                        </m:r>
                      </m:e>
                      <m:sub>
                        <m:r>
                          <m:rPr>
                            <m:sty m:val="p"/>
                          </m:rPr>
                          <w:rPr>
                            <w:rFonts w:ascii="Cambria Math" w:hAnsi="Cambria Math"/>
                          </w:rPr>
                          <m:t>heated</m:t>
                        </m:r>
                      </m:sub>
                    </m:sSub>
                  </m:den>
                </m:f>
              </m:oMath>
            </m:oMathPara>
          </w:p>
        </w:tc>
        <w:tc>
          <w:tcPr>
            <w:tcW w:w="1300" w:type="dxa"/>
            <w:tcBorders>
              <w:bottom w:val="nil"/>
            </w:tcBorders>
            <w:vAlign w:val="center"/>
          </w:tcPr>
          <w:p w14:paraId="442E56A1" w14:textId="77777777" w:rsidR="001F0D14" w:rsidRDefault="001F0D14" w:rsidP="00104431">
            <w:pPr>
              <w:spacing w:after="0"/>
              <w:jc w:val="right"/>
            </w:pPr>
            <w:r>
              <w:rPr>
                <w:rFonts w:ascii="Times New Roman" w:hAnsi="Times New Roman"/>
                <w:sz w:val="22"/>
              </w:rPr>
              <w:t>(4.7-31)</w:t>
            </w:r>
          </w:p>
        </w:tc>
      </w:tr>
    </w:tbl>
    <w:p w14:paraId="5C6141BD" w14:textId="77777777" w:rsidR="001F0D14" w:rsidRDefault="001F0D14" w:rsidP="001F0D14">
      <w:pPr>
        <w:pStyle w:val="FirstParagraph"/>
      </w:pPr>
      <w:r>
        <w:t>This core-wide oxidation estimate is diagnostic and is primarily used to compare the integrated hydrogen generation against the regulatory intent of limiting the total zirconium-water reaction. Because FLARE is a lumped-parameter screening code, the value should be interpreted as a reduced-order consistency metric rather than a replacement for detailed licensing-basis fuel-rod oxidation analysis.</w:t>
      </w:r>
    </w:p>
    <w:p w14:paraId="1A23D424" w14:textId="77777777" w:rsidR="001F0D14" w:rsidRDefault="001F0D14" w:rsidP="001F0D14">
      <w:pPr>
        <w:pStyle w:val="Heading2"/>
        <w:keepNext/>
      </w:pPr>
      <w:bookmarkStart w:id="47" w:name="_Toc231232892"/>
      <w:r>
        <w:t>4.7.9 Coupling to Source Term and Containment Hydrogen</w:t>
      </w:r>
      <w:bookmarkEnd w:id="47"/>
    </w:p>
    <w:p w14:paraId="6B8E32CE" w14:textId="77777777" w:rsidR="001F0D14" w:rsidRDefault="001F0D14" w:rsidP="001F0D14">
      <w:pPr>
        <w:pStyle w:val="FirstParagraph"/>
      </w:pPr>
      <w:r>
        <w:t xml:space="preserve">The oxidation model couples to two downstream FLARE calculations. First, the maximum mean oxidizing rod ECR provides the severity parameter used in the beyond-design-basis source-term escalation model. If </w:t>
      </w:r>
      <m:oMath>
        <m:sSub>
          <m:sSubPr>
            <m:ctrlPr>
              <w:rPr>
                <w:rFonts w:ascii="Cambria Math" w:hAnsi="Cambria Math"/>
              </w:rPr>
            </m:ctrlPr>
          </m:sSubPr>
          <m:e>
            <m:r>
              <w:rPr>
                <w:rFonts w:ascii="Cambria Math" w:hAnsi="Cambria Math"/>
              </w:rPr>
              <m:t>R</m:t>
            </m:r>
          </m:e>
          <m:sub>
            <m:r>
              <m:rPr>
                <m:sty m:val="p"/>
              </m:rPr>
              <w:rPr>
                <w:rFonts w:ascii="Cambria Math" w:hAnsi="Cambria Math"/>
              </w:rPr>
              <m:t>base,</m:t>
            </m:r>
            <m:r>
              <w:rPr>
                <w:rFonts w:ascii="Cambria Math" w:hAnsi="Cambria Math"/>
              </w:rPr>
              <m:t>g</m:t>
            </m:r>
          </m:sub>
        </m:sSub>
      </m:oMath>
      <w:r>
        <w:t xml:space="preserve"> is the base release fraction for radionuclide group </w:t>
      </w:r>
      <m:oMath>
        <m:r>
          <w:rPr>
            <w:rFonts w:ascii="Cambria Math" w:hAnsi="Cambria Math"/>
          </w:rPr>
          <m:t>g</m:t>
        </m:r>
      </m:oMath>
      <w:r>
        <w:t xml:space="preserve"> and </w:t>
      </w:r>
      <m:oMath>
        <m:sSub>
          <m:sSubPr>
            <m:ctrlPr>
              <w:rPr>
                <w:rFonts w:ascii="Cambria Math" w:hAnsi="Cambria Math"/>
              </w:rPr>
            </m:ctrlPr>
          </m:sSubPr>
          <m:e>
            <m:r>
              <w:rPr>
                <w:rFonts w:ascii="Cambria Math" w:hAnsi="Cambria Math"/>
              </w:rPr>
              <m:t>R</m:t>
            </m:r>
          </m:e>
          <m:sub>
            <m:r>
              <m:rPr>
                <m:sty m:val="p"/>
              </m:rPr>
              <w:rPr>
                <w:rFonts w:ascii="Cambria Math" w:hAnsi="Cambria Math"/>
              </w:rPr>
              <m:t>BDBE,</m:t>
            </m:r>
            <m:r>
              <w:rPr>
                <w:rFonts w:ascii="Cambria Math" w:hAnsi="Cambria Math"/>
              </w:rPr>
              <m:t>g</m:t>
            </m:r>
          </m:sub>
        </m:sSub>
      </m:oMath>
      <w:r>
        <w:t xml:space="preserve"> is the corresponding severe-event target release fraction, then</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7AD8A676"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493FFED9"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severe,</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base,</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mean</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BDBE,</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base,</m:t>
                        </m:r>
                        <m:r>
                          <w:rPr>
                            <w:rFonts w:ascii="Cambria Math" w:hAnsi="Cambria Math"/>
                          </w:rPr>
                          <m:t>g</m:t>
                        </m:r>
                      </m:sub>
                    </m:sSub>
                  </m:e>
                </m:d>
              </m:oMath>
            </m:oMathPara>
          </w:p>
        </w:tc>
        <w:tc>
          <w:tcPr>
            <w:tcW w:w="1300" w:type="dxa"/>
            <w:tcBorders>
              <w:bottom w:val="nil"/>
            </w:tcBorders>
            <w:vAlign w:val="center"/>
          </w:tcPr>
          <w:p w14:paraId="3720A7F8" w14:textId="77777777" w:rsidR="001F0D14" w:rsidRDefault="001F0D14" w:rsidP="00104431">
            <w:pPr>
              <w:spacing w:after="0"/>
              <w:jc w:val="right"/>
            </w:pPr>
            <w:r>
              <w:rPr>
                <w:rFonts w:ascii="Times New Roman" w:hAnsi="Times New Roman"/>
                <w:sz w:val="22"/>
              </w:rPr>
              <w:t>(4.7-32)</w:t>
            </w:r>
          </w:p>
        </w:tc>
      </w:tr>
    </w:tbl>
    <w:p w14:paraId="6477071C" w14:textId="77777777" w:rsidR="001F0D14" w:rsidRDefault="001F0D14" w:rsidP="001F0D14">
      <w:pPr>
        <w:pStyle w:val="FirstParagraph"/>
      </w:pPr>
      <w:r>
        <w:t xml:space="preserve">subject to any threshold or limiting logic applied in the source-term module. Second, the time-dependent hydrogen generation is supplied to FLARECON as a containment gas source. If the FLARE output interval is </w:t>
      </w:r>
      <m:oMath>
        <m: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out</m:t>
            </m:r>
          </m:sub>
        </m:sSub>
      </m:oMath>
      <w:r>
        <w:t>, the average hydrogen source rate over an output interval is</w:t>
      </w:r>
    </w:p>
    <w:tbl>
      <w:tblPr>
        <w:tblStyle w:val="Table"/>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900"/>
        <w:gridCol w:w="1300"/>
      </w:tblGrid>
      <w:tr w:rsidR="001F0D14" w14:paraId="5844A203" w14:textId="77777777" w:rsidTr="00104431">
        <w:trPr>
          <w:cnfStyle w:val="100000000000" w:firstRow="1" w:lastRow="0" w:firstColumn="0" w:lastColumn="0" w:oddVBand="0" w:evenVBand="0" w:oddHBand="0" w:evenHBand="0" w:firstRowFirstColumn="0" w:firstRowLastColumn="0" w:lastRowFirstColumn="0" w:lastRowLastColumn="0"/>
          <w:jc w:val="center"/>
        </w:trPr>
        <w:tc>
          <w:tcPr>
            <w:tcW w:w="7900" w:type="dxa"/>
            <w:tcBorders>
              <w:bottom w:val="nil"/>
            </w:tcBorders>
            <w:vAlign w:val="center"/>
          </w:tcPr>
          <w:p w14:paraId="45589BF5" w14:textId="77777777" w:rsidR="001F0D14" w:rsidRDefault="00406E9C" w:rsidP="00104431">
            <w:pPr>
              <w:pStyle w:val="BodyText"/>
              <w:spacing w:before="0" w:after="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,CON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num>
                  <m:den>
                    <m:sSub>
                      <m:sSubPr>
                        <m:ctrlPr>
                          <w:rPr>
                            <w:rFonts w:ascii="Cambria Math" w:hAnsi="Cambria Math"/>
                          </w:rPr>
                        </m:ctrlPr>
                      </m:sSub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en>
                </m:f>
              </m:oMath>
            </m:oMathPara>
          </w:p>
        </w:tc>
        <w:tc>
          <w:tcPr>
            <w:tcW w:w="1300" w:type="dxa"/>
            <w:tcBorders>
              <w:bottom w:val="nil"/>
            </w:tcBorders>
            <w:vAlign w:val="center"/>
          </w:tcPr>
          <w:p w14:paraId="7363D739" w14:textId="77777777" w:rsidR="001F0D14" w:rsidRDefault="001F0D14" w:rsidP="00104431">
            <w:pPr>
              <w:spacing w:after="0"/>
              <w:jc w:val="right"/>
            </w:pPr>
            <w:r>
              <w:rPr>
                <w:rFonts w:ascii="Times New Roman" w:hAnsi="Times New Roman"/>
                <w:sz w:val="22"/>
              </w:rPr>
              <w:t>(4.7-33)</w:t>
            </w:r>
          </w:p>
        </w:tc>
      </w:tr>
    </w:tbl>
    <w:p w14:paraId="5C08341D" w14:textId="77777777" w:rsidR="001F0D14" w:rsidRDefault="001F0D14" w:rsidP="001F0D14">
      <w:pPr>
        <w:pStyle w:val="FirstParagraph"/>
      </w:pPr>
      <w:r>
        <w:t>This value is interpreted by FLARECON as a mass source of hydrogen to the dry containment gas volume. The resulting hydrogen concentration is then evaluated against the containment flammability assessment described in the FLARECON chapter.</w:t>
      </w:r>
    </w:p>
    <w:p w14:paraId="41C4335F" w14:textId="77777777" w:rsidR="001F0D14" w:rsidRDefault="001F0D14" w:rsidP="001F0D14">
      <w:pPr>
        <w:pStyle w:val="Heading2"/>
        <w:keepNext/>
      </w:pPr>
      <w:bookmarkStart w:id="48" w:name="_Toc231232893"/>
      <w:r>
        <w:lastRenderedPageBreak/>
        <w:t>4.7.10 Assumptions and Limitations</w:t>
      </w:r>
      <w:bookmarkEnd w:id="48"/>
    </w:p>
    <w:p w14:paraId="1EF3A080" w14:textId="77777777" w:rsidR="001F0D14" w:rsidRDefault="001F0D14" w:rsidP="001F0D14">
      <w:pPr>
        <w:pStyle w:val="FirstParagraph"/>
      </w:pPr>
      <w:r>
        <w:t>The zirconium oxidation and hydrogen-generation model relies on several simplifying assumptions. The Baker-Just correlation is used as a conservative high-temperature oxidation correlation and is not intended to represent the full range of modern cladding oxidation behavior under all steam-starved, air-ingress, or reflood conditions. The model assumes sufficient steam availability for the calculated oxidation unless separate logic limits the reaction. It does not model oxide spalling, breakaway oxidation, nitriding, or oxygen diffusion in detail.</w:t>
      </w:r>
    </w:p>
    <w:p w14:paraId="036111F1" w14:textId="77777777" w:rsidR="001F0D14" w:rsidRDefault="001F0D14" w:rsidP="001F0D14">
      <w:pPr>
        <w:pStyle w:val="BodyText"/>
      </w:pPr>
      <w:r>
        <w:t>The cladding surface area is represented by the reduced-order rod geometry. Axial variation is collapsed into the heated length, and azimuthal variation is not represented. The oxidizing population is inferred statistically from the rod-state distribution in Section 4.6 rather than calculated from a rod-by-rod thermal solution. The mean oxidizing rod is therefore a conditional statistical construct, not a physical rod.</w:t>
      </w:r>
    </w:p>
    <w:p w14:paraId="62A29C3D" w14:textId="4AF11939" w:rsidR="001F0D14" w:rsidRDefault="001F0D14" w:rsidP="00C17023">
      <w:pPr>
        <w:pStyle w:val="BodyText"/>
      </w:pPr>
      <w:r>
        <w:t>The hot-pin ECR, mean oxidizing rod ECR, and core-wide hydrogen generation should be interpreted as distinct quantities. The hot-pin ECR is the local limiting oxidation metric. The mean oxidizing rod ECR is a representative severity metric for the subset of rods participating in oxidation. The cumulative hydrogen generation is a population-integrated metric based on both oxidation severity and oxidizing fraction. Maintaining this distinction is essential for avoiding both underprediction of local damage and overprediction of whole-core oxidation.</w:t>
      </w:r>
    </w:p>
    <w:p w14:paraId="5D436B94" w14:textId="77777777" w:rsidR="000F504F" w:rsidRDefault="00406E9C">
      <w:pPr>
        <w:pStyle w:val="Heading1"/>
        <w:keepNext/>
      </w:pPr>
      <w:bookmarkStart w:id="49" w:name="_Toc231232894"/>
      <w:r>
        <w:t>Chapter 5 — Point Kinetics and Reactivity Models</w:t>
      </w:r>
      <w:bookmarkEnd w:id="49"/>
    </w:p>
    <w:p w14:paraId="7E82E614" w14:textId="77777777" w:rsidR="000F504F" w:rsidRDefault="00406E9C">
      <w:pPr>
        <w:pStyle w:val="Heading2"/>
        <w:keepNext/>
      </w:pPr>
      <w:bookmarkStart w:id="50" w:name="_Toc231232895"/>
      <w:r>
        <w:t>5.1 Point-Kinetics Equations</w:t>
      </w:r>
      <w:bookmarkEnd w:id="50"/>
    </w:p>
    <w:p w14:paraId="7EC17AE2" w14:textId="77777777" w:rsidR="000F504F" w:rsidRDefault="00406E9C">
      <w:pPr>
        <w:pStyle w:val="FirstParagraph"/>
      </w:pPr>
      <w:r>
        <w:t xml:space="preserve">The reactor power calculation uses point kinetics. The neutron population amplitude, expressed through relative power </w:t>
      </w:r>
      <m:oMath>
        <m:sSub>
          <m:sSubPr>
            <m:ctrlPr>
              <w:rPr>
                <w:rFonts w:ascii="Cambria Math" w:hAnsi="Cambria Math"/>
              </w:rPr>
            </m:ctrlPr>
          </m:sSubPr>
          <m:e>
            <m:r>
              <w:rPr>
                <w:rFonts w:ascii="Cambria Math" w:hAnsi="Cambria Math"/>
              </w:rPr>
              <m:t>P</m:t>
            </m:r>
          </m:e>
          <m:sub>
            <m:r>
              <w:rPr>
                <w:rFonts w:ascii="Cambria Math" w:hAnsi="Cambria Math"/>
              </w:rPr>
              <m:t>n</m:t>
            </m:r>
          </m:sub>
        </m:sSub>
      </m:oMath>
      <w:r>
        <w:t>, satisfies</w:t>
      </w:r>
    </w:p>
    <w:p w14:paraId="5F942669"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n</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r>
                <w:rPr>
                  <w:rFonts w:ascii="Cambria Math" w:hAnsi="Cambria Math"/>
                </w:rPr>
                <m:t>ρ</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num>
            <m:den>
              <m:r>
                <w:rPr>
                  <w:rFonts w:ascii="Cambria Math" w:hAnsi="Cambria Math"/>
                </w:rPr>
                <m:t>Λ</m:t>
              </m:r>
            </m:den>
          </m:f>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G</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5.1</m:t>
              </m:r>
            </m:e>
          </m:d>
        </m:oMath>
      </m:oMathPara>
    </w:p>
    <w:p w14:paraId="51928327" w14:textId="77777777" w:rsidR="000F504F" w:rsidRDefault="00406E9C">
      <w:pPr>
        <w:pStyle w:val="FirstParagraph"/>
      </w:pPr>
      <w:r>
        <w:t>The delayed-neutron precursor groups satisfy</w:t>
      </w:r>
    </w:p>
    <w:p w14:paraId="7CBE566A"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dt</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i</m:t>
                  </m:r>
                </m:sub>
              </m:sSub>
            </m:num>
            <m:den>
              <m:r>
                <w:rPr>
                  <w:rFonts w:ascii="Cambria Math" w:hAnsi="Cambria Math"/>
                </w:rPr>
                <m:t>Λ</m:t>
              </m:r>
            </m:den>
          </m:f>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5.2</m:t>
              </m:r>
            </m:e>
          </m:d>
        </m:oMath>
      </m:oMathPara>
    </w:p>
    <w:p w14:paraId="2D062C40" w14:textId="77777777" w:rsidR="000F504F" w:rsidRDefault="00406E9C">
      <w:pPr>
        <w:pStyle w:val="FirstParagraph"/>
      </w:pPr>
      <w:r>
        <w:t>Here  is reactivity,  is the effective delayed-neutron fraction,  is prompt neutron generation time,  are precursor decay constants, and  are normalized precursor concentrations. The point-kinetics solution is interpreted as the fission-chain power component. The total core heat source is defined below as the sum of fission power and decay heat.</w:t>
      </w:r>
    </w:p>
    <w:p w14:paraId="60DC63F2"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fission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sSub>
            <m:sSubPr>
              <m:ctrlPr>
                <w:rPr>
                  <w:rFonts w:ascii="Cambria Math" w:hAnsi="Cambria Math"/>
                </w:rPr>
              </m:ctrlPr>
            </m:sSubPr>
            <m:e>
              <m:r>
                <w:rPr>
                  <w:rFonts w:ascii="Cambria Math" w:hAnsi="Cambria Math"/>
                </w:rPr>
                <m:t>Q</m:t>
              </m:r>
            </m:e>
            <m:sub>
              <m:r>
                <w:rPr>
                  <w:rFonts w:ascii="Cambria Math" w:hAnsi="Cambria Math"/>
                </w:rPr>
                <m:t>rated</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5.3</m:t>
              </m:r>
            </m:e>
          </m:d>
        </m:oMath>
      </m:oMathPara>
    </w:p>
    <w:p w14:paraId="01F32CCF" w14:textId="77777777" w:rsidR="000F504F" w:rsidRDefault="00406E9C">
      <w:pPr>
        <w:pStyle w:val="Heading2"/>
        <w:keepNext/>
      </w:pPr>
      <w:bookmarkStart w:id="51" w:name="_Toc231232896"/>
      <w:r>
        <w:t>5.2 Reactivity Feedback</w:t>
      </w:r>
      <w:bookmarkEnd w:id="51"/>
    </w:p>
    <w:p w14:paraId="690AB845" w14:textId="77777777" w:rsidR="000F504F" w:rsidRDefault="00406E9C">
      <w:pPr>
        <w:pStyle w:val="FirstParagraph"/>
      </w:pPr>
      <w:r>
        <w:t>The total reactivity is the sum of externally specified reactivity, Doppler feedback, moderator temperature feedback, void feedback, and scram worth:</w:t>
      </w:r>
    </w:p>
    <w:p w14:paraId="5B4C1C50" w14:textId="77777777" w:rsidR="000F504F" w:rsidRDefault="00406E9C">
      <w:pPr>
        <w:pStyle w:val="BodyText"/>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ext</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D</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M</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v</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scram</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5.4</m:t>
              </m:r>
            </m:e>
          </m:d>
        </m:oMath>
      </m:oMathPara>
    </w:p>
    <w:p w14:paraId="11E71377" w14:textId="77777777" w:rsidR="000F504F" w:rsidRDefault="00406E9C">
      <w:pPr>
        <w:pStyle w:val="FirstParagraph"/>
      </w:pPr>
      <w:r>
        <w:t>The Doppler term is</w:t>
      </w:r>
    </w:p>
    <w:p w14:paraId="68E26D02"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m:t>
                  </m:r>
                  <m:r>
                    <m:rPr>
                      <m:sty m:val="p"/>
                    </m:rPr>
                    <w:rPr>
                      <w:rFonts w:ascii="Cambria Math" w:hAnsi="Cambria Math"/>
                    </w:rPr>
                    <m:t>,</m:t>
                  </m:r>
                  <m:r>
                    <w:rPr>
                      <w:rFonts w:ascii="Cambria Math" w:hAnsi="Cambria Math"/>
                    </w:rPr>
                    <m:t>0</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5.5</m:t>
              </m:r>
            </m:e>
          </m:d>
        </m:oMath>
      </m:oMathPara>
    </w:p>
    <w:p w14:paraId="517CC915" w14:textId="77777777" w:rsidR="000F504F" w:rsidRDefault="00406E9C">
      <w:pPr>
        <w:pStyle w:val="FirstParagraph"/>
      </w:pPr>
      <w:r>
        <w:t>The moderator temperature and void terms are</w:t>
      </w:r>
    </w:p>
    <w:p w14:paraId="3B3AFEED"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w:rPr>
                      <w:rFonts w:ascii="Cambria Math" w:hAnsi="Cambria Math"/>
                    </w:rPr>
                    <m:t>0</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eq</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5.6</m:t>
              </m:r>
            </m:e>
          </m:d>
        </m:oMath>
      </m:oMathPara>
    </w:p>
    <w:p w14:paraId="61528AD6" w14:textId="77777777" w:rsidR="000F504F" w:rsidRDefault="00406E9C">
      <w:pPr>
        <w:pStyle w:val="FirstParagraph"/>
      </w:pPr>
      <w:r>
        <w:t xml:space="preserve">When coefficients are entered in pcm, the conversion is </w:t>
      </w:r>
      <m:oMath>
        <m:r>
          <w:rPr>
            <w:rFonts w:ascii="Cambria Math" w:hAnsi="Cambria Math"/>
          </w:rPr>
          <m:t>ρ</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pcm</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Scram insertion is modeled as a ramp:</w:t>
      </w:r>
    </w:p>
    <w:p w14:paraId="36A50B2F"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scram</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e>
                </m:mr>
                <m:mr>
                  <m:e>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rod</m:t>
                        </m:r>
                      </m:sub>
                    </m:sSub>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τ</m:t>
                            </m:r>
                          </m:e>
                          <m:sub>
                            <m:r>
                              <w:rPr>
                                <w:rFonts w:ascii="Cambria Math" w:hAnsi="Cambria Math"/>
                              </w:rPr>
                              <m:t>rod</m:t>
                            </m:r>
                          </m:sub>
                        </m:sSub>
                      </m:den>
                    </m:f>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rod</m:t>
                        </m:r>
                      </m:sub>
                    </m:sSub>
                    <m:r>
                      <m:rPr>
                        <m:sty m:val="p"/>
                      </m:rPr>
                      <w:rPr>
                        <w:rFonts w:ascii="Cambria Math" w:hAnsi="Cambria Math"/>
                      </w:rPr>
                      <m:t>,</m:t>
                    </m:r>
                  </m:e>
                </m:mr>
                <m:mr>
                  <m:e>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rod</m:t>
                        </m:r>
                      </m:sub>
                    </m:sSub>
                    <m:r>
                      <m:rPr>
                        <m:sty m:val="p"/>
                      </m:rPr>
                      <w:rPr>
                        <w:rFonts w:ascii="Cambria Math" w:hAnsi="Cambria Math"/>
                      </w:rPr>
                      <m:t>,</m:t>
                    </m:r>
                  </m:e>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rod</m:t>
                        </m:r>
                      </m:sub>
                    </m:sSub>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5.7</m:t>
              </m:r>
            </m:e>
          </m:d>
        </m:oMath>
      </m:oMathPara>
    </w:p>
    <w:p w14:paraId="74AAE2F0" w14:textId="77777777" w:rsidR="000F504F" w:rsidRDefault="00406E9C">
      <w:pPr>
        <w:pStyle w:val="Heading2"/>
        <w:keepNext/>
      </w:pPr>
      <w:bookmarkStart w:id="52" w:name="_Toc231232897"/>
      <w:r>
        <w:t>5.3 Prompt Jump, Prompt Criticality, and Decay Heat</w:t>
      </w:r>
      <w:bookmarkEnd w:id="52"/>
    </w:p>
    <w:p w14:paraId="5AD0FB5C" w14:textId="77777777" w:rsidR="000F504F" w:rsidRDefault="00406E9C">
      <w:pPr>
        <w:pStyle w:val="FirstParagraph"/>
      </w:pPr>
      <w:r>
        <w:t>For rapid reactivity insertions below prompt critical, the prompt neutron population adjusts on a time scale much shorter than the thermal-hydraulic response. The prompt jump approximation relates the post-jump and pre-jump powers by</w:t>
      </w:r>
    </w:p>
    <w:p w14:paraId="1E47E119" w14:textId="77777777" w:rsidR="000F504F" w:rsidRDefault="00406E9C">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P</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num>
            <m:den>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ρ</m:t>
                  </m:r>
                </m:e>
                <m:sup>
                  <m:r>
                    <m:rPr>
                      <m:sty m:val="p"/>
                    </m:rPr>
                    <w:rPr>
                      <w:rFonts w:ascii="Cambria Math" w:hAnsi="Cambria Math"/>
                    </w:rPr>
                    <m:t>+</m:t>
                  </m:r>
                </m:sup>
              </m:s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5.8</m:t>
              </m:r>
            </m:e>
          </m:d>
        </m:oMath>
      </m:oMathPara>
    </w:p>
    <w:p w14:paraId="46934C68" w14:textId="77777777" w:rsidR="000F504F" w:rsidRDefault="00406E9C">
      <w:pPr>
        <w:pStyle w:val="FirstParagraph"/>
      </w:pPr>
      <w:r>
        <w:t xml:space="preserve">For prompt-critical excursions, FLARE can apply a Nordheim-Fuchs screening estimate. If the reactivity insertion is </w:t>
      </w:r>
      <m:oMath>
        <m:sSub>
          <m:sSubPr>
            <m:ctrlPr>
              <w:rPr>
                <w:rFonts w:ascii="Cambria Math" w:hAnsi="Cambria Math"/>
              </w:rPr>
            </m:ctrlPr>
          </m:sSubPr>
          <m:e>
            <m:r>
              <w:rPr>
                <w:rFonts w:ascii="Cambria Math" w:hAnsi="Cambria Math"/>
              </w:rPr>
              <m:t>ρ</m:t>
            </m:r>
          </m:e>
          <m:sub>
            <m:r>
              <w:rPr>
                <w:rFonts w:ascii="Cambria Math" w:hAnsi="Cambria Math"/>
              </w:rPr>
              <m:t>0</m:t>
            </m:r>
          </m:sub>
        </m:sSub>
      </m:oMath>
      <w:r>
        <w:t xml:space="preserve"> and the effective feedback coefficient is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the approximate energy deposition required to return to prompt critical is</w:t>
      </w:r>
    </w:p>
    <w:p w14:paraId="1BE700D5"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burst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0</m:t>
                  </m:r>
                </m:sub>
              </m:sSub>
              <m:r>
                <m:rPr>
                  <m:sty m:val="p"/>
                </m:rPr>
                <w:rPr>
                  <w:rFonts w:ascii="Cambria Math" w:hAnsi="Cambria Math"/>
                </w:rPr>
                <m:t>-</m:t>
              </m:r>
              <m:r>
                <w:rPr>
                  <w:rFonts w:ascii="Cambria Math" w:hAnsi="Cambria Math"/>
                </w:rPr>
                <m:t>β</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e>
              </m:d>
            </m:den>
          </m:f>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eff</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5.9</m:t>
              </m:r>
            </m:e>
          </m:d>
        </m:oMath>
      </m:oMathPara>
    </w:p>
    <w:p w14:paraId="35BD429A" w14:textId="77777777" w:rsidR="00372D82" w:rsidRDefault="00406E9C">
      <w:pPr>
        <w:pStyle w:val="BodyText"/>
      </w:pPr>
      <w:r>
        <w:rPr>
          <w:b/>
        </w:rPr>
        <w:t>Dynamic Decay Heat and Total Core Power</w:t>
      </w:r>
    </w:p>
    <w:p w14:paraId="38B0CF95" w14:textId="77777777" w:rsidR="00372D82" w:rsidRDefault="00406E9C">
      <w:pPr>
        <w:pStyle w:val="FirstParagraph"/>
      </w:pPr>
      <w:r>
        <w:t>FLARE separates the reactor heat source into fission-chain power, decay heat power, and total core power. The point-kinetics equations calculate the fission-chain component. Reactivity feedback, scram, boron insertion, Doppler feedback, moderator feedback, void feedback, and prompt-criticality logic act on this fission component only. The thermal-hydraulic energy equation is driven by the total core heat generation:</w:t>
      </w:r>
    </w:p>
    <w:p w14:paraId="72186576" w14:textId="77777777" w:rsidR="00372D82" w:rsidRDefault="00406E9C">
      <w:pPr>
        <w:pStyle w:val="BodyText"/>
      </w:pPr>
      <m:oMathPara>
        <m:oMath>
          <m:r>
            <w:rPr>
              <w:rFonts w:ascii="Cambria Math" w:hAnsi="Cambria Math"/>
            </w:rPr>
            <m:t>P</m:t>
          </m:r>
          <m:r>
            <w:rPr>
              <w:rFonts w:ascii="Cambria Math" w:hAnsi="Cambria Math"/>
            </w:rPr>
            <m:t>_</m:t>
          </m:r>
          <m:r>
            <w:rPr>
              <w:rFonts w:ascii="Cambria Math" w:hAnsi="Cambria Math"/>
            </w:rPr>
            <m:t>core</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P</m:t>
          </m:r>
          <m:r>
            <w:rPr>
              <w:rFonts w:ascii="Cambria Math" w:hAnsi="Cambria Math"/>
            </w:rPr>
            <m:t>_</m:t>
          </m:r>
          <m:r>
            <w:rPr>
              <w:rFonts w:ascii="Cambria Math" w:hAnsi="Cambria Math"/>
            </w:rPr>
            <m:t>fission</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P</m:t>
          </m:r>
          <m:r>
            <w:rPr>
              <w:rFonts w:ascii="Cambria Math" w:hAnsi="Cambria Math"/>
            </w:rPr>
            <m:t>_</m:t>
          </m:r>
          <m:r>
            <w:rPr>
              <w:rFonts w:ascii="Cambria Math" w:hAnsi="Cambria Math"/>
            </w:rPr>
            <m:t>decay</m:t>
          </m:r>
          <m:r>
            <w:rPr>
              <w:rFonts w:ascii="Cambria Math" w:hAnsi="Cambria Math"/>
            </w:rPr>
            <m:t>(</m:t>
          </m:r>
          <m:r>
            <w:rPr>
              <w:rFonts w:ascii="Cambria Math" w:hAnsi="Cambria Math"/>
            </w:rPr>
            <m:t>t</m:t>
          </m:r>
          <m:r>
            <w:rPr>
              <w:rFonts w:ascii="Cambria Math" w:hAnsi="Cambria Math"/>
            </w:rPr>
            <m:t>)</m:t>
          </m:r>
        </m:oMath>
      </m:oMathPara>
    </w:p>
    <w:p w14:paraId="2CF95402" w14:textId="77777777" w:rsidR="00372D82" w:rsidRDefault="00406E9C">
      <w:pPr>
        <w:pStyle w:val="BodyText"/>
      </w:pPr>
      <w:r>
        <w:t>This separation is important for ATWS and other transients in which fission-chain power may decrease substantially without a reactor trip. Decay heat is not a scram-dependent source term. It is present at all times as the result of fission-product and actinide inventories produced by prior operation and by fissioning that continues during the transient. Therefore, fission power may collapse toward zero under strong negative reactivity feedback, but total core heat generation should decay toward the ANSI/ANS</w:t>
      </w:r>
      <w:r>
        <w:t xml:space="preserve"> decay-heat level rather than collapse to zero.</w:t>
      </w:r>
    </w:p>
    <w:p w14:paraId="7418992E" w14:textId="77777777" w:rsidR="00372D82" w:rsidRDefault="00406E9C">
      <w:pPr>
        <w:pStyle w:val="BodyText"/>
      </w:pPr>
      <w:r>
        <w:t>The ANSI/ANS-5.1 fission-product decay-heat representation is retained as the basis for the decay curve. FLARE uses the exponential coefficient sets already implemented for U-235, U-238, and Pu-239. In the dynamic formulation, those coefficient sets are interpreted as decay-heat inventory groups. For each group j,</w:t>
      </w:r>
    </w:p>
    <w:p w14:paraId="6EB96C59" w14:textId="77777777" w:rsidR="00372D82" w:rsidRDefault="00406E9C">
      <w:pPr>
        <w:pStyle w:val="BodyText"/>
      </w:pPr>
      <m:oMathPara>
        <m:oMath>
          <m:r>
            <w:rPr>
              <w:rFonts w:ascii="Cambria Math" w:hAnsi="Cambria Math"/>
            </w:rPr>
            <m:t>dD</m:t>
          </m:r>
          <m:r>
            <w:rPr>
              <w:rFonts w:ascii="Cambria Math" w:hAnsi="Cambria Math"/>
            </w:rPr>
            <m:t>_</m:t>
          </m:r>
          <m:r>
            <w:rPr>
              <w:rFonts w:ascii="Cambria Math" w:hAnsi="Cambria Math"/>
            </w:rPr>
            <m:t>j</m:t>
          </m:r>
          <m:r>
            <w:rPr>
              <w:rFonts w:ascii="Cambria Math" w:hAnsi="Cambria Math"/>
            </w:rPr>
            <m:t>/</m:t>
          </m:r>
          <m:r>
            <w:rPr>
              <w:rFonts w:ascii="Cambria Math" w:hAnsi="Cambria Math"/>
            </w:rPr>
            <m:t>dt</m:t>
          </m:r>
          <m:r>
            <w:rPr>
              <w:rFonts w:ascii="Cambria Math" w:hAnsi="Cambria Math"/>
            </w:rPr>
            <m:t xml:space="preserve"> = </m:t>
          </m:r>
          <m:r>
            <w:rPr>
              <w:rFonts w:ascii="Cambria Math" w:hAnsi="Cambria Math"/>
            </w:rPr>
            <m:t>A</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P</m:t>
          </m:r>
          <m:r>
            <w:rPr>
              <w:rFonts w:ascii="Cambria Math" w:hAnsi="Cambria Math"/>
            </w:rPr>
            <m:t>_</m:t>
          </m:r>
          <m:r>
            <w:rPr>
              <w:rFonts w:ascii="Cambria Math" w:hAnsi="Cambria Math"/>
            </w:rPr>
            <m:t>fission</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λ</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D</m:t>
          </m:r>
          <m:r>
            <w:rPr>
              <w:rFonts w:ascii="Cambria Math" w:hAnsi="Cambria Math"/>
            </w:rPr>
            <m:t>_</m:t>
          </m:r>
          <m:r>
            <w:rPr>
              <w:rFonts w:ascii="Cambria Math" w:hAnsi="Cambria Math"/>
            </w:rPr>
            <m:t>j</m:t>
          </m:r>
        </m:oMath>
      </m:oMathPara>
    </w:p>
    <w:p w14:paraId="5A7E8F3C" w14:textId="77777777" w:rsidR="00372D82" w:rsidRDefault="00406E9C">
      <w:pPr>
        <w:pStyle w:val="BodyText"/>
      </w:pPr>
      <w:r>
        <w:t>and the fission-product decay heat is</w:t>
      </w:r>
    </w:p>
    <w:p w14:paraId="4449E935" w14:textId="77777777" w:rsidR="00372D82" w:rsidRDefault="00406E9C">
      <w:pPr>
        <w:pStyle w:val="BodyText"/>
      </w:pPr>
      <m:oMathPara>
        <m:oMath>
          <m:r>
            <w:rPr>
              <w:rFonts w:ascii="Cambria Math" w:hAnsi="Cambria Math"/>
            </w:rPr>
            <m:t>P</m:t>
          </m:r>
          <m:r>
            <w:rPr>
              <w:rFonts w:ascii="Cambria Math" w:hAnsi="Cambria Math"/>
            </w:rPr>
            <m:t>_</m:t>
          </m:r>
          <m:r>
            <w:rPr>
              <w:rFonts w:ascii="Cambria Math" w:hAnsi="Cambria Math"/>
            </w:rPr>
            <m:t>decay</m:t>
          </m:r>
          <m:r>
            <w:rPr>
              <w:rFonts w:ascii="Cambria Math" w:hAnsi="Cambria Math"/>
            </w:rPr>
            <m:t>,</m:t>
          </m:r>
          <m:r>
            <w:rPr>
              <w:rFonts w:ascii="Cambria Math" w:hAnsi="Cambria Math"/>
            </w:rPr>
            <m:t>fp</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Σ</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D</m:t>
          </m:r>
          <m:r>
            <w:rPr>
              <w:rFonts w:ascii="Cambria Math" w:hAnsi="Cambria Math"/>
            </w:rPr>
            <m:t>_</m:t>
          </m:r>
          <m:r>
            <w:rPr>
              <w:rFonts w:ascii="Cambria Math" w:hAnsi="Cambria Math"/>
            </w:rPr>
            <m:t>j</m:t>
          </m:r>
          <m:r>
            <w:rPr>
              <w:rFonts w:ascii="Cambria Math" w:hAnsi="Cambria Math"/>
            </w:rPr>
            <m:t>(</m:t>
          </m:r>
          <m:r>
            <w:rPr>
              <w:rFonts w:ascii="Cambria Math" w:hAnsi="Cambria Math"/>
            </w:rPr>
            <m:t>t</m:t>
          </m:r>
          <m:r>
            <w:rPr>
              <w:rFonts w:ascii="Cambria Math" w:hAnsi="Cambria Math"/>
            </w:rPr>
            <m:t>)</m:t>
          </m:r>
        </m:oMath>
      </m:oMathPara>
    </w:p>
    <w:p w14:paraId="62846C1F" w14:textId="77777777" w:rsidR="00372D82" w:rsidRDefault="00406E9C">
      <w:pPr>
        <w:pStyle w:val="BodyText"/>
      </w:pPr>
      <w:r>
        <w:t>where A_j and λ_j are the group strength and decay constant implied by the ANSI/ANS coefficient representation. For a timestep Δt, the exact constant-source update is</w:t>
      </w:r>
    </w:p>
    <w:p w14:paraId="0D34C140" w14:textId="77777777" w:rsidR="00372D82" w:rsidRDefault="00406E9C">
      <w:pPr>
        <w:pStyle w:val="BodyText"/>
      </w:pPr>
      <m:oMathPara>
        <m:oMath>
          <m:r>
            <w:rPr>
              <w:rFonts w:ascii="Cambria Math" w:hAnsi="Cambria Math"/>
            </w:rPr>
            <m:t>D</m:t>
          </m:r>
          <m:r>
            <w:rPr>
              <w:rFonts w:ascii="Cambria Math" w:hAnsi="Cambria Math"/>
            </w:rPr>
            <m:t>_{</m:t>
          </m:r>
          <m:r>
            <w:rPr>
              <w:rFonts w:ascii="Cambria Math" w:hAnsi="Cambria Math"/>
            </w:rPr>
            <m:t>j</m:t>
          </m:r>
          <m:r>
            <w:rPr>
              <w:rFonts w:ascii="Cambria Math" w:hAnsi="Cambria Math"/>
            </w:rPr>
            <m:t>,</m:t>
          </m:r>
          <m:r>
            <w:rPr>
              <w:rFonts w:ascii="Cambria Math" w:hAnsi="Cambria Math"/>
            </w:rPr>
            <m:t>n</m:t>
          </m:r>
          <m:r>
            <w:rPr>
              <w:rFonts w:ascii="Cambria Math" w:hAnsi="Cambria Math"/>
            </w:rPr>
            <m:t xml:space="preserve">+1} = </m:t>
          </m:r>
          <m:r>
            <w:rPr>
              <w:rFonts w:ascii="Cambria Math" w:hAnsi="Cambria Math"/>
            </w:rPr>
            <m:t>D</m:t>
          </m:r>
          <m:r>
            <w:rPr>
              <w:rFonts w:ascii="Cambria Math" w:hAnsi="Cambria Math"/>
            </w:rPr>
            <m:t>_{</m:t>
          </m:r>
          <m:r>
            <w:rPr>
              <w:rFonts w:ascii="Cambria Math" w:hAnsi="Cambria Math"/>
            </w:rPr>
            <m:t>j</m:t>
          </m:r>
          <m:r>
            <w:rPr>
              <w:rFonts w:ascii="Cambria Math" w:hAnsi="Cambria Math"/>
            </w:rPr>
            <m:t>,</m:t>
          </m:r>
          <m:r>
            <w:rPr>
              <w:rFonts w:ascii="Cambria Math" w:hAnsi="Cambria Math"/>
            </w:rPr>
            <m:t>n</m:t>
          </m:r>
          <m:r>
            <w:rPr>
              <w:rFonts w:ascii="Cambria Math" w:hAnsi="Cambria Math"/>
            </w:rPr>
            <m:t xml:space="preserve">} </m:t>
          </m:r>
          <m:r>
            <w:rPr>
              <w:rFonts w:ascii="Cambria Math" w:hAnsi="Cambria Math"/>
            </w:rPr>
            <m:t>exp</m:t>
          </m:r>
          <m:r>
            <w:rPr>
              <w:rFonts w:ascii="Cambria Math" w:hAnsi="Cambria Math"/>
            </w:rPr>
            <m:t>(-</m:t>
          </m:r>
          <m:r>
            <w:rPr>
              <w:rFonts w:ascii="Cambria Math" w:hAnsi="Cambria Math"/>
            </w:rPr>
            <m:t>λ</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Δt</m:t>
          </m:r>
          <m:r>
            <w:rPr>
              <w:rFonts w:ascii="Cambria Math" w:hAnsi="Cambria Math"/>
            </w:rPr>
            <m:t xml:space="preserve">) + </m:t>
          </m:r>
          <m:r>
            <w:rPr>
              <w:rFonts w:ascii="Cambria Math" w:hAnsi="Cambria Math"/>
            </w:rPr>
            <m:t>A</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P</m:t>
          </m:r>
          <m:r>
            <w:rPr>
              <w:rFonts w:ascii="Cambria Math" w:hAnsi="Cambria Math"/>
            </w:rPr>
            <m:t>_{</m:t>
          </m:r>
          <m:r>
            <w:rPr>
              <w:rFonts w:ascii="Cambria Math" w:hAnsi="Cambria Math"/>
            </w:rPr>
            <m:t>f</m:t>
          </m:r>
          <m:r>
            <w:rPr>
              <w:rFonts w:ascii="Cambria Math" w:hAnsi="Cambria Math"/>
            </w:rPr>
            <m:t>,</m:t>
          </m:r>
          <m:r>
            <w:rPr>
              <w:rFonts w:ascii="Cambria Math" w:hAnsi="Cambria Math"/>
            </w:rPr>
            <m:t>n</m:t>
          </m:r>
          <m:r>
            <w:rPr>
              <w:rFonts w:ascii="Cambria Math" w:hAnsi="Cambria Math"/>
            </w:rPr>
            <m:t xml:space="preserve">} [1 - </m:t>
          </m:r>
          <m:r>
            <w:rPr>
              <w:rFonts w:ascii="Cambria Math" w:hAnsi="Cambria Math"/>
            </w:rPr>
            <m:t>exp</m:t>
          </m:r>
          <m:r>
            <w:rPr>
              <w:rFonts w:ascii="Cambria Math" w:hAnsi="Cambria Math"/>
            </w:rPr>
            <m:t>(-</m:t>
          </m:r>
          <m:r>
            <w:rPr>
              <w:rFonts w:ascii="Cambria Math" w:hAnsi="Cambria Math"/>
            </w:rPr>
            <m:t>λ</m:t>
          </m:r>
          <m:r>
            <w:rPr>
              <w:rFonts w:ascii="Cambria Math" w:hAnsi="Cambria Math"/>
            </w:rPr>
            <m:t>_</m:t>
          </m:r>
          <m:r>
            <w:rPr>
              <w:rFonts w:ascii="Cambria Math" w:hAnsi="Cambria Math"/>
            </w:rPr>
            <m:t>j</m:t>
          </m:r>
          <m:r>
            <w:rPr>
              <w:rFonts w:ascii="Cambria Math" w:hAnsi="Cambria Math"/>
            </w:rPr>
            <m:t xml:space="preserve"> </m:t>
          </m:r>
          <m:r>
            <w:rPr>
              <w:rFonts w:ascii="Cambria Math" w:hAnsi="Cambria Math"/>
            </w:rPr>
            <m:t>Δt</m:t>
          </m:r>
          <m:r>
            <w:rPr>
              <w:rFonts w:ascii="Cambria Math" w:hAnsi="Cambria Math"/>
            </w:rPr>
            <m:t xml:space="preserve">)] / </m:t>
          </m:r>
          <m:r>
            <w:rPr>
              <w:rFonts w:ascii="Cambria Math" w:hAnsi="Cambria Math"/>
            </w:rPr>
            <m:t>λ</m:t>
          </m:r>
          <m:r>
            <w:rPr>
              <w:rFonts w:ascii="Cambria Math" w:hAnsi="Cambria Math"/>
            </w:rPr>
            <m:t>_</m:t>
          </m:r>
          <m:r>
            <w:rPr>
              <w:rFonts w:ascii="Cambria Math" w:hAnsi="Cambria Math"/>
            </w:rPr>
            <m:t>j</m:t>
          </m:r>
        </m:oMath>
      </m:oMathPara>
    </w:p>
    <w:p w14:paraId="3BE65B83" w14:textId="77777777" w:rsidR="00372D82" w:rsidRDefault="00406E9C">
      <w:pPr>
        <w:pStyle w:val="BodyText"/>
      </w:pPr>
      <w:r>
        <w:lastRenderedPageBreak/>
        <w:t>with the source term evaluated from the fission power over the timestep. This update is the discrete form of the transient fission-history convolution,</w:t>
      </w:r>
    </w:p>
    <w:p w14:paraId="0F519153" w14:textId="77777777" w:rsidR="00372D82" w:rsidRDefault="00406E9C">
      <w:pPr>
        <w:pStyle w:val="BodyText"/>
      </w:pPr>
      <m:oMathPara>
        <m:oMath>
          <m:r>
            <w:rPr>
              <w:rFonts w:ascii="Cambria Math" w:hAnsi="Cambria Math"/>
            </w:rPr>
            <m:t>P</m:t>
          </m:r>
          <m:r>
            <w:rPr>
              <w:rFonts w:ascii="Cambria Math" w:hAnsi="Cambria Math"/>
            </w:rPr>
            <m:t>_</m:t>
          </m:r>
          <m:r>
            <w:rPr>
              <w:rFonts w:ascii="Cambria Math" w:hAnsi="Cambria Math"/>
            </w:rPr>
            <m:t>decay</m:t>
          </m:r>
          <m:r>
            <w:rPr>
              <w:rFonts w:ascii="Cambria Math" w:hAnsi="Cambria Math"/>
            </w:rPr>
            <m:t>,</m:t>
          </m:r>
          <m:r>
            <w:rPr>
              <w:rFonts w:ascii="Cambria Math" w:hAnsi="Cambria Math"/>
            </w:rPr>
            <m:t>fp</m:t>
          </m:r>
          <m:r>
            <w:rPr>
              <w:rFonts w:ascii="Cambria Math" w:hAnsi="Cambria Math"/>
            </w:rPr>
            <m:t>(</m:t>
          </m:r>
          <m:r>
            <w:rPr>
              <w:rFonts w:ascii="Cambria Math" w:hAnsi="Cambria Math"/>
            </w:rPr>
            <m:t>t</m:t>
          </m:r>
          <m:r>
            <w:rPr>
              <w:rFonts w:ascii="Cambria Math" w:hAnsi="Cambria Math"/>
            </w:rPr>
            <m:t>) = ∫_{-∞}^{</m:t>
          </m:r>
          <m:r>
            <w:rPr>
              <w:rFonts w:ascii="Cambria Math" w:hAnsi="Cambria Math"/>
            </w:rPr>
            <m:t>t</m:t>
          </m:r>
          <m:r>
            <w:rPr>
              <w:rFonts w:ascii="Cambria Math" w:hAnsi="Cambria Math"/>
            </w:rPr>
            <m:t xml:space="preserve">} </m:t>
          </m:r>
          <m:r>
            <w:rPr>
              <w:rFonts w:ascii="Cambria Math" w:hAnsi="Cambria Math"/>
            </w:rPr>
            <m:t>P</m:t>
          </m:r>
          <m:r>
            <w:rPr>
              <w:rFonts w:ascii="Cambria Math" w:hAnsi="Cambria Math"/>
            </w:rPr>
            <m:t>_</m:t>
          </m:r>
          <m:r>
            <w:rPr>
              <w:rFonts w:ascii="Cambria Math" w:hAnsi="Cambria Math"/>
            </w:rPr>
            <m:t>fission</m:t>
          </m:r>
          <m:r>
            <w:rPr>
              <w:rFonts w:ascii="Cambria Math" w:hAnsi="Cambria Math"/>
            </w:rPr>
            <m:t>(</m:t>
          </m:r>
          <m:r>
            <w:rPr>
              <w:rFonts w:ascii="Cambria Math" w:hAnsi="Cambria Math"/>
            </w:rPr>
            <m:t>τ</m:t>
          </m:r>
          <m:r>
            <w:rPr>
              <w:rFonts w:ascii="Cambria Math" w:hAnsi="Cambria Math"/>
            </w:rPr>
            <m:t xml:space="preserve">) </m:t>
          </m:r>
          <m:r>
            <w:rPr>
              <w:rFonts w:ascii="Cambria Math" w:hAnsi="Cambria Math"/>
            </w:rPr>
            <m:t>k</m:t>
          </m:r>
          <m:r>
            <w:rPr>
              <w:rFonts w:ascii="Cambria Math" w:hAnsi="Cambria Math"/>
            </w:rPr>
            <m:t>_</m:t>
          </m:r>
          <m:r>
            <w:rPr>
              <w:rFonts w:ascii="Cambria Math" w:hAnsi="Cambria Math"/>
            </w:rPr>
            <m:t>ANS</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τ</m:t>
          </m:r>
          <m:r>
            <w:rPr>
              <w:rFonts w:ascii="Cambria Math" w:hAnsi="Cambria Math"/>
            </w:rPr>
            <m:t xml:space="preserve">) </m:t>
          </m:r>
          <m:r>
            <w:rPr>
              <w:rFonts w:ascii="Cambria Math" w:hAnsi="Cambria Math"/>
            </w:rPr>
            <m:t>dτ</m:t>
          </m:r>
        </m:oMath>
      </m:oMathPara>
    </w:p>
    <w:p w14:paraId="4740E3BC" w14:textId="77777777" w:rsidR="00372D82" w:rsidRDefault="00406E9C">
      <w:pPr>
        <w:pStyle w:val="BodyText"/>
      </w:pPr>
      <w:r>
        <w:t>where k_ANS is the ANSI/ANS-derived decay response kernel. The model therefore preserves the ANSI/ANS decay curve for an ideal shutdown from constant prior power, while also allowing decay heat to follow arbitrary transient fission-power histories.</w:t>
      </w:r>
    </w:p>
    <w:p w14:paraId="1F6D812F" w14:textId="77777777" w:rsidR="00372D82" w:rsidRDefault="00406E9C">
      <w:pPr>
        <w:pStyle w:val="BodyText"/>
      </w:pPr>
      <w:r>
        <w:t>The initial decay inventory is established from the assumed pre-transient operating history. The fission component is initialized consistently so that the total core power at time zero matches the intended initial reactor power rather than double-counting equilibrium decay heat. In simplified terms,</w:t>
      </w:r>
    </w:p>
    <w:p w14:paraId="4701B267" w14:textId="77777777" w:rsidR="00372D82" w:rsidRDefault="00406E9C">
      <w:pPr>
        <w:pStyle w:val="BodyText"/>
      </w:pPr>
      <m:oMathPara>
        <m:oMath>
          <m:r>
            <w:rPr>
              <w:rFonts w:ascii="Cambria Math" w:hAnsi="Cambria Math"/>
            </w:rPr>
            <m:t>P</m:t>
          </m:r>
          <m:r>
            <w:rPr>
              <w:rFonts w:ascii="Cambria Math" w:hAnsi="Cambria Math"/>
            </w:rPr>
            <m:t>_</m:t>
          </m:r>
          <m:r>
            <w:rPr>
              <w:rFonts w:ascii="Cambria Math" w:hAnsi="Cambria Math"/>
            </w:rPr>
            <m:t>fission</m:t>
          </m:r>
          <m:r>
            <w:rPr>
              <w:rFonts w:ascii="Cambria Math" w:hAnsi="Cambria Math"/>
            </w:rPr>
            <m:t xml:space="preserve">(0) = </m:t>
          </m:r>
          <m:r>
            <w:rPr>
              <w:rFonts w:ascii="Cambria Math" w:hAnsi="Cambria Math"/>
            </w:rPr>
            <m:t>P</m:t>
          </m:r>
          <m:r>
            <w:rPr>
              <w:rFonts w:ascii="Cambria Math" w:hAnsi="Cambria Math"/>
            </w:rPr>
            <m:t>_</m:t>
          </m:r>
          <m:r>
            <w:rPr>
              <w:rFonts w:ascii="Cambria Math" w:hAnsi="Cambria Math"/>
            </w:rPr>
            <m:t>initial</m:t>
          </m:r>
          <m:r>
            <w:rPr>
              <w:rFonts w:ascii="Cambria Math" w:hAnsi="Cambria Math"/>
            </w:rPr>
            <m:t xml:space="preserve"> - </m:t>
          </m:r>
          <m:r>
            <w:rPr>
              <w:rFonts w:ascii="Cambria Math" w:hAnsi="Cambria Math"/>
            </w:rPr>
            <m:t>P</m:t>
          </m:r>
          <m:r>
            <w:rPr>
              <w:rFonts w:ascii="Cambria Math" w:hAnsi="Cambria Math"/>
            </w:rPr>
            <m:t>_</m:t>
          </m:r>
          <m:r>
            <w:rPr>
              <w:rFonts w:ascii="Cambria Math" w:hAnsi="Cambria Math"/>
            </w:rPr>
            <m:t>decay</m:t>
          </m:r>
          <m:r>
            <w:rPr>
              <w:rFonts w:ascii="Cambria Math" w:hAnsi="Cambria Math"/>
            </w:rPr>
            <m:t>(0)</m:t>
          </m:r>
        </m:oMath>
      </m:oMathPara>
    </w:p>
    <w:p w14:paraId="2725FA74" w14:textId="77777777" w:rsidR="00372D82" w:rsidRDefault="00406E9C">
      <w:pPr>
        <w:pStyle w:val="BodyText"/>
      </w:pPr>
      <w:r>
        <w:t>so that</w:t>
      </w:r>
    </w:p>
    <w:p w14:paraId="7705F03B" w14:textId="77777777" w:rsidR="00372D82" w:rsidRDefault="00406E9C">
      <w:pPr>
        <w:pStyle w:val="BodyText"/>
      </w:pPr>
      <m:oMathPara>
        <m:oMath>
          <m:r>
            <w:rPr>
              <w:rFonts w:ascii="Cambria Math" w:hAnsi="Cambria Math"/>
            </w:rPr>
            <m:t>P</m:t>
          </m:r>
          <m:r>
            <w:rPr>
              <w:rFonts w:ascii="Cambria Math" w:hAnsi="Cambria Math"/>
            </w:rPr>
            <m:t>_</m:t>
          </m:r>
          <m:r>
            <w:rPr>
              <w:rFonts w:ascii="Cambria Math" w:hAnsi="Cambria Math"/>
            </w:rPr>
            <m:t>core</m:t>
          </m:r>
          <m:r>
            <w:rPr>
              <w:rFonts w:ascii="Cambria Math" w:hAnsi="Cambria Math"/>
            </w:rPr>
            <m:t xml:space="preserve">(0) = </m:t>
          </m:r>
          <m:r>
            <w:rPr>
              <w:rFonts w:ascii="Cambria Math" w:hAnsi="Cambria Math"/>
            </w:rPr>
            <m:t>P</m:t>
          </m:r>
          <m:r>
            <w:rPr>
              <w:rFonts w:ascii="Cambria Math" w:hAnsi="Cambria Math"/>
            </w:rPr>
            <m:t>_</m:t>
          </m:r>
          <m:r>
            <w:rPr>
              <w:rFonts w:ascii="Cambria Math" w:hAnsi="Cambria Math"/>
            </w:rPr>
            <m:t>initial</m:t>
          </m:r>
        </m:oMath>
      </m:oMathPara>
    </w:p>
    <w:p w14:paraId="39DDFB33" w14:textId="77777777" w:rsidR="00372D82" w:rsidRDefault="00406E9C">
      <w:pPr>
        <w:pStyle w:val="BodyText"/>
      </w:pPr>
      <w:r>
        <w:t>The actinide contribution associated with the ANSI/ANS model is retained as a simplified pre-transient correction in the current implementation. A fully dynamic actinide production-decay chain may be added later if higher fidelity is needed for long-duration overpower or ATWS cases.</w:t>
      </w:r>
    </w:p>
    <w:p w14:paraId="13FA9F6F" w14:textId="77777777" w:rsidR="00372D82" w:rsidRDefault="00406E9C">
      <w:pPr>
        <w:pStyle w:val="BodyText"/>
      </w:pPr>
      <w:r>
        <w:t>The output variables should be interpreted as follows: Fission Power (MW) is the point-kinetics fission-chain source; Decay Heat Power (MW) is the dynamically advanced ANSI/ANS decay-heat source; Core Power (MW) is the total heat source used by the thermal-hydraulic and fuel heat-transfer models. RK Total Power (MW), where retained for compatibility, is aligned with the combined core heat source rather than being treated as a post-scram-only decay-heat substitute.</w:t>
      </w:r>
    </w:p>
    <w:p w14:paraId="7E28ED85" w14:textId="77777777" w:rsidR="000F504F" w:rsidRDefault="00406E9C">
      <w:pPr>
        <w:pStyle w:val="Heading1"/>
        <w:keepNext/>
      </w:pPr>
      <w:bookmarkStart w:id="53" w:name="_Toc231232898"/>
      <w:r>
        <w:t>Chapter 6 — Trip and Protection System Models</w:t>
      </w:r>
      <w:bookmarkEnd w:id="53"/>
    </w:p>
    <w:p w14:paraId="032CF889" w14:textId="77777777" w:rsidR="000F504F" w:rsidRDefault="00406E9C">
      <w:pPr>
        <w:pStyle w:val="Heading2"/>
        <w:keepNext/>
      </w:pPr>
      <w:bookmarkStart w:id="54" w:name="_Toc231232899"/>
      <w:r>
        <w:t>6.1 Trip Logic</w:t>
      </w:r>
      <w:bookmarkEnd w:id="54"/>
    </w:p>
    <w:p w14:paraId="6F4764ED" w14:textId="77777777" w:rsidR="000F504F" w:rsidRDefault="00406E9C">
      <w:pPr>
        <w:pStyle w:val="FirstParagraph"/>
      </w:pPr>
      <w:r>
        <w:t>A reactor trip is initiated when any enabled trip condition becomes true. The trip state is latched:</w:t>
      </w:r>
    </w:p>
    <w:p w14:paraId="20F7CB0B"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trip</m:t>
              </m:r>
            </m:sub>
            <m:sup>
              <m:r>
                <w:rPr>
                  <w:rFonts w:ascii="Cambria Math" w:hAnsi="Cambria Math"/>
                </w:rPr>
                <m:t>n</m:t>
              </m:r>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trip</m:t>
              </m:r>
            </m:sub>
            <m:sup>
              <m:r>
                <w:rPr>
                  <w:rFonts w:ascii="Cambria Math" w:hAnsi="Cambria Math"/>
                </w:rPr>
                <m:t>n</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r>
                <w:rPr>
                  <w:rFonts w:ascii="Cambria Math" w:hAnsi="Cambria Math"/>
                </w:rPr>
                <m:t>ig</m:t>
              </m:r>
              <m:r>
                <w:rPr>
                  <w:rFonts w:ascii="Cambria Math" w:hAnsi="Cambria Math"/>
                </w:rPr>
                <m:t>h </m:t>
              </m:r>
              <m:r>
                <w:rPr>
                  <w:rFonts w:ascii="Cambria Math" w:hAnsi="Cambria Math"/>
                </w:rPr>
                <m:t>flux</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r>
                <w:rPr>
                  <w:rFonts w:ascii="Cambria Math" w:hAnsi="Cambria Math"/>
                </w:rPr>
                <m:t>ig</m:t>
              </m:r>
              <m:r>
                <w:rPr>
                  <w:rFonts w:ascii="Cambria Math" w:hAnsi="Cambria Math"/>
                </w:rPr>
                <m:t>h </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low</m:t>
              </m:r>
              <m:r>
                <w:rPr>
                  <w:rFonts w:ascii="Cambria Math" w:hAnsi="Cambria Math"/>
                </w:rPr>
                <m:t> </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low</m:t>
              </m:r>
              <m:r>
                <w:rPr>
                  <w:rFonts w:ascii="Cambria Math" w:hAnsi="Cambria Math"/>
                </w:rPr>
                <m:t> </m:t>
              </m:r>
              <m:r>
                <w:rPr>
                  <w:rFonts w:ascii="Cambria Math" w:hAnsi="Cambria Math"/>
                </w:rPr>
                <m:t>flow</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manual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r>
                <w:rPr>
                  <w:rFonts w:ascii="Cambria Math" w:hAnsi="Cambria Math"/>
                </w:rPr>
                <m:t>ig</m:t>
              </m:r>
              <m:r>
                <w:rPr>
                  <w:rFonts w:ascii="Cambria Math" w:hAnsi="Cambria Math"/>
                </w:rPr>
                <m:t>h </m:t>
              </m:r>
              <m:r>
                <w:rPr>
                  <w:rFonts w:ascii="Cambria Math" w:hAnsi="Cambria Math"/>
                </w:rPr>
                <m:t>Tclad</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6.1</m:t>
              </m:r>
            </m:e>
          </m:d>
        </m:oMath>
      </m:oMathPara>
    </w:p>
    <w:p w14:paraId="5D35219D" w14:textId="77777777" w:rsidR="000F504F" w:rsidRDefault="00406E9C">
      <w:pPr>
        <w:pStyle w:val="FirstParagraph"/>
      </w:pPr>
      <w:r>
        <w:t>Once latched, the trip state remains active. Scram insertion then follows the rod-worth ramp in Eq. (5.7).</w:t>
      </w:r>
    </w:p>
    <w:p w14:paraId="5A575BDA" w14:textId="77777777" w:rsidR="000F504F" w:rsidRDefault="00406E9C">
      <w:pPr>
        <w:pStyle w:val="Heading2"/>
        <w:keepNext/>
      </w:pPr>
      <w:bookmarkStart w:id="55" w:name="_Toc231232900"/>
      <w:r>
        <w:t>6.2 ESFAS Actuation</w:t>
      </w:r>
      <w:bookmarkEnd w:id="55"/>
    </w:p>
    <w:p w14:paraId="646B8F89" w14:textId="77777777" w:rsidR="000F504F" w:rsidRDefault="00406E9C">
      <w:pPr>
        <w:pStyle w:val="FirstParagraph"/>
      </w:pPr>
      <w:r>
        <w:t>Safety injection is actuated when the engineered safety features actuation signal is generated:</w:t>
      </w:r>
    </w:p>
    <w:p w14:paraId="0D6E76B4"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ESFAS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low</m:t>
              </m:r>
              <m:r>
                <w:rPr>
                  <w:rFonts w:ascii="Cambria Math" w:hAnsi="Cambria Math"/>
                </w:rPr>
                <m:t> </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h</m:t>
              </m:r>
              <m:r>
                <w:rPr>
                  <w:rFonts w:ascii="Cambria Math" w:hAnsi="Cambria Math"/>
                </w:rPr>
                <m:t>ig</m:t>
              </m:r>
              <m:r>
                <w:rPr>
                  <w:rFonts w:ascii="Cambria Math" w:hAnsi="Cambria Math"/>
                </w:rPr>
                <m:t>h </m:t>
              </m:r>
              <m:r>
                <w:rPr>
                  <w:rFonts w:ascii="Cambria Math" w:hAnsi="Cambria Math"/>
                </w:rPr>
                <m:t>containment</m:t>
              </m:r>
              <m:r>
                <w:rPr>
                  <w:rFonts w:ascii="Cambria Math" w:hAnsi="Cambria Math"/>
                </w:rPr>
                <m:t> </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manual</m:t>
              </m:r>
              <m:r>
                <w:rPr>
                  <w:rFonts w:ascii="Cambria Math" w:hAnsi="Cambria Math"/>
                </w:rPr>
                <m:t> </m:t>
              </m:r>
              <m:r>
                <w:rPr>
                  <w:rFonts w:ascii="Cambria Math" w:hAnsi="Cambria Math"/>
                </w:rPr>
                <m:t>SI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6.2</m:t>
              </m:r>
            </m:e>
          </m:d>
        </m:oMath>
      </m:oMathPara>
    </w:p>
    <w:p w14:paraId="61CC9B80" w14:textId="77777777" w:rsidR="000F504F" w:rsidRDefault="00406E9C">
      <w:pPr>
        <w:pStyle w:val="FirstParagraph"/>
      </w:pPr>
      <w:r>
        <w:t>The availability of each injection source is calculated from the actuation time plus any specified delay. This allows FLARE to represent simplified diesel-generator sequencing, valve-opening delays, or pump-start delays without detailed electrical-system modeling.</w:t>
      </w:r>
    </w:p>
    <w:p w14:paraId="01765B9D" w14:textId="77777777" w:rsidR="000F504F" w:rsidRDefault="00406E9C">
      <w:pPr>
        <w:pStyle w:val="Heading2"/>
        <w:keepNext/>
      </w:pPr>
      <w:bookmarkStart w:id="56" w:name="_Toc231232901"/>
      <w:r>
        <w:t>6.3 Numerical Latching and Event Reporting</w:t>
      </w:r>
      <w:bookmarkEnd w:id="56"/>
    </w:p>
    <w:p w14:paraId="34A54EE8" w14:textId="77777777" w:rsidR="000F504F" w:rsidRDefault="00406E9C">
      <w:pPr>
        <w:pStyle w:val="FirstParagraph"/>
      </w:pPr>
      <w:r>
        <w:t xml:space="preserve">Trips, SI actuation, PORV opening, accumulator start, and containment spray actuation are recorded as sequence-of-events quantities. A latch variable </w:t>
      </w:r>
      <m:oMath>
        <m:r>
          <w:rPr>
            <w:rFonts w:ascii="Cambria Math" w:hAnsi="Cambria Math"/>
          </w:rPr>
          <m:t>L</m:t>
        </m:r>
      </m:oMath>
      <w:r>
        <w:t xml:space="preserve"> is updated as</w:t>
      </w:r>
    </w:p>
    <w:p w14:paraId="44D0EEF4" w14:textId="77777777" w:rsidR="000F504F" w:rsidRDefault="00406E9C">
      <w:pPr>
        <w:pStyle w:val="BodyText"/>
      </w:pPr>
      <m:oMathPara>
        <m:oMathParaPr>
          <m:jc m:val="center"/>
        </m:oMathParaPr>
        <m:oMath>
          <m:sSup>
            <m:sSupPr>
              <m:ctrlPr>
                <w:rPr>
                  <w:rFonts w:ascii="Cambria Math" w:hAnsi="Cambria Math"/>
                </w:rPr>
              </m:ctrlPr>
            </m:sSupPr>
            <m:e>
              <m:r>
                <w:rPr>
                  <w:rFonts w:ascii="Cambria Math" w:hAnsi="Cambria Math"/>
                </w:rPr>
                <m:t>L</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=max</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n</m:t>
                  </m:r>
                </m:sup>
              </m:s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6.3</m:t>
              </m:r>
            </m:e>
          </m:d>
        </m:oMath>
      </m:oMathPara>
    </w:p>
    <w:p w14:paraId="1E6BCF5C" w14:textId="77777777" w:rsidR="000F504F" w:rsidRDefault="00406E9C">
      <w:pPr>
        <w:pStyle w:val="FirstParagraph"/>
      </w:pPr>
      <w:r>
        <w:t xml:space="preserve">The first time at which </w:t>
      </w:r>
      <m:oMath>
        <m:sSup>
          <m:sSupPr>
            <m:ctrlPr>
              <w:rPr>
                <w:rFonts w:ascii="Cambria Math" w:hAnsi="Cambria Math"/>
              </w:rPr>
            </m:ctrlPr>
          </m:sSupPr>
          <m:e>
            <m:r>
              <w:rPr>
                <w:rFonts w:ascii="Cambria Math" w:hAnsi="Cambria Math"/>
              </w:rPr>
              <m:t>I</m:t>
            </m:r>
          </m:e>
          <m:sup>
            <m:r>
              <w:rPr>
                <w:rFonts w:ascii="Cambria Math" w:hAnsi="Cambria Math"/>
              </w:rPr>
              <m:t>n</m:t>
            </m:r>
          </m:sup>
        </m:sSup>
        <m:r>
          <m:rPr>
            <m:sty m:val="p"/>
          </m:rPr>
          <w:rPr>
            <w:rFonts w:ascii="Cambria Math" w:hAnsi="Cambria Math"/>
          </w:rPr>
          <m:t>=</m:t>
        </m:r>
        <m:r>
          <w:rPr>
            <w:rFonts w:ascii="Cambria Math" w:hAnsi="Cambria Math"/>
          </w:rPr>
          <m:t>1</m:t>
        </m:r>
      </m:oMath>
      <w:r>
        <w:t xml:space="preserve"> is stored as the event time. This logic prevents repeated reporting of cycling signals and supports the event narrative and batch-report generation.</w:t>
      </w:r>
    </w:p>
    <w:p w14:paraId="04457876" w14:textId="77777777" w:rsidR="000F504F" w:rsidRDefault="00406E9C">
      <w:pPr>
        <w:pStyle w:val="Heading1"/>
        <w:keepNext/>
      </w:pPr>
      <w:bookmarkStart w:id="57" w:name="_Toc231232902"/>
      <w:r>
        <w:lastRenderedPageBreak/>
        <w:t>Chapter 7 — FLARECON Containment Response Model</w:t>
      </w:r>
      <w:bookmarkEnd w:id="57"/>
    </w:p>
    <w:p w14:paraId="782AFF23" w14:textId="77777777" w:rsidR="000F504F" w:rsidRDefault="00406E9C">
      <w:pPr>
        <w:pStyle w:val="Heading2"/>
        <w:keepNext/>
      </w:pPr>
      <w:bookmarkStart w:id="58" w:name="_Toc231232903"/>
      <w:r>
        <w:t>7.1 Physical Scope</w:t>
      </w:r>
      <w:bookmarkEnd w:id="58"/>
    </w:p>
    <w:p w14:paraId="248ACB5E" w14:textId="77777777" w:rsidR="000F504F" w:rsidRDefault="00406E9C">
      <w:pPr>
        <w:pStyle w:val="FirstParagraph"/>
      </w:pPr>
      <w:r>
        <w:t>FLARECON is a single-node dry-containment response model. The containment free volume is assumed to contain a well-mixed gas mixture of dry air, steam, and hydrogen. The model tracks gas pressure, gas temperature, gas composition, wall/liner heat removal, floor/sump behavior, condensation, spray heat removal, optional sump cooling, and hydrogen flammability status.</w:t>
      </w:r>
    </w:p>
    <w:p w14:paraId="7BA88D1E" w14:textId="77777777" w:rsidR="000F504F" w:rsidRDefault="00406E9C">
      <w:pPr>
        <w:pStyle w:val="BodyText"/>
      </w:pPr>
      <w:r>
        <w:t>The state vector can be written as</w:t>
      </w:r>
    </w:p>
    <w:p w14:paraId="0C3AAC0A" w14:textId="77777777" w:rsidR="000F504F" w:rsidRDefault="00406E9C">
      <w:pPr>
        <w:pStyle w:val="BodyText"/>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CON</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air</m:t>
                            </m:r>
                          </m:sub>
                        </m:sSub>
                      </m:e>
                      <m:e>
                        <m:sSub>
                          <m:sSubPr>
                            <m:ctrlPr>
                              <w:rPr>
                                <w:rFonts w:ascii="Cambria Math" w:hAnsi="Cambria Math"/>
                              </w:rPr>
                            </m:ctrlPr>
                          </m:sSubPr>
                          <m:e>
                            <m:r>
                              <w:rPr>
                                <w:rFonts w:ascii="Cambria Math" w:hAnsi="Cambria Math"/>
                              </w:rPr>
                              <m:t>M</m:t>
                            </m:r>
                          </m:e>
                          <m:sub>
                            <m:r>
                              <w:rPr>
                                <w:rFonts w:ascii="Cambria Math" w:hAnsi="Cambria Math"/>
                              </w:rPr>
                              <m:t>s</m:t>
                            </m:r>
                          </m:sub>
                        </m:sSub>
                      </m:e>
                      <m:e>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e>
                      <m:e>
                        <m:sSub>
                          <m:sSubPr>
                            <m:ctrlPr>
                              <w:rPr>
                                <w:rFonts w:ascii="Cambria Math" w:hAnsi="Cambria Math"/>
                              </w:rPr>
                            </m:ctrlPr>
                          </m:sSubPr>
                          <m:e>
                            <m:r>
                              <w:rPr>
                                <w:rFonts w:ascii="Cambria Math" w:hAnsi="Cambria Math"/>
                              </w:rPr>
                              <m:t>U</m:t>
                            </m:r>
                          </m:e>
                          <m:sub>
                            <m:r>
                              <w:rPr>
                                <w:rFonts w:ascii="Cambria Math" w:hAnsi="Cambria Math"/>
                              </w:rPr>
                              <m:t>g</m:t>
                            </m:r>
                          </m:sub>
                        </m:sSub>
                      </m:e>
                      <m:e>
                        <m:sSub>
                          <m:sSubPr>
                            <m:ctrlPr>
                              <w:rPr>
                                <w:rFonts w:ascii="Cambria Math" w:hAnsi="Cambria Math"/>
                              </w:rPr>
                            </m:ctrlPr>
                          </m:sSubPr>
                          <m:e>
                            <m:r>
                              <w:rPr>
                                <w:rFonts w:ascii="Cambria Math" w:hAnsi="Cambria Math"/>
                              </w:rPr>
                              <m:t>T</m:t>
                            </m:r>
                          </m:e>
                          <m:sub>
                            <m:r>
                              <w:rPr>
                                <w:rFonts w:ascii="Cambria Math" w:hAnsi="Cambria Math"/>
                              </w:rPr>
                              <m:t>wall</m:t>
                            </m:r>
                          </m:sub>
                        </m:sSub>
                      </m:e>
                      <m:e>
                        <m:sSub>
                          <m:sSubPr>
                            <m:ctrlPr>
                              <w:rPr>
                                <w:rFonts w:ascii="Cambria Math" w:hAnsi="Cambria Math"/>
                              </w:rPr>
                            </m:ctrlPr>
                          </m:sSubPr>
                          <m:e>
                            <m:r>
                              <w:rPr>
                                <w:rFonts w:ascii="Cambria Math" w:hAnsi="Cambria Math"/>
                              </w:rPr>
                              <m:t>T</m:t>
                            </m:r>
                          </m:e>
                          <m:sub>
                            <m:r>
                              <w:rPr>
                                <w:rFonts w:ascii="Cambria Math" w:hAnsi="Cambria Math"/>
                              </w:rPr>
                              <m:t>floor</m:t>
                            </m:r>
                          </m:sub>
                        </m:sSub>
                      </m:e>
                      <m:e>
                        <m:sSub>
                          <m:sSubPr>
                            <m:ctrlPr>
                              <w:rPr>
                                <w:rFonts w:ascii="Cambria Math" w:hAnsi="Cambria Math"/>
                              </w:rPr>
                            </m:ctrlPr>
                          </m:sSubPr>
                          <m:e>
                            <m:r>
                              <w:rPr>
                                <w:rFonts w:ascii="Cambria Math" w:hAnsi="Cambria Math"/>
                              </w:rPr>
                              <m:t>M</m:t>
                            </m:r>
                          </m:e>
                          <m:sub>
                            <m:r>
                              <w:rPr>
                                <w:rFonts w:ascii="Cambria Math" w:hAnsi="Cambria Math"/>
                              </w:rPr>
                              <m:t>sump</m:t>
                            </m:r>
                          </m:sub>
                        </m:sSub>
                      </m:e>
                    </m:mr>
                  </m:m>
                </m:e>
              </m:d>
            </m:e>
            <m:sup>
              <m:r>
                <w:rPr>
                  <w:rFonts w:ascii="Cambria Math" w:hAnsi="Cambria Math"/>
                </w:rPr>
                <m:t>T</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m:t>
              </m:r>
            </m:e>
          </m:d>
        </m:oMath>
      </m:oMathPara>
    </w:p>
    <w:p w14:paraId="41E6C417" w14:textId="77777777" w:rsidR="000F504F" w:rsidRDefault="00406E9C">
      <w:pPr>
        <w:pStyle w:val="FirstParagraph"/>
      </w:pPr>
      <w:r>
        <w:t>The model is driven by source terms derived from the FLARE RCS output: break mass flow, break enthalpy, and hydrogen generation.</w:t>
      </w:r>
    </w:p>
    <w:p w14:paraId="4CFD72A2" w14:textId="77777777" w:rsidR="000F504F" w:rsidRDefault="00406E9C">
      <w:pPr>
        <w:pStyle w:val="Heading2"/>
        <w:keepNext/>
      </w:pPr>
      <w:bookmarkStart w:id="59" w:name="_Toc231232904"/>
      <w:r>
        <w:t>7.2 Species Mass Balances</w:t>
      </w:r>
      <w:bookmarkEnd w:id="59"/>
    </w:p>
    <w:p w14:paraId="3223873F" w14:textId="77777777" w:rsidR="000F504F" w:rsidRDefault="00406E9C">
      <w:pPr>
        <w:pStyle w:val="FirstParagraph"/>
      </w:pPr>
      <w:r>
        <w:t>The dry-air mass is constant unless a user-specified leakage or purge model is activated:</w:t>
      </w:r>
    </w:p>
    <w:p w14:paraId="18083FED"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air</m:t>
                  </m:r>
                </m:sub>
              </m:sSub>
            </m:num>
            <m:den>
              <m:r>
                <w:rPr>
                  <w:rFonts w:ascii="Cambria Math" w:hAnsi="Cambria Math"/>
                </w:rPr>
                <m:t>dt</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m:t>
              </m:r>
            </m:e>
          </m:d>
        </m:oMath>
      </m:oMathPara>
    </w:p>
    <w:p w14:paraId="0F8917E1" w14:textId="77777777" w:rsidR="000F504F" w:rsidRDefault="00406E9C">
      <w:pPr>
        <w:pStyle w:val="FirstParagraph"/>
      </w:pPr>
      <w:r>
        <w:t>The steam mass balance is</w:t>
      </w:r>
    </w:p>
    <w:p w14:paraId="1965CFBC"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s</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s</m:t>
              </m:r>
              <m:r>
                <m:rPr>
                  <m:sty m:val="p"/>
                </m:rPr>
                <w:rPr>
                  <w:rFonts w:ascii="Cambria Math" w:hAnsi="Cambria Math"/>
                </w:rPr>
                <m:t>,</m:t>
              </m:r>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cond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spray</m:t>
              </m:r>
              <m:r>
                <m:rPr>
                  <m:sty m:val="p"/>
                </m:rPr>
                <w:rPr>
                  <w:rFonts w:ascii="Cambria Math" w:hAnsi="Cambria Math"/>
                </w:rPr>
                <m:t>,</m:t>
              </m:r>
              <m:r>
                <w:rPr>
                  <w:rFonts w:ascii="Cambria Math" w:hAnsi="Cambria Math"/>
                </w:rPr>
                <m:t>evap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leak</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13.3</m:t>
              </m:r>
            </m:e>
          </m:d>
        </m:oMath>
      </m:oMathPara>
    </w:p>
    <w:p w14:paraId="71DF0D3A" w14:textId="77777777" w:rsidR="000F504F" w:rsidRDefault="00406E9C">
      <w:pPr>
        <w:pStyle w:val="FirstParagraph"/>
      </w:pPr>
      <w:r>
        <w:t>The hydrogen mass balance is</w:t>
      </w:r>
    </w:p>
    <w:p w14:paraId="150B512D"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leak</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13.4</m:t>
              </m:r>
            </m:e>
          </m:d>
        </m:oMath>
      </m:oMathPara>
    </w:p>
    <w:p w14:paraId="6E35DC6C" w14:textId="77777777" w:rsidR="000F504F" w:rsidRDefault="00406E9C">
      <w:pPr>
        <w:pStyle w:val="FirstParagraph"/>
      </w:pPr>
      <w:r>
        <w:t>The sump liquid mass balance is</w:t>
      </w:r>
    </w:p>
    <w:p w14:paraId="23561A77"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r>
                    <w:rPr>
                      <w:rFonts w:ascii="Cambria Math" w:hAnsi="Cambria Math"/>
                    </w:rPr>
                    <m:t>sump</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l</m:t>
              </m:r>
              <m:r>
                <m:rPr>
                  <m:sty m:val="p"/>
                </m:rPr>
                <w:rPr>
                  <w:rFonts w:ascii="Cambria Math" w:hAnsi="Cambria Math"/>
                </w:rPr>
                <m:t>,</m:t>
              </m:r>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cond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spray</m:t>
              </m:r>
              <m:r>
                <m:rPr>
                  <m:sty m:val="p"/>
                </m:rPr>
                <w:rPr>
                  <w:rFonts w:ascii="Cambria Math" w:hAnsi="Cambria Math"/>
                </w:rPr>
                <m:t>,</m:t>
              </m:r>
              <m:r>
                <w:rPr>
                  <w:rFonts w:ascii="Cambria Math" w:hAnsi="Cambria Math"/>
                </w:rPr>
                <m:t>evap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drain</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13.5</m:t>
              </m:r>
            </m:e>
          </m:d>
        </m:oMath>
      </m:oMathPara>
    </w:p>
    <w:p w14:paraId="39420B31" w14:textId="77777777" w:rsidR="000F504F" w:rsidRDefault="00406E9C">
      <w:pPr>
        <w:pStyle w:val="FirstParagraph"/>
      </w:pPr>
      <w:r>
        <w:t>The sump level is</w:t>
      </w:r>
    </w:p>
    <w:p w14:paraId="35B426FA"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sump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sump</m:t>
                  </m:r>
                </m:sub>
              </m:sSub>
            </m:num>
            <m:den>
              <m:sSub>
                <m:sSubPr>
                  <m:ctrlPr>
                    <w:rPr>
                      <w:rFonts w:ascii="Cambria Math" w:hAnsi="Cambria Math"/>
                    </w:rPr>
                  </m:ctrlPr>
                </m:sSubPr>
                <m:e>
                  <m:r>
                    <w:rPr>
                      <w:rFonts w:ascii="Cambria Math" w:hAnsi="Cambria Math"/>
                    </w:rPr>
                    <m:t>ρ</m:t>
                  </m:r>
                </m:e>
                <m:sub>
                  <m:r>
                    <w:rPr>
                      <w:rFonts w:ascii="Cambria Math" w:hAnsi="Cambria Math"/>
                    </w:rPr>
                    <m:t>l</m:t>
                  </m:r>
                </m:sub>
              </m:sSub>
              <m:sSub>
                <m:sSubPr>
                  <m:ctrlPr>
                    <w:rPr>
                      <w:rFonts w:ascii="Cambria Math" w:hAnsi="Cambria Math"/>
                    </w:rPr>
                  </m:ctrlPr>
                </m:sSubPr>
                <m:e>
                  <m:r>
                    <w:rPr>
                      <w:rFonts w:ascii="Cambria Math" w:hAnsi="Cambria Math"/>
                    </w:rPr>
                    <m:t>A</m:t>
                  </m:r>
                </m:e>
                <m:sub>
                  <m:r>
                    <w:rPr>
                      <w:rFonts w:ascii="Cambria Math" w:hAnsi="Cambria Math"/>
                    </w:rPr>
                    <m:t>floor</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13.6</m:t>
              </m:r>
            </m:e>
          </m:d>
        </m:oMath>
      </m:oMathPara>
    </w:p>
    <w:p w14:paraId="5B4805EF" w14:textId="77777777" w:rsidR="000F504F" w:rsidRDefault="00406E9C">
      <w:pPr>
        <w:pStyle w:val="Heading2"/>
        <w:keepNext/>
      </w:pPr>
      <w:bookmarkStart w:id="60" w:name="_Toc231232905"/>
      <w:r>
        <w:t>7.3 Gas Equation of State</w:t>
      </w:r>
      <w:bookmarkEnd w:id="60"/>
    </w:p>
    <w:p w14:paraId="751875BE" w14:textId="77777777" w:rsidR="000F504F" w:rsidRDefault="00406E9C">
      <w:pPr>
        <w:pStyle w:val="FirstParagraph"/>
      </w:pPr>
      <w:r>
        <w:t>Air and hydrogen are treated as ideal gases:</w:t>
      </w:r>
    </w:p>
    <w:p w14:paraId="4669E4A5"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air</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air</m:t>
                  </m:r>
                </m:sub>
              </m:sSub>
              <m:sSub>
                <m:sSubPr>
                  <m:ctrlPr>
                    <w:rPr>
                      <w:rFonts w:ascii="Cambria Math" w:hAnsi="Cambria Math"/>
                    </w:rPr>
                  </m:ctrlPr>
                </m:sSubPr>
                <m:e>
                  <m:r>
                    <w:rPr>
                      <w:rFonts w:ascii="Cambria Math" w:hAnsi="Cambria Math"/>
                    </w:rPr>
                    <m:t>R</m:t>
                  </m:r>
                </m:e>
                <m:sub>
                  <m:r>
                    <w:rPr>
                      <w:rFonts w:ascii="Cambria Math" w:hAnsi="Cambria Math"/>
                    </w:rPr>
                    <m:t>air</m:t>
                  </m:r>
                </m:sub>
              </m:sSub>
              <m:sSub>
                <m:sSubPr>
                  <m:ctrlPr>
                    <w:rPr>
                      <w:rFonts w:ascii="Cambria Math" w:hAnsi="Cambria Math"/>
                    </w:rPr>
                  </m:ctrlPr>
                </m:sSubPr>
                <m:e>
                  <m:r>
                    <w:rPr>
                      <w:rFonts w:ascii="Cambria Math" w:hAnsi="Cambria Math"/>
                    </w:rPr>
                    <m:t>T</m:t>
                  </m:r>
                </m:e>
                <m:sub>
                  <m:r>
                    <w:rPr>
                      <w:rFonts w:ascii="Cambria Math" w:hAnsi="Cambria Math"/>
                    </w:rPr>
                    <m:t>g</m:t>
                  </m:r>
                </m:sub>
              </m:sSub>
            </m:num>
            <m:den>
              <m:sSub>
                <m:sSubPr>
                  <m:ctrlPr>
                    <w:rPr>
                      <w:rFonts w:ascii="Cambria Math" w:hAnsi="Cambria Math"/>
                    </w:rPr>
                  </m:ctrlPr>
                </m:sSubPr>
                <m:e>
                  <m:r>
                    <w:rPr>
                      <w:rFonts w:ascii="Cambria Math" w:hAnsi="Cambria Math"/>
                    </w:rPr>
                    <m:t>V</m:t>
                  </m:r>
                </m:e>
                <m:sub>
                  <m:r>
                    <w:rPr>
                      <w:rFonts w:ascii="Cambria Math" w:hAnsi="Cambria Math"/>
                    </w:rPr>
                    <m:t>g</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H</m:t>
                      </m:r>
                    </m:e>
                    <m:sub>
                      <m:r>
                        <w:rPr>
                          <w:rFonts w:ascii="Cambria Math" w:hAnsi="Cambria Math"/>
                        </w:rPr>
                        <m:t>2</m:t>
                      </m:r>
                    </m:sub>
                  </m:sSub>
                </m:sub>
              </m:sSub>
              <m:sSub>
                <m:sSubPr>
                  <m:ctrlPr>
                    <w:rPr>
                      <w:rFonts w:ascii="Cambria Math" w:hAnsi="Cambria Math"/>
                    </w:rPr>
                  </m:ctrlPr>
                </m:sSubPr>
                <m:e>
                  <m:r>
                    <w:rPr>
                      <w:rFonts w:ascii="Cambria Math" w:hAnsi="Cambria Math"/>
                    </w:rPr>
                    <m:t>T</m:t>
                  </m:r>
                </m:e>
                <m:sub>
                  <m:r>
                    <w:rPr>
                      <w:rFonts w:ascii="Cambria Math" w:hAnsi="Cambria Math"/>
                    </w:rPr>
                    <m:t>g</m:t>
                  </m:r>
                </m:sub>
              </m:sSub>
            </m:num>
            <m:den>
              <m:sSub>
                <m:sSubPr>
                  <m:ctrlPr>
                    <w:rPr>
                      <w:rFonts w:ascii="Cambria Math" w:hAnsi="Cambria Math"/>
                    </w:rPr>
                  </m:ctrlPr>
                </m:sSubPr>
                <m:e>
                  <m:r>
                    <w:rPr>
                      <w:rFonts w:ascii="Cambria Math" w:hAnsi="Cambria Math"/>
                    </w:rPr>
                    <m:t>V</m:t>
                  </m:r>
                </m:e>
                <m:sub>
                  <m:r>
                    <w:rPr>
                      <w:rFonts w:ascii="Cambria Math" w:hAnsi="Cambria Math"/>
                    </w:rPr>
                    <m:t>g</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13.7</m:t>
              </m:r>
            </m:e>
          </m:d>
        </m:oMath>
      </m:oMathPara>
    </w:p>
    <w:p w14:paraId="67757A10" w14:textId="77777777" w:rsidR="000F504F" w:rsidRDefault="00406E9C">
      <w:pPr>
        <w:pStyle w:val="FirstParagraph"/>
      </w:pPr>
      <w:r>
        <w:t>The steam partial pressure is limited by saturation at the gas temperature:</w:t>
      </w:r>
    </w:p>
    <w:p w14:paraId="20D895C6"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13.8</m:t>
              </m:r>
            </m:e>
          </m:d>
        </m:oMath>
      </m:oMathPara>
    </w:p>
    <w:p w14:paraId="2FF69E3A" w14:textId="77777777" w:rsidR="000F504F" w:rsidRDefault="00406E9C">
      <w:pPr>
        <w:pStyle w:val="FirstParagraph"/>
      </w:pPr>
      <w:r>
        <w:t>If the steam mass would imply a partial pressure above saturation, the excess steam condenses:</w:t>
      </w:r>
    </w:p>
    <w:p w14:paraId="2320F3FC"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eq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e>
              </m:d>
              <m:sSub>
                <m:sSubPr>
                  <m:ctrlPr>
                    <w:rPr>
                      <w:rFonts w:ascii="Cambria Math" w:hAnsi="Cambria Math"/>
                    </w:rPr>
                  </m:ctrlPr>
                </m:sSubPr>
                <m:e>
                  <m:r>
                    <w:rPr>
                      <w:rFonts w:ascii="Cambria Math" w:hAnsi="Cambria Math"/>
                    </w:rPr>
                    <m:t>V</m:t>
                  </m:r>
                </m:e>
                <m:sub>
                  <m:r>
                    <w:rPr>
                      <w:rFonts w:ascii="Cambria Math" w:hAnsi="Cambria Math"/>
                    </w:rPr>
                    <m:t>g</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T</m:t>
                  </m:r>
                </m:e>
                <m:sub>
                  <m:r>
                    <w:rPr>
                      <w:rFonts w:ascii="Cambria Math" w:hAnsi="Cambria Math"/>
                    </w:rPr>
                    <m:t>g</m:t>
                  </m:r>
                </m:sub>
              </m:sSub>
            </m:den>
          </m:f>
          <m:r>
            <m:rPr>
              <m:sty m:val="p"/>
            </m:rPr>
            <w:rPr>
              <w:rFonts w:ascii="Cambria Math" w:hAnsi="Cambria Math"/>
            </w:rPr>
            <m:t>,</m:t>
          </m:r>
          <m:r>
            <w:rPr>
              <w:rFonts w:ascii="Cambria Math" w:hAnsi="Cambria Math"/>
            </w:rPr>
            <m:t>  </m:t>
          </m:r>
          <m:r>
            <w:rPr>
              <w:rFonts w:ascii="Cambria Math" w:hAnsi="Cambria Math"/>
            </w:rPr>
            <m:t>Δ</m:t>
          </m:r>
          <m:sSub>
            <m:sSubPr>
              <m:ctrlPr>
                <w:rPr>
                  <w:rFonts w:ascii="Cambria Math" w:hAnsi="Cambria Math"/>
                </w:rPr>
              </m:ctrlPr>
            </m:sSubPr>
            <m:e>
              <m:r>
                <w:rPr>
                  <w:rFonts w:ascii="Cambria Math" w:hAnsi="Cambria Math"/>
                </w:rPr>
                <m:t>M</m:t>
              </m:r>
            </m:e>
            <m:sub>
              <m:r>
                <w:rPr>
                  <w:rFonts w:ascii="Cambria Math" w:hAnsi="Cambria Math"/>
                </w:rPr>
                <m:t>cond</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eq</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13.9</m:t>
              </m:r>
            </m:e>
          </m:d>
        </m:oMath>
      </m:oMathPara>
    </w:p>
    <w:p w14:paraId="423CC704" w14:textId="77777777" w:rsidR="000F504F" w:rsidRDefault="00406E9C">
      <w:pPr>
        <w:pStyle w:val="FirstParagraph"/>
      </w:pPr>
      <w:r>
        <w:lastRenderedPageBreak/>
        <w:t>Total pressure is the sum of partial pressures:</w:t>
      </w:r>
    </w:p>
    <w:p w14:paraId="30ABAE55"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tot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air</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13.10</m:t>
              </m:r>
            </m:e>
          </m:d>
        </m:oMath>
      </m:oMathPara>
    </w:p>
    <w:p w14:paraId="454BD077" w14:textId="77777777" w:rsidR="000F504F" w:rsidRDefault="00406E9C">
      <w:pPr>
        <w:pStyle w:val="FirstParagraph"/>
      </w:pPr>
      <w:r>
        <w:t>The hydrogen and steam volume fractions are</w:t>
      </w:r>
    </w:p>
    <w:p w14:paraId="08893A0E"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H</m:t>
                      </m:r>
                    </m:e>
                    <m:sub>
                      <m:r>
                        <w:rPr>
                          <w:rFonts w:ascii="Cambria Math" w:hAnsi="Cambria Math"/>
                        </w:rPr>
                        <m:t>2</m:t>
                      </m:r>
                    </m:sub>
                  </m:sSub>
                </m:sub>
              </m:sSub>
            </m:num>
            <m:den>
              <m:sSub>
                <m:sSubPr>
                  <m:ctrlPr>
                    <w:rPr>
                      <w:rFonts w:ascii="Cambria Math" w:hAnsi="Cambria Math"/>
                    </w:rPr>
                  </m:ctrlPr>
                </m:sSubPr>
                <m:e>
                  <m:r>
                    <w:rPr>
                      <w:rFonts w:ascii="Cambria Math" w:hAnsi="Cambria Math"/>
                    </w:rPr>
                    <m:t>P</m:t>
                  </m:r>
                </m:e>
                <m:sub>
                  <m:r>
                    <w:rPr>
                      <w:rFonts w:ascii="Cambria Math" w:hAnsi="Cambria Math"/>
                    </w:rPr>
                    <m:t>tot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m:t>
                  </m:r>
                </m:sub>
              </m:sSub>
            </m:num>
            <m:den>
              <m:sSub>
                <m:sSubPr>
                  <m:ctrlPr>
                    <w:rPr>
                      <w:rFonts w:ascii="Cambria Math" w:hAnsi="Cambria Math"/>
                    </w:rPr>
                  </m:ctrlPr>
                </m:sSubPr>
                <m:e>
                  <m:r>
                    <w:rPr>
                      <w:rFonts w:ascii="Cambria Math" w:hAnsi="Cambria Math"/>
                    </w:rPr>
                    <m:t>P</m:t>
                  </m:r>
                </m:e>
                <m:sub>
                  <m:r>
                    <w:rPr>
                      <w:rFonts w:ascii="Cambria Math" w:hAnsi="Cambria Math"/>
                    </w:rPr>
                    <m:t>tot</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13.11</m:t>
              </m:r>
            </m:e>
          </m:d>
        </m:oMath>
      </m:oMathPara>
    </w:p>
    <w:p w14:paraId="1384CFE1" w14:textId="77777777" w:rsidR="000F504F" w:rsidRDefault="00406E9C">
      <w:pPr>
        <w:pStyle w:val="Heading2"/>
        <w:keepNext/>
      </w:pPr>
      <w:bookmarkStart w:id="61" w:name="_Toc231232906"/>
      <w:r>
        <w:t>7.4 Containment Gas Energy Balance</w:t>
      </w:r>
      <w:bookmarkEnd w:id="61"/>
    </w:p>
    <w:p w14:paraId="6927A554" w14:textId="77777777" w:rsidR="000F504F" w:rsidRDefault="00406E9C">
      <w:pPr>
        <w:pStyle w:val="FirstParagraph"/>
      </w:pPr>
      <w:r>
        <w:t>The gas energy balance is</w:t>
      </w:r>
    </w:p>
    <w:p w14:paraId="30FE895E" w14:textId="77777777" w:rsidR="000F504F" w:rsidRDefault="00406E9C">
      <w:pPr>
        <w:pStyle w:val="BodyText"/>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g</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wall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floor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spray</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LHSI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leak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13.12</m:t>
              </m:r>
            </m:e>
          </m:d>
        </m:oMath>
      </m:oMathPara>
    </w:p>
    <w:p w14:paraId="2FE8ACAC" w14:textId="77777777" w:rsidR="000F504F" w:rsidRDefault="00406E9C">
      <w:pPr>
        <w:pStyle w:val="FirstParagraph"/>
      </w:pPr>
      <w:r>
        <w:t>The source enthalpy rate from the RCS break is</w:t>
      </w:r>
    </w:p>
    <w:p w14:paraId="0C350DF1"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break</m:t>
              </m:r>
            </m:sub>
          </m:sSub>
          <m:sSub>
            <m:sSubPr>
              <m:ctrlPr>
                <w:rPr>
                  <w:rFonts w:ascii="Cambria Math" w:hAnsi="Cambria Math"/>
                </w:rPr>
              </m:ctrlPr>
            </m:sSubPr>
            <m:e>
              <m:r>
                <w:rPr>
                  <w:rFonts w:ascii="Cambria Math" w:hAnsi="Cambria Math"/>
                </w:rPr>
                <m:t>h</m:t>
              </m:r>
            </m:e>
            <m:sub>
              <m:r>
                <w:rPr>
                  <w:rFonts w:ascii="Cambria Math" w:hAnsi="Cambria Math"/>
                </w:rPr>
                <m:t>break</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13.13</m:t>
              </m:r>
            </m:e>
          </m:d>
        </m:oMath>
      </m:oMathPara>
    </w:p>
    <w:p w14:paraId="6A6486A7" w14:textId="77777777" w:rsidR="000F504F" w:rsidRDefault="00406E9C">
      <w:pPr>
        <w:pStyle w:val="FirstParagraph"/>
      </w:pPr>
      <w:r>
        <w:t>The gas internal energy is approximated by a species sum:</w:t>
      </w:r>
    </w:p>
    <w:p w14:paraId="2D8EA60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air</m:t>
              </m:r>
            </m:sub>
          </m:sSub>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r>
                <w:rPr>
                  <w:rFonts w:ascii="Cambria Math" w:hAnsi="Cambria Math"/>
                </w:rPr>
                <m:t>air</m:t>
              </m:r>
            </m:sub>
          </m:sSub>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sSub>
            <m:sSubPr>
              <m:ctrlPr>
                <w:rPr>
                  <w:rFonts w:ascii="Cambria Math" w:hAnsi="Cambria Math"/>
                </w:rPr>
              </m:ctrlPr>
            </m:sSubPr>
            <m:e>
              <m:r>
                <w:rPr>
                  <w:rFonts w:ascii="Cambria Math" w:hAnsi="Cambria Math"/>
                </w:rPr>
                <m:t>u</m:t>
              </m:r>
            </m:e>
            <m:sub>
              <m:r>
                <w:rPr>
                  <w:rFonts w:ascii="Cambria Math" w:hAnsi="Cambria Math"/>
                </w:rPr>
                <m:t>s</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e>
          </m:d>
          <m:r>
            <m:rPr>
              <m:sty m:val="p"/>
            </m:rPr>
            <w:rPr>
              <w:rFonts w:ascii="Cambria Math" w:hAnsi="Cambria Math"/>
            </w:rPr>
            <m:t>+</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sub>
          </m:sSub>
          <m:sSub>
            <m:sSubPr>
              <m:ctrlPr>
                <w:rPr>
                  <w:rFonts w:ascii="Cambria Math" w:hAnsi="Cambria Math"/>
                </w:rPr>
              </m:ctrlPr>
            </m:sSubPr>
            <m:e>
              <m:r>
                <w:rPr>
                  <w:rFonts w:ascii="Cambria Math" w:hAnsi="Cambria Math"/>
                </w:rPr>
                <m:t>c</m:t>
              </m:r>
            </m:e>
            <m: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sub>
          </m:sSub>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13.14</m:t>
              </m:r>
            </m:e>
          </m:d>
        </m:oMath>
      </m:oMathPara>
    </w:p>
    <w:p w14:paraId="54847A4A" w14:textId="77777777" w:rsidR="000F504F" w:rsidRDefault="00406E9C">
      <w:pPr>
        <w:pStyle w:val="FirstParagraph"/>
      </w:pPr>
      <w:r>
        <w:t>The gas temperature is solved consistently with the updated internal energy and species masses. Because steam can condense, the energy and species equations are coupled through saturation and latent heat.</w:t>
      </w:r>
    </w:p>
    <w:p w14:paraId="79544C9C" w14:textId="77777777" w:rsidR="000F504F" w:rsidRDefault="00406E9C">
      <w:pPr>
        <w:pStyle w:val="Heading2"/>
        <w:keepNext/>
      </w:pPr>
      <w:bookmarkStart w:id="62" w:name="_Toc231232907"/>
      <w:r>
        <w:t>7.5 Wall, Condensation, Spray, and Sump Cooling</w:t>
      </w:r>
      <w:bookmarkEnd w:id="62"/>
    </w:p>
    <w:p w14:paraId="320BF3CF" w14:textId="77777777" w:rsidR="000F504F" w:rsidRDefault="00406E9C">
      <w:pPr>
        <w:pStyle w:val="FirstParagraph"/>
      </w:pPr>
      <w:r>
        <w:t>Heat transfer from gas to liner/wall is represented by a combined convection and radiation coefficient:</w:t>
      </w:r>
    </w:p>
    <w:p w14:paraId="0F951ED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wall</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wall</m:t>
              </m:r>
            </m:sub>
          </m:sSub>
          <m:sSub>
            <m:sSubPr>
              <m:ctrlPr>
                <w:rPr>
                  <w:rFonts w:ascii="Cambria Math" w:hAnsi="Cambria Math"/>
                </w:rPr>
              </m:ctrlPr>
            </m:sSubPr>
            <m:e>
              <m:r>
                <w:rPr>
                  <w:rFonts w:ascii="Cambria Math" w:hAnsi="Cambria Math"/>
                </w:rPr>
                <m:t>A</m:t>
              </m:r>
            </m:e>
            <m:sub>
              <m:r>
                <w:rPr>
                  <w:rFonts w:ascii="Cambria Math" w:hAnsi="Cambria Math"/>
                </w:rPr>
                <m:t>wall</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wall</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13.15</m:t>
              </m:r>
            </m:e>
          </m:d>
        </m:oMath>
      </m:oMathPara>
    </w:p>
    <w:p w14:paraId="66CD2BB8" w14:textId="77777777" w:rsidR="000F504F" w:rsidRDefault="00406E9C">
      <w:pPr>
        <w:pStyle w:val="FirstParagraph"/>
      </w:pPr>
      <w:r>
        <w:t>The wall heat capacity equation is</w:t>
      </w:r>
    </w:p>
    <w:p w14:paraId="68131738"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wall</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wall</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wall</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wall</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cond</m:t>
              </m:r>
              <m:r>
                <m:rPr>
                  <m:sty m:val="p"/>
                </m:rPr>
                <w:rPr>
                  <w:rFonts w:ascii="Cambria Math" w:hAnsi="Cambria Math"/>
                </w:rPr>
                <m:t>,</m:t>
              </m:r>
              <m:r>
                <w:rPr>
                  <w:rFonts w:ascii="Cambria Math" w:hAnsi="Cambria Math"/>
                </w:rPr>
                <m:t>wall</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13.16</m:t>
              </m:r>
            </m:e>
          </m:d>
        </m:oMath>
      </m:oMathPara>
    </w:p>
    <w:p w14:paraId="3F6EB655" w14:textId="77777777" w:rsidR="000F504F" w:rsidRDefault="00406E9C">
      <w:pPr>
        <w:pStyle w:val="FirstParagraph"/>
      </w:pPr>
      <w:r>
        <w:t>A reduced one-dimensional conduction approximation transfers heat into the concrete:</w:t>
      </w:r>
    </w:p>
    <w:p w14:paraId="15559F71"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cond</m:t>
              </m:r>
              <m:r>
                <m:rPr>
                  <m:sty m:val="p"/>
                </m:rPr>
                <w:rPr>
                  <w:rFonts w:ascii="Cambria Math" w:hAnsi="Cambria Math"/>
                </w:rPr>
                <m:t>,</m:t>
              </m:r>
              <m:r>
                <w:rPr>
                  <w:rFonts w:ascii="Cambria Math" w:hAnsi="Cambria Math"/>
                </w:rPr>
                <m:t>wall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conc</m:t>
                  </m:r>
                </m:sub>
              </m:sSub>
              <m:sSub>
                <m:sSubPr>
                  <m:ctrlPr>
                    <w:rPr>
                      <w:rFonts w:ascii="Cambria Math" w:hAnsi="Cambria Math"/>
                    </w:rPr>
                  </m:ctrlPr>
                </m:sSubPr>
                <m:e>
                  <m:r>
                    <w:rPr>
                      <w:rFonts w:ascii="Cambria Math" w:hAnsi="Cambria Math"/>
                    </w:rPr>
                    <m:t>A</m:t>
                  </m:r>
                </m:e>
                <m:sub>
                  <m:r>
                    <w:rPr>
                      <w:rFonts w:ascii="Cambria Math" w:hAnsi="Cambria Math"/>
                    </w:rPr>
                    <m:t>wall</m:t>
                  </m:r>
                </m:sub>
              </m:sSub>
            </m:num>
            <m:den>
              <m:sSub>
                <m:sSubPr>
                  <m:ctrlPr>
                    <w:rPr>
                      <w:rFonts w:ascii="Cambria Math" w:hAnsi="Cambria Math"/>
                    </w:rPr>
                  </m:ctrlPr>
                </m:sSubPr>
                <m:e>
                  <m:r>
                    <w:rPr>
                      <w:rFonts w:ascii="Cambria Math" w:hAnsi="Cambria Math"/>
                    </w:rPr>
                    <m:t>δ</m:t>
                  </m:r>
                </m:e>
                <m:sub>
                  <m:r>
                    <w:rPr>
                      <w:rFonts w:ascii="Cambria Math" w:hAnsi="Cambria Math"/>
                    </w:rPr>
                    <m:t>eff</m:t>
                  </m:r>
                </m:sub>
              </m:sSub>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wall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conc</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13.17</m:t>
              </m:r>
            </m:e>
          </m:d>
        </m:oMath>
      </m:oMathPara>
    </w:p>
    <w:p w14:paraId="10D26D3F" w14:textId="77777777" w:rsidR="000F504F" w:rsidRDefault="00406E9C">
      <w:pPr>
        <w:pStyle w:val="FirstParagraph"/>
      </w:pPr>
      <w:r>
        <w:t>Wall condensation occurs when the steam partial pressure exceeds the saturation pressure at the wall temperature. A simplified condensation driving potential is</w:t>
      </w:r>
    </w:p>
    <w:p w14:paraId="73B5D064" w14:textId="77777777" w:rsidR="000F504F" w:rsidRDefault="00406E9C">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wall</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13.18</m:t>
              </m:r>
            </m:e>
          </m:d>
        </m:oMath>
      </m:oMathPara>
    </w:p>
    <w:p w14:paraId="2108899C" w14:textId="77777777" w:rsidR="000F504F" w:rsidRDefault="00406E9C">
      <w:pPr>
        <w:pStyle w:val="FirstParagraph"/>
      </w:pPr>
      <w:r>
        <w:t xml:space="preserve">For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&gt;</m:t>
        </m:r>
        <m:r>
          <w:rPr>
            <w:rFonts w:ascii="Cambria Math" w:hAnsi="Cambria Math"/>
          </w:rPr>
          <m:t>0</m:t>
        </m:r>
      </m:oMath>
      <w:r>
        <w:t>, the condensation mass rate may be written as</w:t>
      </w:r>
    </w:p>
    <w:p w14:paraId="5F93F41F"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cond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cond</m:t>
              </m:r>
            </m:sub>
          </m:sSub>
          <m:sSub>
            <m:sSubPr>
              <m:ctrlPr>
                <w:rPr>
                  <w:rFonts w:ascii="Cambria Math" w:hAnsi="Cambria Math"/>
                </w:rPr>
              </m:ctrlPr>
            </m:sSubPr>
            <m:e>
              <m:r>
                <w:rPr>
                  <w:rFonts w:ascii="Cambria Math" w:hAnsi="Cambria Math"/>
                </w:rPr>
                <m:t>A</m:t>
              </m:r>
            </m:e>
            <m:sub>
              <m:r>
                <w:rPr>
                  <w:rFonts w:ascii="Cambria Math" w:hAnsi="Cambria Math"/>
                </w:rPr>
                <m:t>wall</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s</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cond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cond</m:t>
              </m:r>
            </m:sub>
          </m:sSub>
          <m:sSub>
            <m:sSubPr>
              <m:ctrlPr>
                <w:rPr>
                  <w:rFonts w:ascii="Cambria Math" w:hAnsi="Cambria Math"/>
                </w:rPr>
              </m:ctrlPr>
            </m:sSubPr>
            <m:e>
              <m:r>
                <w:rPr>
                  <w:rFonts w:ascii="Cambria Math" w:hAnsi="Cambria Math"/>
                </w:rPr>
                <m:t>h</m:t>
              </m:r>
            </m:e>
            <m:sub>
              <m:r>
                <w:rPr>
                  <w:rFonts w:ascii="Cambria Math" w:hAnsi="Cambria Math"/>
                </w:rPr>
                <m:t>fg</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13.19</m:t>
              </m:r>
            </m:e>
          </m:d>
        </m:oMath>
      </m:oMathPara>
    </w:p>
    <w:p w14:paraId="4A0929EB" w14:textId="77777777" w:rsidR="000F504F" w:rsidRDefault="00406E9C">
      <w:pPr>
        <w:pStyle w:val="FirstParagraph"/>
      </w:pPr>
      <w:r>
        <w:t>Containment spray heat removal is calculated from spray flow rate, spray water temperature, and a user-specified effectiveness:</w:t>
      </w:r>
    </w:p>
    <w:p w14:paraId="5C9A025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spray</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spray</m:t>
              </m:r>
            </m:sub>
          </m:sSub>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spray</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spray</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13.20</m:t>
              </m:r>
            </m:e>
          </m:d>
        </m:oMath>
      </m:oMathPara>
    </w:p>
    <w:p w14:paraId="1B58F257" w14:textId="77777777" w:rsidR="000F504F" w:rsidRDefault="00406E9C">
      <w:pPr>
        <w:pStyle w:val="FirstParagraph"/>
      </w:pPr>
      <w:r>
        <w:t>Optional long-term sump cooling is represented as a prescribed heat-removal function of time:</w:t>
      </w:r>
    </w:p>
    <w:p w14:paraId="3E55BD8F"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LHSI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LHSI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13.21</m:t>
              </m:r>
            </m:e>
          </m:d>
        </m:oMath>
      </m:oMathPara>
    </w:p>
    <w:p w14:paraId="7A55FB80" w14:textId="77777777" w:rsidR="000F504F" w:rsidRDefault="00406E9C">
      <w:pPr>
        <w:pStyle w:val="Heading2"/>
        <w:keepNext/>
      </w:pPr>
      <w:bookmarkStart w:id="63" w:name="_Toc231232908"/>
      <w:r>
        <w:t>7.6 Hydrogen Flammability Status and Coupling Limitation</w:t>
      </w:r>
      <w:bookmarkEnd w:id="63"/>
    </w:p>
    <w:p w14:paraId="4F9E548F" w14:textId="77777777" w:rsidR="000F504F" w:rsidRDefault="00406E9C">
      <w:pPr>
        <w:pStyle w:val="FirstParagraph"/>
      </w:pPr>
      <w:r>
        <w:t>Hydrogen flammability is evaluated from hydrogen and steam volume fractions. A simplified logic is</w:t>
      </w:r>
    </w:p>
    <w:p w14:paraId="081EE3EB" w14:textId="77777777" w:rsidR="000F504F" w:rsidRDefault="00406E9C">
      <w:pPr>
        <w:pStyle w:val="BodyText"/>
      </w:pPr>
      <m:oMathPara>
        <m:oMathParaPr>
          <m:jc m:val="center"/>
        </m:oMathParaPr>
        <m:oMath>
          <m:r>
            <m:rPr>
              <m:sty m:val="p"/>
            </m:rPr>
            <w:rPr>
              <w:rFonts w:ascii="Cambria Math" w:hAnsi="Cambria Math"/>
            </w:rPr>
            <m:t>Nonflammable:</m:t>
          </m:r>
          <m:r>
            <w:rPr>
              <w:rFonts w:ascii="Cambria Math" w:hAnsi="Cambria Math"/>
            </w:rPr>
            <m:t> </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&lt;</m:t>
          </m:r>
          <m:r>
            <w:rPr>
              <w:rFonts w:ascii="Cambria Math" w:hAnsi="Cambria Math"/>
            </w:rPr>
            <m:t>0.04 </m:t>
          </m:r>
          <m:r>
            <m:rPr>
              <m:sty m:val="p"/>
            </m:rPr>
            <w:rPr>
              <w:rFonts w:ascii="Cambria Math" w:hAnsi="Cambria Math"/>
            </w:rPr>
            <m:t>or</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13.22</m:t>
              </m:r>
            </m:e>
          </m:d>
        </m:oMath>
      </m:oMathPara>
    </w:p>
    <w:p w14:paraId="241A6C6A" w14:textId="77777777" w:rsidR="000F504F" w:rsidRDefault="00406E9C">
      <w:pPr>
        <w:pStyle w:val="FirstParagraph"/>
      </w:pPr>
      <w:r>
        <w:t>The deflagration region is</w:t>
      </w:r>
    </w:p>
    <w:p w14:paraId="24BDE145" w14:textId="77777777" w:rsidR="000F504F" w:rsidRDefault="00406E9C">
      <w:pPr>
        <w:pStyle w:val="BodyText"/>
      </w:pPr>
      <m:oMathPara>
        <m:oMathParaPr>
          <m:jc m:val="center"/>
        </m:oMathParaPr>
        <m:oMath>
          <m:r>
            <w:rPr>
              <w:rFonts w:ascii="Cambria Math" w:hAnsi="Cambria Math"/>
            </w:rPr>
            <m:t>0.04</m:t>
          </m:r>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r>
            <w:rPr>
              <w:rFonts w:ascii="Cambria Math" w:hAnsi="Cambria Math"/>
            </w:rPr>
            <m:t>0.75 </m:t>
          </m:r>
          <m:r>
            <m:rPr>
              <m:sty m:val="p"/>
            </m:rPr>
            <w:rPr>
              <w:rFonts w:ascii="Cambria Math" w:hAnsi="Cambria Math"/>
            </w:rPr>
            <m:t>and</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&lt;</m:t>
          </m:r>
          <m:r>
            <w:rPr>
              <w:rFonts w:ascii="Cambria Math" w:hAnsi="Cambria Math"/>
            </w:rPr>
            <m:t>0.55</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13.23</m:t>
              </m:r>
            </m:e>
          </m:d>
        </m:oMath>
      </m:oMathPara>
    </w:p>
    <w:p w14:paraId="2377E7D7" w14:textId="77777777" w:rsidR="000F504F" w:rsidRDefault="00406E9C">
      <w:pPr>
        <w:pStyle w:val="FirstParagraph"/>
      </w:pPr>
      <w:r>
        <w:t>The detonation screening region is</w:t>
      </w:r>
    </w:p>
    <w:p w14:paraId="4A05D96E" w14:textId="77777777" w:rsidR="000F504F" w:rsidRDefault="00406E9C">
      <w:pPr>
        <w:pStyle w:val="BodyText"/>
      </w:pPr>
      <m:oMathPara>
        <m:oMathParaPr>
          <m:jc m:val="center"/>
        </m:oMathParaPr>
        <m:oMath>
          <m:r>
            <w:rPr>
              <w:rFonts w:ascii="Cambria Math" w:hAnsi="Cambria Math"/>
            </w:rPr>
            <m:t>0.18</m:t>
          </m:r>
          <m:r>
            <m:rPr>
              <m:sty m:val="p"/>
            </m:rP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sub>
          </m:sSub>
          <m:r>
            <m:rPr>
              <m:sty m:val="p"/>
            </m:rPr>
            <w:rPr>
              <w:rFonts w:ascii="Cambria Math" w:hAnsi="Cambria Math"/>
            </w:rPr>
            <m:t>≤</m:t>
          </m:r>
          <m:r>
            <w:rPr>
              <w:rFonts w:ascii="Cambria Math" w:hAnsi="Cambria Math"/>
            </w:rPr>
            <m:t>0.59 </m:t>
          </m:r>
          <m:r>
            <m:rPr>
              <m:sty m:val="p"/>
            </m:rPr>
            <w:rPr>
              <w:rFonts w:ascii="Cambria Math" w:hAnsi="Cambria Math"/>
            </w:rPr>
            <m:t>and</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s</m:t>
              </m:r>
            </m:sub>
          </m:sSub>
          <m:r>
            <m:rPr>
              <m:sty m:val="p"/>
            </m:rPr>
            <w:rPr>
              <w:rFonts w:ascii="Cambria Math" w:hAnsi="Cambria Math"/>
            </w:rPr>
            <m:t>&lt;</m:t>
          </m:r>
          <m:r>
            <w:rPr>
              <w:rFonts w:ascii="Cambria Math" w:hAnsi="Cambria Math"/>
            </w:rPr>
            <m:t>0.35</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13.24</m:t>
              </m:r>
            </m:e>
          </m:d>
        </m:oMath>
      </m:oMathPara>
    </w:p>
    <w:p w14:paraId="5D731EE3" w14:textId="77777777" w:rsidR="000F504F" w:rsidRDefault="00406E9C">
      <w:pPr>
        <w:pStyle w:val="FirstParagraph"/>
      </w:pPr>
      <w:r>
        <w:t>FLARECON reports the status as a screening indicator. It does not simulate ignition, flame acceleration, combustion heat release, pressure spikes, or deflagration-to-detonation transition.</w:t>
      </w:r>
    </w:p>
    <w:p w14:paraId="2474C0B6" w14:textId="77777777" w:rsidR="000F504F" w:rsidRDefault="00406E9C">
      <w:pPr>
        <w:pStyle w:val="BodyText"/>
      </w:pPr>
      <w:r>
        <w:t>The FLARE-to-FLARECON coupling is one-way. The containment source terms are read from the RCS output:</w:t>
      </w:r>
    </w:p>
    <w:p w14:paraId="2E11BC38"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source</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break</m:t>
              </m:r>
              <m:r>
                <m:rPr>
                  <m:sty m:val="p"/>
                </m:rPr>
                <w:rPr>
                  <w:rFonts w:ascii="Cambria Math" w:hAnsi="Cambria Math"/>
                </w:rPr>
                <m:t>,</m:t>
              </m:r>
              <m:r>
                <w:rPr>
                  <w:rFonts w:ascii="Cambria Math" w:hAnsi="Cambria Math"/>
                </w:rPr>
                <m:t>RCS</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source</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break</m:t>
              </m:r>
              <m:r>
                <m:rPr>
                  <m:sty m:val="p"/>
                </m:rPr>
                <w:rPr>
                  <w:rFonts w:ascii="Cambria Math" w:hAnsi="Cambria Math"/>
                </w:rPr>
                <m:t>,</m:t>
              </m:r>
              <m:r>
                <w:rPr>
                  <w:rFonts w:ascii="Cambria Math" w:hAnsi="Cambria Math"/>
                </w:rPr>
                <m:t>RCS</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13.25</m:t>
              </m:r>
            </m:e>
          </m:d>
        </m:oMath>
      </m:oMathPara>
    </w:p>
    <w:p w14:paraId="796E695C" w14:textId="77777777" w:rsidR="000F504F" w:rsidRDefault="00406E9C">
      <w:pPr>
        <w:pStyle w:val="FirstParagraph"/>
      </w:pPr>
      <w:r>
        <w:t>The hydrogen source is calculated from the incremental RCS hydrogen generation:</w:t>
      </w:r>
    </w:p>
    <w:p w14:paraId="1BCCF765" w14:textId="77777777" w:rsidR="000F504F" w:rsidRDefault="00406E9C">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in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M</m:t>
                  </m:r>
                </m:e>
                <m:sub>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RCS</m:t>
                  </m:r>
                </m:sub>
              </m:sSub>
            </m:num>
            <m:den>
              <m:r>
                <w:rPr>
                  <w:rFonts w:ascii="Cambria Math" w:hAnsi="Cambria Math"/>
                </w:rPr>
                <m:t>dt</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13.26</m:t>
              </m:r>
            </m:e>
          </m:d>
        </m:oMath>
      </m:oMathPara>
    </w:p>
    <w:p w14:paraId="213B92AB" w14:textId="77777777" w:rsidR="000F504F" w:rsidRDefault="00406E9C">
      <w:pPr>
        <w:pStyle w:val="FirstParagraph"/>
      </w:pPr>
      <w:r>
        <w:t>No feedback is applied from containment pressure to the RCS break-flow model:</w:t>
      </w:r>
    </w:p>
    <w:p w14:paraId="05766DB6"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back</m:t>
              </m:r>
              <m:r>
                <m:rPr>
                  <m:sty m:val="p"/>
                </m:rPr>
                <w:rPr>
                  <w:rFonts w:ascii="Cambria Math" w:hAnsi="Cambria Math"/>
                </w:rPr>
                <m:t>,</m:t>
              </m:r>
              <m:r>
                <w:rPr>
                  <w:rFonts w:ascii="Cambria Math" w:hAnsi="Cambria Math"/>
                </w:rPr>
                <m:t>RCS</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back</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13.27</m:t>
              </m:r>
            </m:e>
          </m:d>
        </m:oMath>
      </m:oMathPara>
    </w:p>
    <w:p w14:paraId="2B5B8C73" w14:textId="77777777" w:rsidR="000F504F" w:rsidRDefault="00406E9C">
      <w:pPr>
        <w:pStyle w:val="FirstParagraph"/>
      </w:pPr>
      <w:r>
        <w:t>This is a known limitation. It is conservative or nonconservative depending on the timing and magnitude of containment pressure rise relative to blowdown.</w:t>
      </w:r>
    </w:p>
    <w:p>
      <w:pPr>
        <w:pStyle w:val="Heading2"/>
        <w:keepNext/>
      </w:pPr>
      <w:r>
        <w:t>7.7 Functional containment-spray recirculation</w:t>
      </w:r>
    </w:p>
    <w:p>
      <w:r>
        <w:t>The containment spray model includes spray_recirc_available and spray_recirc_switch_s. When the functional recirculation state is successful, an established spray mass-flow schedule continues; otherwise spray flow is terminated at the prescribed switch time. The state is applied after legacy spray-table parsing to ensure that a generated branch-deck override is not inadvertently discarded.</w:t>
      </w:r>
    </w:p>
    <w:p>
      <w:r>
        <w:t>Spray recirculation is modeled as a binary availability boundary condition. Detailed sump and pump suction behavior remains outside FLARECON; the PRA provides the reliability context, while FLARECON evaluates the corresponding lumped containment response.</w:t>
      </w:r>
    </w:p>
    <w:p w14:paraId="0F488425" w14:textId="77777777" w:rsidR="000F504F" w:rsidRDefault="00406E9C">
      <w:pPr>
        <w:pStyle w:val="Heading1"/>
        <w:keepNext/>
      </w:pPr>
      <w:bookmarkStart w:id="64" w:name="_Toc231232909"/>
      <w:r>
        <w:t>Chapter 8 — Uncertainty Analysis</w:t>
      </w:r>
      <w:bookmarkEnd w:id="64"/>
    </w:p>
    <w:p w14:paraId="6C022607" w14:textId="77777777" w:rsidR="000F504F" w:rsidRDefault="00406E9C">
      <w:pPr>
        <w:pStyle w:val="Heading2"/>
        <w:keepNext/>
      </w:pPr>
      <w:bookmarkStart w:id="65" w:name="_Toc231232910"/>
      <w:r>
        <w:t>8.1 Role of Uncertainty Analysis in FLARE</w:t>
      </w:r>
      <w:bookmarkEnd w:id="65"/>
    </w:p>
    <w:p w14:paraId="2979C94A" w14:textId="77777777" w:rsidR="000F504F" w:rsidRDefault="00406E9C">
      <w:pPr>
        <w:pStyle w:val="FirstParagraph"/>
      </w:pPr>
      <w:r>
        <w:t xml:space="preserve">The FLARE uncertainty analysis capability is intended to support best-estimate plus uncertainty (BEPU) scoping calculations. A BEPU calculation differs from a conservative bounding calculation in that the nominal model is intended to represent the expected physical response, while important uncertain inputs are sampled explicitly and propagated through the model. The result is not a single deterministic transient, but a population of calculated transients from which statements about figures of merit can be </w:t>
      </w:r>
      <w:r>
        <w:t>made.</w:t>
      </w:r>
    </w:p>
    <w:p w14:paraId="402BE157" w14:textId="77777777" w:rsidR="000F504F" w:rsidRDefault="00406E9C">
      <w:pPr>
        <w:pStyle w:val="BodyText"/>
      </w:pPr>
      <w:r>
        <w:t>Let the uncertain input vector be denoted by</w:t>
      </w:r>
    </w:p>
    <w:p w14:paraId="6E70AF0E" w14:textId="77777777" w:rsidR="000F504F" w:rsidRDefault="00406E9C">
      <w:pPr>
        <w:pStyle w:val="BodyText"/>
      </w:pPr>
      <m:oMathPara>
        <m:oMathParaPr>
          <m:jc m:val="center"/>
        </m:oMathParaPr>
        <m:oMath>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m:t>
              </m:r>
            </m:e>
          </m:d>
        </m:oMath>
      </m:oMathPara>
    </w:p>
    <w:p w14:paraId="73F88DDD" w14:textId="77777777" w:rsidR="000F504F" w:rsidRDefault="00406E9C">
      <w:pPr>
        <w:pStyle w:val="FirstParagraph"/>
      </w:pPr>
      <w:r>
        <w:t>where each component represents a model parameter, initial condition, boundary condition, or correlation multiplier. For a scalar figure of merit such as peak cladding temperature, maximum hot-pin ECR, peak containment pressure, or EAB dose, the calculation can be written abstractly as</w:t>
      </w:r>
    </w:p>
    <w:p w14:paraId="21675923" w14:textId="77777777" w:rsidR="000F504F" w:rsidRDefault="00406E9C">
      <w:pPr>
        <w:pStyle w:val="BodyText"/>
      </w:pPr>
      <m:oMathPara>
        <m:oMathParaPr>
          <m:jc m:val="center"/>
        </m:oMathParaPr>
        <m:oMath>
          <m:r>
            <w:rPr>
              <w:rFonts w:ascii="Cambria Math" w:hAnsi="Cambria Math"/>
            </w:rPr>
            <m:t>Y</m:t>
          </m:r>
          <m:r>
            <m:rPr>
              <m:sty m:val="p"/>
            </m:rPr>
            <w:rPr>
              <w:rFonts w:ascii="Cambria Math" w:hAnsi="Cambria Math"/>
            </w:rPr>
            <m:t>=</m:t>
          </m:r>
          <m:r>
            <w:rPr>
              <w:rFonts w:ascii="Cambria Math" w:hAnsi="Cambria Math"/>
            </w:rPr>
            <m:t>g</m:t>
          </m:r>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8.2</m:t>
              </m:r>
            </m:e>
          </m:d>
        </m:oMath>
      </m:oMathPara>
    </w:p>
    <w:p w14:paraId="14D36551" w14:textId="77777777" w:rsidR="000F504F" w:rsidRDefault="00406E9C">
      <w:pPr>
        <w:pStyle w:val="FirstParagraph"/>
      </w:pPr>
      <w:r>
        <w:t xml:space="preserve">A Monte Carlo uncertainty analysis performs </w:t>
      </w:r>
      <m:oMath>
        <m:r>
          <w:rPr>
            <w:rFonts w:ascii="Cambria Math" w:hAnsi="Cambria Math"/>
          </w:rPr>
          <m:t>N</m:t>
        </m:r>
      </m:oMath>
      <w:r>
        <w:t xml:space="preserve"> statistically independent calculations,</w:t>
      </w:r>
    </w:p>
    <w:p w14:paraId="0CE2807D"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8.3</m:t>
              </m:r>
            </m:e>
          </m:d>
        </m:oMath>
      </m:oMathPara>
    </w:p>
    <w:p w14:paraId="6867E764" w14:textId="77777777" w:rsidR="000F504F" w:rsidRDefault="00406E9C">
      <w:pPr>
        <w:pStyle w:val="FirstParagraph"/>
      </w:pPr>
      <w:r>
        <w:t xml:space="preserve">where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is sampled from the joint uncertainty model. The usual sample statistics are useful diagnostic quantities,</w:t>
      </w:r>
    </w:p>
    <w:p w14:paraId="7524D911" w14:textId="77777777" w:rsidR="000F504F" w:rsidRDefault="00406E9C">
      <w:pPr>
        <w:pStyle w:val="BodyText"/>
      </w:pPr>
      <m:oMathPara>
        <m:oMathParaPr>
          <m:jc m:val="center"/>
        </m:oMathParaPr>
        <m:oMath>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8.4</m:t>
              </m:r>
            </m:e>
          </m:d>
        </m:oMath>
      </m:oMathPara>
    </w:p>
    <w:p w14:paraId="21A8570A" w14:textId="77777777" w:rsidR="000F504F" w:rsidRDefault="00406E9C">
      <w:pPr>
        <w:pStyle w:val="FirstParagraph"/>
      </w:pPr>
      <w:r>
        <w:t>and</w:t>
      </w:r>
    </w:p>
    <w:p w14:paraId="521FE9D5"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Y</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8.5</m:t>
              </m:r>
            </m:e>
          </m:d>
        </m:oMath>
      </m:oMathPara>
    </w:p>
    <w:p w14:paraId="2D5A69FF" w14:textId="77777777" w:rsidR="000F504F" w:rsidRDefault="00406E9C">
      <w:pPr>
        <w:pStyle w:val="FirstParagraph"/>
      </w:pPr>
      <w:r>
        <w:t>However, for licensing-style BEPU calculations the mean and standard deviation are not the principal acceptance quantities. Regulatory acceptance questions are normally posed in terms of whether calculated safety metrics remain below prescribed limits with a high level of probability. For that purpose, FLARE emphasizes non-parametric order statistics, commonly referred to in the nuclear safety analysis community as the Wilks method.</w:t>
      </w:r>
    </w:p>
    <w:p w14:paraId="00A11868" w14:textId="77777777" w:rsidR="000F504F" w:rsidRDefault="00406E9C">
      <w:pPr>
        <w:pStyle w:val="Heading2"/>
        <w:keepNext/>
      </w:pPr>
      <w:bookmarkStart w:id="66" w:name="_Toc231232911"/>
      <w:r>
        <w:t>8.2 Sampling of Input Uncertainties</w:t>
      </w:r>
      <w:bookmarkEnd w:id="66"/>
    </w:p>
    <w:p w14:paraId="3F320D2C" w14:textId="77777777" w:rsidR="000F504F" w:rsidRDefault="00406E9C">
      <w:pPr>
        <w:pStyle w:val="FirstParagraph"/>
      </w:pPr>
      <w:r>
        <w:t xml:space="preserve">FLARE treats each sampled input as a realization of a prescribed distribution. For a uniform distribution on </w:t>
      </w:r>
      <m:oMath>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the sampled value is</w:t>
      </w:r>
    </w:p>
    <w:p w14:paraId="7E301E15" w14:textId="77777777" w:rsidR="000F504F" w:rsidRDefault="00406E9C">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w:rPr>
              <w:rFonts w:ascii="Cambria Math" w:hAnsi="Cambria Math"/>
            </w:rPr>
            <m:t>ξ</m:t>
          </m:r>
          <m:r>
            <m:rPr>
              <m:sty m:val="p"/>
            </m:rPr>
            <w:rPr>
              <w:rFonts w:ascii="Cambria Math" w:hAnsi="Cambria Math"/>
            </w:rPr>
            <m:t>,</m:t>
          </m:r>
          <m:r>
            <w:rPr>
              <w:rFonts w:ascii="Cambria Math" w:hAnsi="Cambria Math"/>
            </w:rPr>
            <m:t>  </m:t>
          </m:r>
          <m:r>
            <w:rPr>
              <w:rFonts w:ascii="Cambria Math" w:hAnsi="Cambria Math"/>
            </w:rPr>
            <m:t>ξ</m:t>
          </m:r>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8.6</m:t>
              </m:r>
            </m:e>
          </m:d>
        </m:oMath>
      </m:oMathPara>
    </w:p>
    <w:p w14:paraId="16FF13C7" w14:textId="77777777" w:rsidR="000F504F" w:rsidRDefault="00406E9C">
      <w:pPr>
        <w:pStyle w:val="FirstParagraph"/>
      </w:pPr>
      <w:r>
        <w:t xml:space="preserve">For a normal distribution with mean </w:t>
      </w:r>
      <m:oMath>
        <m:r>
          <w:rPr>
            <w:rFonts w:ascii="Cambria Math" w:hAnsi="Cambria Math"/>
          </w:rPr>
          <m:t>μ</m:t>
        </m:r>
      </m:oMath>
      <w:r>
        <w:t xml:space="preserve"> and standard deviation </w:t>
      </w:r>
      <m:oMath>
        <m:r>
          <w:rPr>
            <w:rFonts w:ascii="Cambria Math" w:hAnsi="Cambria Math"/>
          </w:rPr>
          <m:t>σ</m:t>
        </m:r>
      </m:oMath>
      <w:r>
        <w:t>, the sampled value is</w:t>
      </w:r>
    </w:p>
    <w:p w14:paraId="52A66E6B" w14:textId="77777777" w:rsidR="000F504F" w:rsidRDefault="00406E9C">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σz</m:t>
          </m:r>
          <m:r>
            <m:rPr>
              <m:sty m:val="p"/>
            </m:rPr>
            <w:rPr>
              <w:rFonts w:ascii="Cambria Math" w:hAnsi="Cambria Math"/>
            </w:rPr>
            <m:t>,</m:t>
          </m:r>
          <m:r>
            <w:rPr>
              <w:rFonts w:ascii="Cambria Math" w:hAnsi="Cambria Math"/>
            </w:rPr>
            <m:t>  </m:t>
          </m:r>
          <m:r>
            <w:rPr>
              <w:rFonts w:ascii="Cambria Math" w:hAnsi="Cambria Math"/>
            </w:rPr>
            <m:t>z</m:t>
          </m: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8.7</m:t>
              </m:r>
            </m:e>
          </m:d>
        </m:oMath>
      </m:oMathPara>
    </w:p>
    <w:p w14:paraId="55E6D064" w14:textId="77777777" w:rsidR="000F504F" w:rsidRDefault="00406E9C">
      <w:pPr>
        <w:pStyle w:val="FirstParagraph"/>
      </w:pPr>
      <w:r>
        <w:t xml:space="preserve">The complete sampled input vector for case </w:t>
      </w:r>
      <m:oMath>
        <m:r>
          <w:rPr>
            <w:rFonts w:ascii="Cambria Math" w:hAnsi="Cambria Math"/>
          </w:rPr>
          <m:t>i</m:t>
        </m:r>
      </m:oMath>
      <w:r>
        <w:t xml:space="preserve"> is therefore</w:t>
      </w:r>
    </w:p>
    <w:p w14:paraId="12D57E26" w14:textId="77777777" w:rsidR="000F504F" w:rsidRDefault="00406E9C">
      <w:pPr>
        <w:pStyle w:val="BodyText"/>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8.8</m:t>
              </m:r>
            </m:e>
          </m:d>
        </m:oMath>
      </m:oMathPara>
    </w:p>
    <w:p w14:paraId="235527E9" w14:textId="77777777" w:rsidR="000F504F" w:rsidRDefault="00406E9C">
      <w:pPr>
        <w:pStyle w:val="FirstParagraph"/>
      </w:pPr>
      <w:r>
        <w:t xml:space="preserve">For the Wilks method to have its stated non-parametric interpretation, the </w:t>
      </w:r>
      <m:oMath>
        <m:r>
          <w:rPr>
            <w:rFonts w:ascii="Cambria Math" w:hAnsi="Cambria Math"/>
          </w:rPr>
          <m:t>N</m:t>
        </m:r>
      </m:oMath>
      <w:r>
        <w:t xml:space="preserve"> output samples must be independent realizations drawn from the same parent population. In practical FLARE applications, this means that the sampling catalogue, input deck, model options, timestep controls, and post-processing definitions must remain fixed across all realizations of a given uncertainty analysis. Changing the model during the run invalidates the assumption that all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are samples from the same output population.</w:t>
      </w:r>
    </w:p>
    <w:p w14:paraId="14E8E0A7" w14:textId="77777777" w:rsidR="000F504F" w:rsidRDefault="00406E9C">
      <w:pPr>
        <w:pStyle w:val="BodyText"/>
      </w:pPr>
      <w:r>
        <w:t>The uncertainty model should distinguish aleatory variation from epistemic uncertainty. Aleatory variability represents case-to-case variability that is naturally sampled. Epistemic uncertainty represents imperfect knowledge of model parameters, correlations, plant state, or model form. In BEPU practice, epistemic uncertainties are often represented by probability distributions for the purpose of propagation, but the credibility of the result depends on the technical basis for those distributions. A Wilks c</w:t>
      </w:r>
      <w:r>
        <w:t>alculation is only as meaningful as the uncertainty model being sampled.</w:t>
      </w:r>
    </w:p>
    <w:p w14:paraId="44FF1353" w14:textId="77777777" w:rsidR="000F504F" w:rsidRDefault="00406E9C">
      <w:pPr>
        <w:pStyle w:val="Heading2"/>
        <w:keepNext/>
      </w:pPr>
      <w:bookmarkStart w:id="67" w:name="_Toc231232912"/>
      <w:r>
        <w:t>8.3 Order Statistics and the One-Sided Tolerance Limit</w:t>
      </w:r>
      <w:bookmarkEnd w:id="67"/>
    </w:p>
    <w:p w14:paraId="08953AE3" w14:textId="77777777" w:rsidR="000F504F" w:rsidRDefault="00406E9C">
      <w:pPr>
        <w:pStyle w:val="FirstParagraph"/>
      </w:pPr>
      <w:r>
        <w:t xml:space="preserve">Let </w:t>
      </w:r>
      <m:oMath>
        <m:r>
          <w:rPr>
            <w:rFonts w:ascii="Cambria Math" w:hAnsi="Cambria Math"/>
          </w:rPr>
          <m:t>Y</m:t>
        </m:r>
      </m:oMath>
      <w:r>
        <w:t xml:space="preserve"> be a scalar output with unknown cumulative distribution function </w:t>
      </w:r>
      <m:oMath>
        <m:r>
          <w:rPr>
            <w:rFonts w:ascii="Cambria Math" w:hAnsi="Cambria Math"/>
          </w:rPr>
          <m:t>F</m:t>
        </m:r>
        <m:d>
          <m:dPr>
            <m:ctrlPr>
              <w:rPr>
                <w:rFonts w:ascii="Cambria Math" w:hAnsi="Cambria Math"/>
              </w:rPr>
            </m:ctrlPr>
          </m:dPr>
          <m:e>
            <m:r>
              <w:rPr>
                <w:rFonts w:ascii="Cambria Math" w:hAnsi="Cambria Math"/>
              </w:rPr>
              <m:t>y</m:t>
            </m:r>
          </m:e>
        </m:d>
      </m:oMath>
      <w:r>
        <w:t>. The Monte Carlo results are sorted from smallest to largest,</w:t>
      </w:r>
    </w:p>
    <w:p w14:paraId="6000C0DF"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2</m:t>
                  </m:r>
                </m:e>
              </m:d>
            </m:sub>
          </m:sSub>
          <m:r>
            <m:rPr>
              <m:sty m:val="p"/>
            </m:rPr>
            <w:rPr>
              <w:rFonts w:ascii="Cambria Math" w:hAnsi="Cambria Math"/>
            </w:rPr>
            <m:t>≤⋯≤</m:t>
          </m:r>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e>
              </m:d>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8.9</m:t>
              </m:r>
            </m:e>
          </m:d>
        </m:oMath>
      </m:oMathPara>
    </w:p>
    <w:p w14:paraId="17F423E0" w14:textId="77777777" w:rsidR="000F504F" w:rsidRDefault="00406E9C">
      <w:pPr>
        <w:pStyle w:val="FirstParagraph"/>
      </w:pPr>
      <w:r>
        <w:t xml:space="preserve">The quantity </w:t>
      </w:r>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k</m:t>
                </m:r>
              </m:e>
            </m:d>
          </m:sub>
        </m:sSub>
      </m:oMath>
      <w:r>
        <w:t xml:space="preserve"> is the </w:t>
      </w:r>
      <m:oMath>
        <m:r>
          <w:rPr>
            <w:rFonts w:ascii="Cambria Math" w:hAnsi="Cambria Math"/>
          </w:rPr>
          <m:t>k</m:t>
        </m:r>
      </m:oMath>
      <w:r>
        <w:t xml:space="preserve">-th order statistic. For safety variables where larger values are more limiting, the upper tolerance limit is taken from the upper end of the sorted sample. It is convenient to define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w:lastRenderedPageBreak/>
          <m:t>k</m:t>
        </m:r>
        <m:r>
          <m:rPr>
            <m:sty m:val="p"/>
          </m:rPr>
          <w:rPr>
            <w:rFonts w:ascii="Cambria Math" w:hAnsi="Cambria Math"/>
          </w:rPr>
          <m:t>+</m:t>
        </m:r>
        <m:r>
          <w:rPr>
            <w:rFonts w:ascii="Cambria Math" w:hAnsi="Cambria Math"/>
          </w:rPr>
          <m:t>1</m:t>
        </m:r>
      </m:oMath>
      <w:r>
        <w:t xml:space="preserve">, where </w:t>
      </w:r>
      <m:oMath>
        <m:r>
          <w:rPr>
            <w:rFonts w:ascii="Cambria Math" w:hAnsi="Cambria Math"/>
          </w:rPr>
          <m:t>m</m:t>
        </m:r>
        <m:r>
          <m:rPr>
            <m:sty m:val="p"/>
          </m:rPr>
          <w:rPr>
            <w:rFonts w:ascii="Cambria Math" w:hAnsi="Cambria Math"/>
          </w:rPr>
          <m:t>=</m:t>
        </m:r>
        <m:r>
          <w:rPr>
            <w:rFonts w:ascii="Cambria Math" w:hAnsi="Cambria Math"/>
          </w:rPr>
          <m:t>1</m:t>
        </m:r>
      </m:oMath>
      <w:r>
        <w:t xml:space="preserve"> corresponds to the maximum value, </w:t>
      </w:r>
      <m:oMath>
        <m:r>
          <w:rPr>
            <w:rFonts w:ascii="Cambria Math" w:hAnsi="Cambria Math"/>
          </w:rPr>
          <m:t>m</m:t>
        </m:r>
        <m:r>
          <m:rPr>
            <m:sty m:val="p"/>
          </m:rPr>
          <w:rPr>
            <w:rFonts w:ascii="Cambria Math" w:hAnsi="Cambria Math"/>
          </w:rPr>
          <m:t>=</m:t>
        </m:r>
        <m:r>
          <w:rPr>
            <w:rFonts w:ascii="Cambria Math" w:hAnsi="Cambria Math"/>
          </w:rPr>
          <m:t>2</m:t>
        </m:r>
      </m:oMath>
      <w:r>
        <w:t xml:space="preserve"> corresponds to the second largest value, and so forth.</w:t>
      </w:r>
    </w:p>
    <w:p w14:paraId="0C10FB54" w14:textId="77777777" w:rsidR="000F504F" w:rsidRDefault="00406E9C">
      <w:pPr>
        <w:pStyle w:val="BodyText"/>
      </w:pPr>
      <w:r>
        <w:t xml:space="preserve">The coverage of a candidate tolerance limit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oMath>
      <w:r>
        <w:t xml:space="preserve"> is the fraction of the parent population below that value:</w:t>
      </w:r>
    </w:p>
    <w:p w14:paraId="02868CC7" w14:textId="77777777" w:rsidR="000F504F" w:rsidRDefault="00406E9C">
      <w:pPr>
        <w:pStyle w:val="BodyText"/>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8.10</m:t>
              </m:r>
            </m:e>
          </m:d>
        </m:oMath>
      </m:oMathPara>
    </w:p>
    <w:p w14:paraId="7ED357CD" w14:textId="77777777" w:rsidR="000F504F" w:rsidRDefault="00406E9C">
      <w:pPr>
        <w:pStyle w:val="FirstParagraph"/>
      </w:pPr>
      <w:r>
        <w:t xml:space="preserve">A one-sided tolerance statement asks for the probability that the selected order statistic exceeds at least a specified coverage </w:t>
      </w:r>
      <m:oMath>
        <m:r>
          <w:rPr>
            <w:rFonts w:ascii="Cambria Math" w:hAnsi="Cambria Math"/>
          </w:rPr>
          <m:t>γ</m:t>
        </m:r>
      </m:oMath>
      <w:r>
        <w:t xml:space="preserve"> of the parent population:</w:t>
      </w:r>
    </w:p>
    <w:p w14:paraId="0CDC4572" w14:textId="77777777" w:rsidR="000F504F" w:rsidRDefault="00406E9C">
      <w:pPr>
        <w:pStyle w:val="BodyText"/>
      </w:pPr>
      <m:oMathPara>
        <m:oMathParaPr>
          <m:jc m:val="center"/>
        </m:oMathParaPr>
        <m:oMath>
          <m:r>
            <w:rPr>
              <w:rFonts w:ascii="Cambria Math" w:hAnsi="Cambria Math"/>
            </w:rPr>
            <m:t>P</m:t>
          </m:r>
          <m:d>
            <m:dPr>
              <m:begChr m:val="["/>
              <m:endChr m:val="]"/>
              <m:ctrlPr>
                <w:rPr>
                  <w:rFonts w:ascii="Cambria Math" w:hAnsi="Cambria Math"/>
                </w:rPr>
              </m:ctrlPr>
            </m:dPr>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e>
                      </m:d>
                    </m:sub>
                  </m:sSub>
                </m:e>
              </m:d>
              <m:r>
                <m:rPr>
                  <m:sty m:val="p"/>
                </m:rPr>
                <w:rPr>
                  <w:rFonts w:ascii="Cambria Math" w:hAnsi="Cambria Math"/>
                </w:rPr>
                <m:t>&gt;</m:t>
              </m:r>
              <m:r>
                <w:rPr>
                  <w:rFonts w:ascii="Cambria Math" w:hAnsi="Cambria Math"/>
                </w:rPr>
                <m:t>γ</m:t>
              </m:r>
            </m:e>
          </m:d>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8.11</m:t>
              </m:r>
            </m:e>
          </m:d>
        </m:oMath>
      </m:oMathPara>
    </w:p>
    <w:p w14:paraId="7960D517" w14:textId="77777777" w:rsidR="000F504F" w:rsidRDefault="00406E9C">
      <w:pPr>
        <w:pStyle w:val="FirstParagraph"/>
      </w:pPr>
      <w:r>
        <w:t xml:space="preserve">Here </w:t>
      </w:r>
      <m:oMath>
        <m:r>
          <w:rPr>
            <w:rFonts w:ascii="Cambria Math" w:hAnsi="Cambria Math"/>
          </w:rPr>
          <m:t>γ</m:t>
        </m:r>
      </m:oMath>
      <w:r>
        <w:t xml:space="preserve"> is the population coverage and </w:t>
      </w:r>
      <m:oMath>
        <m:r>
          <w:rPr>
            <w:rFonts w:ascii="Cambria Math" w:hAnsi="Cambria Math"/>
          </w:rPr>
          <m:t>β</m:t>
        </m:r>
      </m:oMath>
      <w:r>
        <w:t xml:space="preserve"> is the confidence. The familiar ``95/95’’ statement means that at least 95 percent of the output population is bounded with 95 percent confidence.</w:t>
      </w:r>
    </w:p>
    <w:p w14:paraId="12DBD9C8" w14:textId="77777777" w:rsidR="000F504F" w:rsidRDefault="00406E9C">
      <w:pPr>
        <w:pStyle w:val="BodyText"/>
      </w:pPr>
      <w:r>
        <w:t xml:space="preserve">For the </w:t>
      </w:r>
      <m:oMath>
        <m:r>
          <w:rPr>
            <w:rFonts w:ascii="Cambria Math" w:hAnsi="Cambria Math"/>
          </w:rPr>
          <m:t>m</m:t>
        </m:r>
      </m:oMath>
      <w:r>
        <w:t xml:space="preserve">-th largest result from </w:t>
      </w:r>
      <m:oMath>
        <m:r>
          <w:rPr>
            <w:rFonts w:ascii="Cambria Math" w:hAnsi="Cambria Math"/>
          </w:rPr>
          <m:t>N</m:t>
        </m:r>
      </m:oMath>
      <w:r>
        <w:t xml:space="preserve"> independent samples, the confidence is</w:t>
      </w:r>
    </w:p>
    <w:p w14:paraId="173E7C0A" w14:textId="77777777" w:rsidR="000F504F" w:rsidRDefault="00406E9C">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i</m:t>
                      </m:r>
                    </m:den>
                  </m:f>
                </m:e>
              </m:d>
            </m:e>
          </m:nary>
          <m:sSup>
            <m:sSupPr>
              <m:ctrlPr>
                <w:rPr>
                  <w:rFonts w:ascii="Cambria Math" w:hAnsi="Cambria Math"/>
                </w:rPr>
              </m:ctrlPr>
            </m:sSupPr>
            <m:e>
              <m:r>
                <w:rPr>
                  <w:rFonts w:ascii="Cambria Math" w:hAnsi="Cambria Math"/>
                </w:rPr>
                <m:t>γ</m:t>
              </m:r>
            </m:e>
            <m:sup>
              <m:r>
                <w:rPr>
                  <w:rFonts w:ascii="Cambria Math" w:hAnsi="Cambria Math"/>
                </w:rPr>
                <m:t>i</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e>
            <m:sup>
              <m:r>
                <w:rPr>
                  <w:rFonts w:ascii="Cambria Math" w:hAnsi="Cambria Math"/>
                </w:rPr>
                <m:t>N</m:t>
              </m:r>
              <m:r>
                <m:rPr>
                  <m:sty m:val="p"/>
                </m:rPr>
                <w:rPr>
                  <w:rFonts w:ascii="Cambria Math" w:hAnsi="Cambria Math"/>
                </w:rPr>
                <m:t>-</m:t>
              </m:r>
              <m:r>
                <w:rPr>
                  <w:rFonts w:ascii="Cambria Math" w:hAnsi="Cambria Math"/>
                </w:rPr>
                <m:t>i</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8.12</m:t>
              </m:r>
            </m:e>
          </m:d>
        </m:oMath>
      </m:oMathPara>
    </w:p>
    <w:p w14:paraId="53294FD1" w14:textId="77777777" w:rsidR="000F504F" w:rsidRDefault="00406E9C">
      <w:pPr>
        <w:pStyle w:val="FirstParagraph"/>
      </w:pPr>
      <w:r>
        <w:t>Equivalently, the confidence can be written in terms of the incomplete beta function ratio as</w:t>
      </w:r>
    </w:p>
    <w:p w14:paraId="72E7EA00" w14:textId="77777777" w:rsidR="000F504F" w:rsidRDefault="00406E9C">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γ</m:t>
              </m:r>
            </m:sub>
          </m:sSub>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8.13</m:t>
              </m:r>
            </m:e>
          </m:d>
        </m:oMath>
      </m:oMathPara>
    </w:p>
    <w:p w14:paraId="4609037A" w14:textId="77777777" w:rsidR="000F504F" w:rsidRDefault="00406E9C">
      <w:pPr>
        <w:pStyle w:val="FirstParagraph"/>
      </w:pPr>
      <w:r>
        <w:t xml:space="preserve">Equations (8.12) and (8.13) are distribution-free. They do not require the analyst to know whether </w:t>
      </w:r>
      <m:oMath>
        <m:r>
          <w:rPr>
            <w:rFonts w:ascii="Cambria Math" w:hAnsi="Cambria Math"/>
          </w:rPr>
          <m:t>Y</m:t>
        </m:r>
      </m:oMath>
      <w:r>
        <w:t xml:space="preserve"> is normal, lognormal, skewed, bounded, or multimodal. The price paid for this generality is that the method requires independent random sampling and provides a tolerance statement rather than a fitted distribution.</w:t>
      </w:r>
    </w:p>
    <w:p w14:paraId="62D7345D" w14:textId="77777777" w:rsidR="000F504F" w:rsidRDefault="00406E9C">
      <w:pPr>
        <w:pStyle w:val="Heading2"/>
        <w:keepNext/>
      </w:pPr>
      <w:bookmarkStart w:id="68" w:name="_Toc231232913"/>
      <w:r>
        <w:t>8.4 First-Order Wilks Formula</w:t>
      </w:r>
      <w:bookmarkEnd w:id="68"/>
    </w:p>
    <w:p w14:paraId="7500B3D7" w14:textId="77777777" w:rsidR="000F504F" w:rsidRDefault="00406E9C">
      <w:pPr>
        <w:pStyle w:val="FirstParagraph"/>
      </w:pPr>
      <w:r>
        <w:t xml:space="preserve">The most common nuclear-safety application is the first-order one-sided Wilks method, where the maximum observed value is used as the tolerance limit. Setting </w:t>
      </w:r>
      <m:oMath>
        <m:r>
          <w:rPr>
            <w:rFonts w:ascii="Cambria Math" w:hAnsi="Cambria Math"/>
          </w:rPr>
          <m:t>m</m:t>
        </m:r>
        <m:r>
          <m:rPr>
            <m:sty m:val="p"/>
          </m:rPr>
          <w:rPr>
            <w:rFonts w:ascii="Cambria Math" w:hAnsi="Cambria Math"/>
          </w:rPr>
          <m:t>=</m:t>
        </m:r>
        <m:r>
          <w:rPr>
            <w:rFonts w:ascii="Cambria Math" w:hAnsi="Cambria Math"/>
          </w:rPr>
          <m:t>1</m:t>
        </m:r>
      </m:oMath>
      <w:r>
        <w:t xml:space="preserve"> in Eq. (8.12) gives</w:t>
      </w:r>
    </w:p>
    <w:p w14:paraId="37003A10" w14:textId="77777777" w:rsidR="000F504F" w:rsidRDefault="00406E9C">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N</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8.14</m:t>
              </m:r>
            </m:e>
          </m:d>
        </m:oMath>
      </m:oMathPara>
    </w:p>
    <w:p w14:paraId="1EC05480" w14:textId="77777777" w:rsidR="000F504F" w:rsidRDefault="00406E9C">
      <w:pPr>
        <w:pStyle w:val="FirstParagraph"/>
      </w:pPr>
      <w:r>
        <w:t xml:space="preserve">Solving for </w:t>
      </w:r>
      <m:oMath>
        <m:r>
          <w:rPr>
            <w:rFonts w:ascii="Cambria Math" w:hAnsi="Cambria Math"/>
          </w:rPr>
          <m:t>N</m:t>
        </m:r>
      </m:oMath>
      <w:r>
        <w:t xml:space="preserve"> gives</w:t>
      </w:r>
    </w:p>
    <w:p w14:paraId="5376806D" w14:textId="77777777" w:rsidR="000F504F" w:rsidRDefault="00406E9C">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num>
            <m:den>
              <m:r>
                <m:rPr>
                  <m:sty m:val="p"/>
                </m:rPr>
                <w:rPr>
                  <w:rFonts w:ascii="Cambria Math" w:hAnsi="Cambria Math"/>
                </w:rPr>
                <m:t>ln</m:t>
              </m:r>
              <m:d>
                <m:dPr>
                  <m:ctrlPr>
                    <w:rPr>
                      <w:rFonts w:ascii="Cambria Math" w:hAnsi="Cambria Math"/>
                    </w:rPr>
                  </m:ctrlPr>
                </m:dPr>
                <m:e>
                  <m:r>
                    <w:rPr>
                      <w:rFonts w:ascii="Cambria Math" w:hAnsi="Cambria Math"/>
                    </w:rPr>
                    <m:t>γ</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8.15</m:t>
              </m:r>
            </m:e>
          </m:d>
        </m:oMath>
      </m:oMathPara>
    </w:p>
    <w:p w14:paraId="0429ABD8" w14:textId="77777777" w:rsidR="000F504F" w:rsidRDefault="00406E9C">
      <w:pPr>
        <w:pStyle w:val="FirstParagraph"/>
      </w:pPr>
      <w:r>
        <w:t>For a 95/95 tolerance limit,</w:t>
      </w:r>
    </w:p>
    <w:p w14:paraId="4DB23391" w14:textId="77777777" w:rsidR="000F504F" w:rsidRDefault="00406E9C">
      <w:pPr>
        <w:pStyle w:val="BodyTex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0.05</m:t>
                  </m:r>
                </m:e>
              </m:d>
            </m:num>
            <m:den>
              <m:r>
                <m:rPr>
                  <m:sty m:val="p"/>
                </m:rPr>
                <w:rPr>
                  <w:rFonts w:ascii="Cambria Math" w:hAnsi="Cambria Math"/>
                </w:rPr>
                <m:t>ln</m:t>
              </m:r>
              <m:d>
                <m:dPr>
                  <m:ctrlPr>
                    <w:rPr>
                      <w:rFonts w:ascii="Cambria Math" w:hAnsi="Cambria Math"/>
                    </w:rPr>
                  </m:ctrlPr>
                </m:dPr>
                <m:e>
                  <m:r>
                    <w:rPr>
                      <w:rFonts w:ascii="Cambria Math" w:hAnsi="Cambria Math"/>
                    </w:rPr>
                    <m:t>0.95</m:t>
                  </m:r>
                </m:e>
              </m:d>
            </m:den>
          </m:f>
          <m:r>
            <m:rPr>
              <m:sty m:val="p"/>
            </m:rPr>
            <w:rPr>
              <w:rFonts w:ascii="Cambria Math" w:hAnsi="Cambria Math"/>
            </w:rPr>
            <m:t>=</m:t>
          </m:r>
          <m:r>
            <w:rPr>
              <w:rFonts w:ascii="Cambria Math" w:hAnsi="Cambria Math"/>
            </w:rPr>
            <m:t>58.4</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8.16</m:t>
              </m:r>
            </m:e>
          </m:d>
        </m:oMath>
      </m:oMathPara>
    </w:p>
    <w:p w14:paraId="4871210F" w14:textId="77777777" w:rsidR="000F504F" w:rsidRDefault="00406E9C">
      <w:pPr>
        <w:pStyle w:val="FirstParagraph"/>
      </w:pPr>
      <w:r>
        <w:t>Rounding upward gives the familiar requirement</w:t>
      </w:r>
    </w:p>
    <w:p w14:paraId="370E1F0E" w14:textId="77777777" w:rsidR="000F504F" w:rsidRDefault="00406E9C">
      <w:pPr>
        <w:pStyle w:val="BodyText"/>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59</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8.17</m:t>
              </m:r>
            </m:e>
          </m:d>
        </m:oMath>
      </m:oMathPara>
    </w:p>
    <w:p w14:paraId="33CA376D" w14:textId="77777777" w:rsidR="000F504F" w:rsidRDefault="00406E9C">
      <w:pPr>
        <w:pStyle w:val="FirstParagraph"/>
      </w:pPr>
      <w:r>
        <w:t>Thus, if 59 independent FLARE calculations are performed and the largest calculated value of a scalar output is reported, that value is a one-sided 95/95 upper tolerance limit for that output. For peak cladding temperature, the estimator is</w:t>
      </w:r>
    </w:p>
    <w:p w14:paraId="6FBD142E" w14:textId="77777777" w:rsidR="000F504F" w:rsidRDefault="00406E9C">
      <w:pPr>
        <w:pStyle w:val="BodyText"/>
      </w:pPr>
      <m:oMathPara>
        <m:oMathParaPr>
          <m:jc m:val="center"/>
        </m:oMathParaPr>
        <m:oMath>
          <m:r>
            <w:rPr>
              <w:rFonts w:ascii="Cambria Math" w:hAnsi="Cambria Math"/>
            </w:rPr>
            <m:t>PC</m:t>
          </m:r>
          <m:sSub>
            <m:sSubPr>
              <m:ctrlPr>
                <w:rPr>
                  <w:rFonts w:ascii="Cambria Math" w:hAnsi="Cambria Math"/>
                </w:rPr>
              </m:ctrlPr>
            </m:sSubPr>
            <m:e>
              <m:r>
                <w:rPr>
                  <w:rFonts w:ascii="Cambria Math" w:hAnsi="Cambria Math"/>
                </w:rPr>
                <m:t>T</m:t>
              </m:r>
            </m:e>
            <m:sub>
              <m:r>
                <w:rPr>
                  <w:rFonts w:ascii="Cambria Math" w:hAnsi="Cambria Math"/>
                </w:rPr>
                <m:t>95</m:t>
              </m:r>
              <m:r>
                <m:rPr>
                  <m:sty m:val="p"/>
                </m:rPr>
                <w:rPr>
                  <w:rFonts w:ascii="Cambria Math" w:hAnsi="Cambria Math"/>
                </w:rPr>
                <m:t>/</m:t>
              </m:r>
              <m:r>
                <w:rPr>
                  <w:rFonts w:ascii="Cambria Math" w:hAnsi="Cambria Math"/>
                </w:rPr>
                <m:t>95</m:t>
              </m:r>
            </m:sub>
          </m:sSub>
          <m:r>
            <m:rPr>
              <m:sty m:val="p"/>
            </m:rPr>
            <w:rPr>
              <w:rFonts w:ascii="Cambria Math" w:hAnsi="Cambria Math"/>
            </w:rPr>
            <m:t>=max</m:t>
          </m:r>
          <m:d>
            <m:dPr>
              <m:ctrlPr>
                <w:rPr>
                  <w:rFonts w:ascii="Cambria Math" w:hAnsi="Cambria Math"/>
                </w:rPr>
              </m:ctrlPr>
            </m:dPr>
            <m:e>
              <m:r>
                <w:rPr>
                  <w:rFonts w:ascii="Cambria Math" w:hAnsi="Cambria Math"/>
                </w:rPr>
                <m:t>PC</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PC</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PC</m:t>
              </m:r>
              <m:sSub>
                <m:sSubPr>
                  <m:ctrlPr>
                    <w:rPr>
                      <w:rFonts w:ascii="Cambria Math" w:hAnsi="Cambria Math"/>
                    </w:rPr>
                  </m:ctrlPr>
                </m:sSubPr>
                <m:e>
                  <m:r>
                    <w:rPr>
                      <w:rFonts w:ascii="Cambria Math" w:hAnsi="Cambria Math"/>
                    </w:rPr>
                    <m:t>T</m:t>
                  </m:r>
                </m:e>
                <m:sub>
                  <m:r>
                    <w:rPr>
                      <w:rFonts w:ascii="Cambria Math" w:hAnsi="Cambria Math"/>
                    </w:rPr>
                    <m:t>59</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8.18</m:t>
              </m:r>
            </m:e>
          </m:d>
        </m:oMath>
      </m:oMathPara>
    </w:p>
    <w:p w14:paraId="43BC22C5" w14:textId="77777777" w:rsidR="000F504F" w:rsidRDefault="00406E9C">
      <w:pPr>
        <w:pStyle w:val="FirstParagraph"/>
      </w:pPr>
      <w:r>
        <w:t>For a lower-bound acceptance variable, the analogous estimator would be the minimum observed value. FLARE’s principal accident-analysis metrics are normally upper-bound metrics, so the default reporting logic focuses on maxima and upper percentiles.</w:t>
      </w:r>
    </w:p>
    <w:p w14:paraId="238EB55D" w14:textId="77777777" w:rsidR="000F504F" w:rsidRDefault="00406E9C">
      <w:pPr>
        <w:pStyle w:val="Heading2"/>
        <w:keepNext/>
      </w:pPr>
      <w:bookmarkStart w:id="69" w:name="_Toc231232914"/>
      <w:r>
        <w:lastRenderedPageBreak/>
        <w:t>8.5 Higher-Order Wilks Estimates</w:t>
      </w:r>
      <w:bookmarkEnd w:id="69"/>
    </w:p>
    <w:p w14:paraId="34D06370" w14:textId="77777777" w:rsidR="000F504F" w:rsidRDefault="00406E9C">
      <w:pPr>
        <w:pStyle w:val="FirstParagraph"/>
      </w:pPr>
      <w:r>
        <w:t>First-order Wilks is simple and robust, but it is sensitive to outliers because the tolerance limit is the single most limiting sampled case. Higher-order methods reduce this sensitivity by selecting the second, third, or later largest result, while increasing the required sample size to preserve the same coverage and confidence.</w:t>
      </w:r>
    </w:p>
    <w:p w14:paraId="3983916F" w14:textId="77777777" w:rsidR="000F504F" w:rsidRDefault="00406E9C">
      <w:pPr>
        <w:pStyle w:val="BodyText"/>
      </w:pPr>
      <w:r>
        <w:t xml:space="preserve">For </w:t>
      </w:r>
      <m:oMath>
        <m:r>
          <w:rPr>
            <w:rFonts w:ascii="Cambria Math" w:hAnsi="Cambria Math"/>
          </w:rPr>
          <m:t>m</m:t>
        </m:r>
        <m:r>
          <m:rPr>
            <m:sty m:val="p"/>
          </m:rPr>
          <w:rPr>
            <w:rFonts w:ascii="Cambria Math" w:hAnsi="Cambria Math"/>
          </w:rPr>
          <m:t>=</m:t>
        </m:r>
        <m:r>
          <w:rPr>
            <w:rFonts w:ascii="Cambria Math" w:hAnsi="Cambria Math"/>
          </w:rPr>
          <m:t>2</m:t>
        </m:r>
      </m:oMath>
      <w:r>
        <w:t>, Eq. (8.12) becomes</w:t>
      </w:r>
    </w:p>
    <w:p w14:paraId="076F2FB0" w14:textId="77777777" w:rsidR="000F504F" w:rsidRDefault="00406E9C">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N</m:t>
              </m:r>
            </m:sup>
          </m:sSup>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sSup>
            <m:sSupPr>
              <m:ctrlPr>
                <w:rPr>
                  <w:rFonts w:ascii="Cambria Math" w:hAnsi="Cambria Math"/>
                </w:rPr>
              </m:ctrlPr>
            </m:sSupPr>
            <m:e>
              <m:r>
                <w:rPr>
                  <w:rFonts w:ascii="Cambria Math" w:hAnsi="Cambria Math"/>
                </w:rPr>
                <m:t>γ</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8.19</m:t>
              </m:r>
            </m:e>
          </m:d>
        </m:oMath>
      </m:oMathPara>
    </w:p>
    <w:p w14:paraId="4F8516AD" w14:textId="77777777" w:rsidR="000F504F" w:rsidRDefault="00406E9C">
      <w:pPr>
        <w:pStyle w:val="FirstParagraph"/>
      </w:pPr>
      <w:r>
        <w:t xml:space="preserve">For </w:t>
      </w:r>
      <m:oMath>
        <m:r>
          <w:rPr>
            <w:rFonts w:ascii="Cambria Math" w:hAnsi="Cambria Math"/>
          </w:rPr>
          <m:t>γ</m:t>
        </m:r>
        <m:r>
          <m:rPr>
            <m:sty m:val="p"/>
          </m:rPr>
          <w:rPr>
            <w:rFonts w:ascii="Cambria Math" w:hAnsi="Cambria Math"/>
          </w:rPr>
          <m:t>=</m:t>
        </m:r>
        <m:r>
          <w:rPr>
            <w:rFonts w:ascii="Cambria Math" w:hAnsi="Cambria Math"/>
          </w:rPr>
          <m:t>0.95</m:t>
        </m:r>
      </m:oMath>
      <w:r>
        <w:t xml:space="preserve"> and </w:t>
      </w:r>
      <m:oMath>
        <m:r>
          <w:rPr>
            <w:rFonts w:ascii="Cambria Math" w:hAnsi="Cambria Math"/>
          </w:rPr>
          <m:t>β</m:t>
        </m:r>
        <m:r>
          <m:rPr>
            <m:sty m:val="p"/>
          </m:rPr>
          <w:rPr>
            <w:rFonts w:ascii="Cambria Math" w:hAnsi="Cambria Math"/>
          </w:rPr>
          <m:t>=</m:t>
        </m:r>
        <m:r>
          <w:rPr>
            <w:rFonts w:ascii="Cambria Math" w:hAnsi="Cambria Math"/>
          </w:rPr>
          <m:t>0.95</m:t>
        </m:r>
      </m:oMath>
      <w:r>
        <w:t xml:space="preserve">, the required sample size is </w:t>
      </w:r>
      <m:oMath>
        <m:r>
          <w:rPr>
            <w:rFonts w:ascii="Cambria Math" w:hAnsi="Cambria Math"/>
          </w:rPr>
          <m:t>N</m:t>
        </m:r>
        <m:r>
          <m:rPr>
            <m:sty m:val="p"/>
          </m:rPr>
          <w:rPr>
            <w:rFonts w:ascii="Cambria Math" w:hAnsi="Cambria Math"/>
          </w:rPr>
          <m:t>=</m:t>
        </m:r>
        <m:r>
          <w:rPr>
            <w:rFonts w:ascii="Cambria Math" w:hAnsi="Cambria Math"/>
          </w:rPr>
          <m:t>93</m:t>
        </m:r>
      </m:oMath>
      <w:r>
        <w:t>. The second largest result from 93 calculations is therefore a one-sided 95/95 upper tolerance limit. Continuing this procedure gives the common sequence in Table 8-1.</w:t>
      </w:r>
    </w:p>
    <w:tbl>
      <w:tblPr>
        <w:tblStyle w:val="Table"/>
        <w:tblW w:w="5000" w:type="pct"/>
        <w:tblLayout w:type="fixed"/>
        <w:tblLook w:val="0020" w:firstRow="1" w:lastRow="0" w:firstColumn="0" w:lastColumn="0" w:noHBand="0" w:noVBand="0"/>
      </w:tblPr>
      <w:tblGrid>
        <w:gridCol w:w="2668"/>
        <w:gridCol w:w="2669"/>
        <w:gridCol w:w="2669"/>
        <w:gridCol w:w="2002"/>
      </w:tblGrid>
      <w:tr w:rsidR="000F504F" w14:paraId="65FF7AC8" w14:textId="77777777" w:rsidTr="000F504F">
        <w:trPr>
          <w:cnfStyle w:val="100000000000" w:firstRow="1" w:lastRow="0" w:firstColumn="0" w:lastColumn="0" w:oddVBand="0" w:evenVBand="0" w:oddHBand="0" w:evenHBand="0" w:firstRowFirstColumn="0" w:firstRowLastColumn="0" w:lastRowFirstColumn="0" w:lastRowLastColumn="0"/>
          <w:tblHeader/>
        </w:trPr>
        <w:tc>
          <w:tcPr>
            <w:tcW w:w="2112" w:type="dxa"/>
          </w:tcPr>
          <w:p w14:paraId="3FC3DD57" w14:textId="77777777" w:rsidR="000F504F" w:rsidRDefault="00406E9C">
            <w:pPr>
              <w:pStyle w:val="Compact"/>
              <w:jc w:val="right"/>
            </w:pPr>
            <w:r>
              <w:t>Selected order statistic</w:t>
            </w:r>
          </w:p>
        </w:tc>
        <w:tc>
          <w:tcPr>
            <w:tcW w:w="2112" w:type="dxa"/>
          </w:tcPr>
          <w:p w14:paraId="580F1B0F" w14:textId="77777777" w:rsidR="000F504F" w:rsidRDefault="00406E9C">
            <w:pPr>
              <w:pStyle w:val="Compact"/>
              <w:jc w:val="right"/>
            </w:pPr>
            <m:oMathPara>
              <m:oMath>
                <m:r>
                  <w:rPr>
                    <w:rFonts w:ascii="Cambria Math" w:hAnsi="Cambria Math"/>
                  </w:rPr>
                  <m:t>m</m:t>
                </m:r>
              </m:oMath>
            </m:oMathPara>
          </w:p>
        </w:tc>
        <w:tc>
          <w:tcPr>
            <w:tcW w:w="2112" w:type="dxa"/>
          </w:tcPr>
          <w:p w14:paraId="568E0117" w14:textId="77777777" w:rsidR="000F504F" w:rsidRDefault="00406E9C">
            <w:pPr>
              <w:pStyle w:val="Compact"/>
              <w:jc w:val="right"/>
            </w:pPr>
            <w:r>
              <w:t xml:space="preserve">Required </w:t>
            </w:r>
            <m:oMath>
              <m:r>
                <w:rPr>
                  <w:rFonts w:ascii="Cambria Math" w:hAnsi="Cambria Math"/>
                </w:rPr>
                <m:t>N</m:t>
              </m:r>
            </m:oMath>
            <w:r>
              <w:t xml:space="preserve"> for one-sided 95/95</w:t>
            </w:r>
          </w:p>
        </w:tc>
        <w:tc>
          <w:tcPr>
            <w:tcW w:w="1584" w:type="dxa"/>
          </w:tcPr>
          <w:p w14:paraId="20CCA5C0" w14:textId="77777777" w:rsidR="000F504F" w:rsidRDefault="00406E9C">
            <w:pPr>
              <w:pStyle w:val="Compact"/>
            </w:pPr>
            <w:r>
              <w:t>Reported estimator</w:t>
            </w:r>
          </w:p>
        </w:tc>
      </w:tr>
      <w:tr w:rsidR="000F504F" w14:paraId="4A87A706" w14:textId="77777777">
        <w:tc>
          <w:tcPr>
            <w:tcW w:w="2112" w:type="dxa"/>
          </w:tcPr>
          <w:p w14:paraId="1516482A" w14:textId="77777777" w:rsidR="000F504F" w:rsidRDefault="00406E9C">
            <w:pPr>
              <w:pStyle w:val="Compact"/>
              <w:jc w:val="right"/>
            </w:pPr>
            <w:r>
              <w:t>Largest</w:t>
            </w:r>
          </w:p>
        </w:tc>
        <w:tc>
          <w:tcPr>
            <w:tcW w:w="2112" w:type="dxa"/>
          </w:tcPr>
          <w:p w14:paraId="12DB3041" w14:textId="77777777" w:rsidR="000F504F" w:rsidRDefault="00406E9C">
            <w:pPr>
              <w:pStyle w:val="Compact"/>
              <w:jc w:val="right"/>
            </w:pPr>
            <w:r>
              <w:t>1</w:t>
            </w:r>
          </w:p>
        </w:tc>
        <w:tc>
          <w:tcPr>
            <w:tcW w:w="2112" w:type="dxa"/>
          </w:tcPr>
          <w:p w14:paraId="7DD6DB8A" w14:textId="77777777" w:rsidR="000F504F" w:rsidRDefault="00406E9C">
            <w:pPr>
              <w:pStyle w:val="Compact"/>
              <w:jc w:val="right"/>
            </w:pPr>
            <w:r>
              <w:t>59</w:t>
            </w:r>
          </w:p>
        </w:tc>
        <w:tc>
          <w:tcPr>
            <w:tcW w:w="1584" w:type="dxa"/>
          </w:tcPr>
          <w:p w14:paraId="36B14A99" w14:textId="77777777" w:rsidR="000F504F" w:rsidRDefault="00406E9C">
            <w:pPr>
              <w:pStyle w:val="Compact"/>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e>
                    </m:d>
                  </m:sub>
                </m:sSub>
              </m:oMath>
            </m:oMathPara>
          </w:p>
        </w:tc>
      </w:tr>
      <w:tr w:rsidR="000F504F" w14:paraId="03FEC0FD" w14:textId="77777777">
        <w:tc>
          <w:tcPr>
            <w:tcW w:w="2112" w:type="dxa"/>
          </w:tcPr>
          <w:p w14:paraId="511F6A0B" w14:textId="77777777" w:rsidR="000F504F" w:rsidRDefault="00406E9C">
            <w:pPr>
              <w:pStyle w:val="Compact"/>
              <w:jc w:val="right"/>
            </w:pPr>
            <w:r>
              <w:t>Second largest</w:t>
            </w:r>
          </w:p>
        </w:tc>
        <w:tc>
          <w:tcPr>
            <w:tcW w:w="2112" w:type="dxa"/>
          </w:tcPr>
          <w:p w14:paraId="3D34122C" w14:textId="77777777" w:rsidR="000F504F" w:rsidRDefault="00406E9C">
            <w:pPr>
              <w:pStyle w:val="Compact"/>
              <w:jc w:val="right"/>
            </w:pPr>
            <w:r>
              <w:t>2</w:t>
            </w:r>
          </w:p>
        </w:tc>
        <w:tc>
          <w:tcPr>
            <w:tcW w:w="2112" w:type="dxa"/>
          </w:tcPr>
          <w:p w14:paraId="11A9E439" w14:textId="77777777" w:rsidR="000F504F" w:rsidRDefault="00406E9C">
            <w:pPr>
              <w:pStyle w:val="Compact"/>
              <w:jc w:val="right"/>
            </w:pPr>
            <w:r>
              <w:t>93</w:t>
            </w:r>
          </w:p>
        </w:tc>
        <w:tc>
          <w:tcPr>
            <w:tcW w:w="1584" w:type="dxa"/>
          </w:tcPr>
          <w:p w14:paraId="3DA52810" w14:textId="77777777" w:rsidR="000F504F" w:rsidRDefault="00406E9C">
            <w:pPr>
              <w:pStyle w:val="Compact"/>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oMath>
            </m:oMathPara>
          </w:p>
        </w:tc>
      </w:tr>
      <w:tr w:rsidR="000F504F" w14:paraId="19D10BCF" w14:textId="77777777">
        <w:tc>
          <w:tcPr>
            <w:tcW w:w="2112" w:type="dxa"/>
          </w:tcPr>
          <w:p w14:paraId="5F3E4ED9" w14:textId="77777777" w:rsidR="000F504F" w:rsidRDefault="00406E9C">
            <w:pPr>
              <w:pStyle w:val="Compact"/>
              <w:jc w:val="right"/>
            </w:pPr>
            <w:r>
              <w:t>Third largest</w:t>
            </w:r>
          </w:p>
        </w:tc>
        <w:tc>
          <w:tcPr>
            <w:tcW w:w="2112" w:type="dxa"/>
          </w:tcPr>
          <w:p w14:paraId="7463C9B9" w14:textId="77777777" w:rsidR="000F504F" w:rsidRDefault="00406E9C">
            <w:pPr>
              <w:pStyle w:val="Compact"/>
              <w:jc w:val="right"/>
            </w:pPr>
            <w:r>
              <w:t>3</w:t>
            </w:r>
          </w:p>
        </w:tc>
        <w:tc>
          <w:tcPr>
            <w:tcW w:w="2112" w:type="dxa"/>
          </w:tcPr>
          <w:p w14:paraId="333EB7D1" w14:textId="77777777" w:rsidR="000F504F" w:rsidRDefault="00406E9C">
            <w:pPr>
              <w:pStyle w:val="Compact"/>
              <w:jc w:val="right"/>
            </w:pPr>
            <w:r>
              <w:t>124</w:t>
            </w:r>
          </w:p>
        </w:tc>
        <w:tc>
          <w:tcPr>
            <w:tcW w:w="1584" w:type="dxa"/>
          </w:tcPr>
          <w:p w14:paraId="081E9F47" w14:textId="77777777" w:rsidR="000F504F" w:rsidRDefault="00406E9C">
            <w:pPr>
              <w:pStyle w:val="Compact"/>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sub>
                </m:sSub>
              </m:oMath>
            </m:oMathPara>
          </w:p>
        </w:tc>
      </w:tr>
      <w:tr w:rsidR="000F504F" w14:paraId="1E0981F1" w14:textId="77777777">
        <w:tc>
          <w:tcPr>
            <w:tcW w:w="2112" w:type="dxa"/>
          </w:tcPr>
          <w:p w14:paraId="03BED3B4" w14:textId="77777777" w:rsidR="000F504F" w:rsidRDefault="00406E9C">
            <w:pPr>
              <w:pStyle w:val="Compact"/>
              <w:jc w:val="right"/>
            </w:pPr>
            <w:r>
              <w:t>Fourth largest</w:t>
            </w:r>
          </w:p>
        </w:tc>
        <w:tc>
          <w:tcPr>
            <w:tcW w:w="2112" w:type="dxa"/>
          </w:tcPr>
          <w:p w14:paraId="4ACC4927" w14:textId="77777777" w:rsidR="000F504F" w:rsidRDefault="00406E9C">
            <w:pPr>
              <w:pStyle w:val="Compact"/>
              <w:jc w:val="right"/>
            </w:pPr>
            <w:r>
              <w:t>4</w:t>
            </w:r>
          </w:p>
        </w:tc>
        <w:tc>
          <w:tcPr>
            <w:tcW w:w="2112" w:type="dxa"/>
          </w:tcPr>
          <w:p w14:paraId="1A1F2FD1" w14:textId="77777777" w:rsidR="000F504F" w:rsidRDefault="00406E9C">
            <w:pPr>
              <w:pStyle w:val="Compact"/>
              <w:jc w:val="right"/>
            </w:pPr>
            <w:r>
              <w:t>153</w:t>
            </w:r>
          </w:p>
        </w:tc>
        <w:tc>
          <w:tcPr>
            <w:tcW w:w="1584" w:type="dxa"/>
          </w:tcPr>
          <w:p w14:paraId="397A25D0" w14:textId="77777777" w:rsidR="000F504F" w:rsidRDefault="00406E9C">
            <w:pPr>
              <w:pStyle w:val="Compact"/>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3</m:t>
                        </m:r>
                      </m:e>
                    </m:d>
                  </m:sub>
                </m:sSub>
              </m:oMath>
            </m:oMathPara>
          </w:p>
        </w:tc>
      </w:tr>
      <w:tr w:rsidR="000F504F" w14:paraId="3BDEDFD8" w14:textId="77777777">
        <w:tc>
          <w:tcPr>
            <w:tcW w:w="2112" w:type="dxa"/>
          </w:tcPr>
          <w:p w14:paraId="6DCACB2C" w14:textId="77777777" w:rsidR="000F504F" w:rsidRDefault="00406E9C">
            <w:pPr>
              <w:pStyle w:val="Compact"/>
              <w:jc w:val="right"/>
            </w:pPr>
            <w:r>
              <w:t>Tenth largest</w:t>
            </w:r>
          </w:p>
        </w:tc>
        <w:tc>
          <w:tcPr>
            <w:tcW w:w="2112" w:type="dxa"/>
          </w:tcPr>
          <w:p w14:paraId="17E141E9" w14:textId="77777777" w:rsidR="000F504F" w:rsidRDefault="00406E9C">
            <w:pPr>
              <w:pStyle w:val="Compact"/>
              <w:jc w:val="right"/>
            </w:pPr>
            <w:r>
              <w:t>10</w:t>
            </w:r>
          </w:p>
        </w:tc>
        <w:tc>
          <w:tcPr>
            <w:tcW w:w="2112" w:type="dxa"/>
          </w:tcPr>
          <w:p w14:paraId="37AA42EA" w14:textId="77777777" w:rsidR="000F504F" w:rsidRDefault="00406E9C">
            <w:pPr>
              <w:pStyle w:val="Compact"/>
              <w:jc w:val="right"/>
            </w:pPr>
            <w:r>
              <w:t>311</w:t>
            </w:r>
          </w:p>
        </w:tc>
        <w:tc>
          <w:tcPr>
            <w:tcW w:w="1584" w:type="dxa"/>
          </w:tcPr>
          <w:p w14:paraId="19D5D87C" w14:textId="77777777" w:rsidR="000F504F" w:rsidRDefault="00406E9C">
            <w:pPr>
              <w:pStyle w:val="Compact"/>
            </w:pPr>
            <m:oMathPara>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9</m:t>
                        </m:r>
                      </m:e>
                    </m:d>
                  </m:sub>
                </m:sSub>
              </m:oMath>
            </m:oMathPara>
          </w:p>
        </w:tc>
      </w:tr>
    </w:tbl>
    <w:p w14:paraId="703E304A" w14:textId="77777777" w:rsidR="000F504F" w:rsidRDefault="00406E9C">
      <w:pPr>
        <w:pStyle w:val="BodyText"/>
      </w:pPr>
      <w:r>
        <w:t>Table 8-1. Common one-sided 95/95 Wilks sample sizes.</w:t>
      </w:r>
    </w:p>
    <w:p w14:paraId="1CCF8A62" w14:textId="77777777" w:rsidR="000F504F" w:rsidRDefault="00406E9C">
      <w:pPr>
        <w:pStyle w:val="BodyText"/>
      </w:pPr>
      <w:r>
        <w:t>The higher-order estimator is often a better estimate of the true 95th percentile of the calculated output distribution, but it requires more calculations. In a production BEPU method this tradeoff must be decided before the analysis is performed. Selecting a higher-order treatment after examining the results would introduce a selection bias and would not preserve the intended statistical interpretation.</w:t>
      </w:r>
    </w:p>
    <w:p w14:paraId="60FCA30C" w14:textId="77777777" w:rsidR="000F504F" w:rsidRDefault="00406E9C">
      <w:pPr>
        <w:pStyle w:val="Heading2"/>
        <w:keepNext/>
      </w:pPr>
      <w:bookmarkStart w:id="70" w:name="_Toc231232915"/>
      <w:r>
        <w:t>8.6 Acceptance Criteria Versus Tolerance Limits</w:t>
      </w:r>
      <w:bookmarkEnd w:id="70"/>
    </w:p>
    <w:p w14:paraId="5707EE35" w14:textId="77777777" w:rsidR="000F504F" w:rsidRDefault="00406E9C">
      <w:pPr>
        <w:pStyle w:val="FirstParagraph"/>
      </w:pPr>
      <w:r>
        <w:t>A tolerance limit and a regulatory acceptance decision are related but not identical. A tolerance-limit calculation estimates a value that bounds a specified fraction of the output population with a specified confidence. A regulatory decision usually asks whether the calculated outcome satisfies one or more fixed acceptance limits.</w:t>
      </w:r>
    </w:p>
    <w:p w14:paraId="664A41D7" w14:textId="77777777" w:rsidR="000F504F" w:rsidRDefault="00406E9C">
      <w:pPr>
        <w:pStyle w:val="BodyText"/>
      </w:pPr>
      <w:r>
        <w:t xml:space="preserve">For a scalar upper-bound acceptance criterion </w:t>
      </w:r>
      <m:oMath>
        <m:r>
          <w:rPr>
            <w:rFonts w:ascii="Cambria Math" w:hAnsi="Cambria Math"/>
          </w:rPr>
          <m:t>L</m:t>
        </m:r>
      </m:oMath>
      <w:r>
        <w:t>, the acceptance test based on first-order Wilks is</w:t>
      </w:r>
    </w:p>
    <w:p w14:paraId="49CCC61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Y</m:t>
              </m:r>
            </m:e>
            <m:sub>
              <m:d>
                <m:dPr>
                  <m:ctrlPr>
                    <w:rPr>
                      <w:rFonts w:ascii="Cambria Math" w:hAnsi="Cambria Math"/>
                    </w:rPr>
                  </m:ctrlPr>
                </m:dPr>
                <m:e>
                  <m:r>
                    <w:rPr>
                      <w:rFonts w:ascii="Cambria Math" w:hAnsi="Cambria Math"/>
                    </w:rPr>
                    <m:t>N</m:t>
                  </m:r>
                </m:e>
              </m:d>
            </m:sub>
          </m:sSub>
          <m:r>
            <m:rPr>
              <m:sty m:val="p"/>
            </m:rPr>
            <w:rPr>
              <w:rFonts w:ascii="Cambria Math" w:hAnsi="Cambria Math"/>
            </w:rPr>
            <m:t>&lt;</m:t>
          </m:r>
          <m:r>
            <w:rPr>
              <w:rFonts w:ascii="Cambria Math" w:hAnsi="Cambria Math"/>
            </w:rPr>
            <m:t>L</m:t>
          </m:r>
          <m:r>
            <m:rPr>
              <m:sty m:val="p"/>
            </m:rPr>
            <w:rPr>
              <w:rFonts w:ascii="Cambria Math" w:hAnsi="Cambria Math"/>
            </w:rPr>
            <m:t>,</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59</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8.20</m:t>
              </m:r>
            </m:e>
          </m:d>
        </m:oMath>
      </m:oMathPara>
    </w:p>
    <w:p w14:paraId="4FD883A0" w14:textId="77777777" w:rsidR="000F504F" w:rsidRDefault="00406E9C">
      <w:pPr>
        <w:pStyle w:val="FirstParagraph"/>
      </w:pPr>
      <w:r>
        <w:t>For example, a 10 CFR 50.46 peak cladding temperature test would be expressed as</w:t>
      </w:r>
    </w:p>
    <w:p w14:paraId="403E6319" w14:textId="77777777" w:rsidR="000F504F" w:rsidRDefault="00406E9C">
      <w:pPr>
        <w:pStyle w:val="BodyText"/>
      </w:pPr>
      <m:oMathPara>
        <m:oMathParaPr>
          <m:jc m:val="center"/>
        </m:oMathParaPr>
        <m:oMath>
          <m:r>
            <w:rPr>
              <w:rFonts w:ascii="Cambria Math" w:hAnsi="Cambria Math"/>
            </w:rPr>
            <m:t>PC</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N</m:t>
                  </m:r>
                </m:e>
              </m:d>
            </m:sub>
          </m:sSub>
          <m:r>
            <m:rPr>
              <m:sty m:val="p"/>
            </m:rPr>
            <w:rPr>
              <w:rFonts w:ascii="Cambria Math" w:hAnsi="Cambria Math"/>
            </w:rPr>
            <m:t>&lt;</m:t>
          </m:r>
          <m:sSup>
            <m:sSupPr>
              <m:ctrlPr>
                <w:rPr>
                  <w:rFonts w:ascii="Cambria Math" w:hAnsi="Cambria Math"/>
                </w:rPr>
              </m:ctrlPr>
            </m:sSupPr>
            <m:e>
              <m:r>
                <w:rPr>
                  <w:rFonts w:ascii="Cambria Math" w:hAnsi="Cambria Math"/>
                </w:rPr>
                <m:t>1204</m:t>
              </m:r>
            </m:e>
            <m:sup>
              <m:r>
                <m:rPr>
                  <m:sty m:val="p"/>
                </m:rPr>
                <w:rPr>
                  <w:rFonts w:ascii="Cambria Math" w:hAnsi="Cambria Math"/>
                </w:rPr>
                <m:t>∘</m:t>
              </m:r>
            </m:sup>
          </m:sSup>
          <m:r>
            <m:rPr>
              <m:sty m:val="p"/>
            </m:rPr>
            <w:rPr>
              <w:rFonts w:ascii="Cambria Math" w:hAnsi="Cambria Math"/>
            </w:rPr>
            <m:t>C.</m:t>
          </m:r>
          <m:r>
            <w:rPr>
              <w:rFonts w:ascii="Cambria Math" w:hAnsi="Cambria Math"/>
            </w:rPr>
            <m:t>  </m:t>
          </m:r>
          <m:d>
            <m:dPr>
              <m:ctrlPr>
                <w:rPr>
                  <w:rFonts w:ascii="Cambria Math" w:hAnsi="Cambria Math"/>
                </w:rPr>
              </m:ctrlPr>
            </m:dPr>
            <m:e>
              <m:r>
                <w:rPr>
                  <w:rFonts w:ascii="Cambria Math" w:hAnsi="Cambria Math"/>
                </w:rPr>
                <m:t>8.21</m:t>
              </m:r>
            </m:e>
          </m:d>
        </m:oMath>
      </m:oMathPara>
    </w:p>
    <w:p w14:paraId="346C84FC" w14:textId="77777777" w:rsidR="000F504F" w:rsidRDefault="00406E9C">
      <w:pPr>
        <w:pStyle w:val="FirstParagraph"/>
      </w:pPr>
      <w:r>
        <w:t>The practical implication is direct: if all 59 cases are below the limit, the calculation supports the conclusion that at least 95 percent of the population is below the limit with at least 95 percent confidence. If the maximum exceeds the limit, the first-order single-pass Wilks test fails for that scalar criterion, even if the exceedance appears to be an outlier.</w:t>
      </w:r>
    </w:p>
    <w:p w14:paraId="7F04D6A4" w14:textId="24471497" w:rsidR="000F504F" w:rsidRDefault="00406E9C">
      <w:pPr>
        <w:pStyle w:val="Heading2"/>
        <w:keepNext/>
      </w:pPr>
      <w:bookmarkStart w:id="71" w:name="_Toc231232916"/>
      <w:r>
        <w:t>8.7 Testing Method for Fixed Acceptance Limits</w:t>
      </w:r>
      <w:bookmarkEnd w:id="71"/>
    </w:p>
    <w:p w14:paraId="77AB444A" w14:textId="6DF402D4" w:rsidR="000F504F" w:rsidRDefault="00406E9C">
      <w:pPr>
        <w:pStyle w:val="FirstParagraph"/>
      </w:pPr>
      <w:r>
        <w:t xml:space="preserve">For FLARE’s current purpose, the most practically useful interpretation of regulatory criteria when using the nonparametric Wilks method is a direct test of fixed acceptance limits. Let the vector of outputs for case </w:t>
      </w:r>
      <m:oMath>
        <m:r>
          <w:rPr>
            <w:rFonts w:ascii="Cambria Math" w:hAnsi="Cambria Math"/>
          </w:rPr>
          <m:t>i</m:t>
        </m:r>
      </m:oMath>
      <w:r>
        <w:t xml:space="preserve"> be</w:t>
      </w:r>
    </w:p>
    <w:p w14:paraId="0067CEB0" w14:textId="77777777" w:rsidR="000F504F" w:rsidRDefault="00406E9C">
      <w:pPr>
        <w:pStyle w:val="BodyText"/>
      </w:pPr>
      <m:oMathPara>
        <m:oMathParaPr>
          <m:jc m:val="center"/>
        </m:oMathParaPr>
        <m:oMath>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q</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8.25</m:t>
              </m:r>
            </m:e>
          </m:d>
        </m:oMath>
      </m:oMathPara>
    </w:p>
    <w:p w14:paraId="2970D688" w14:textId="77777777" w:rsidR="000F504F" w:rsidRDefault="00406E9C">
      <w:pPr>
        <w:pStyle w:val="FirstParagraph"/>
      </w:pPr>
      <w:r>
        <w:t>and let the corresponding upper-bound acceptance limits be</w:t>
      </w:r>
    </w:p>
    <w:p w14:paraId="68E2F9C5" w14:textId="77777777" w:rsidR="000F504F" w:rsidRDefault="00406E9C">
      <w:pPr>
        <w:pStyle w:val="BodyText"/>
      </w:pPr>
      <m:oMathPara>
        <m:oMathParaPr>
          <m:jc m:val="center"/>
        </m:oMathParaPr>
        <m:oMath>
          <m:r>
            <m:rPr>
              <m:sty m:val="b"/>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q</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8.26</m:t>
              </m:r>
            </m:e>
          </m:d>
        </m:oMath>
      </m:oMathPara>
    </w:p>
    <w:p w14:paraId="6694E50A" w14:textId="77777777" w:rsidR="000F504F" w:rsidRDefault="00406E9C">
      <w:pPr>
        <w:pStyle w:val="FirstParagraph"/>
      </w:pPr>
      <w:r>
        <w:t>The case passes if every criterion is satisfied simultaneously:</w:t>
      </w:r>
    </w:p>
    <w:p w14:paraId="79238EBD"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 </m:t>
          </m:r>
          <m:r>
            <m:rPr>
              <m:nor/>
            </m:rPr>
            <m:t>for all</m:t>
          </m:r>
          <m: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8.27</m:t>
              </m:r>
            </m:e>
          </m:d>
        </m:oMath>
      </m:oMathPara>
    </w:p>
    <w:p w14:paraId="6427EE41" w14:textId="77777777" w:rsidR="000F504F" w:rsidRDefault="00406E9C">
      <w:pPr>
        <w:pStyle w:val="FirstParagraph"/>
      </w:pPr>
      <w:r>
        <w:t>Define a binary pass indicator,</w:t>
      </w:r>
    </w:p>
    <w:p w14:paraId="6AEC2EB8"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m:rPr>
                            <m:sty m:val="b"/>
                          </m:rPr>
                          <w:rPr>
                            <w:rFonts w:ascii="Cambria Math" w:hAnsi="Cambria Math"/>
                          </w:rPr>
                          <m:t>Y</m:t>
                        </m:r>
                      </m:e>
                      <m:sub>
                        <m:r>
                          <w:rPr>
                            <w:rFonts w:ascii="Cambria Math" w:hAnsi="Cambria Math"/>
                          </w:rPr>
                          <m:t>i</m:t>
                        </m:r>
                      </m:sub>
                    </m:sSub>
                    <m:r>
                      <m:rPr>
                        <m:sty m:val="p"/>
                      </m:rPr>
                      <w:rPr>
                        <w:rFonts w:ascii="Cambria Math" w:hAnsi="Cambria Math"/>
                      </w:rPr>
                      <m:t>&lt;</m:t>
                    </m:r>
                    <m:r>
                      <m:rPr>
                        <m:sty m:val="b"/>
                      </m:rPr>
                      <w:rPr>
                        <w:rFonts w:ascii="Cambria Math" w:hAnsi="Cambria Math"/>
                      </w:rPr>
                      <m:t>L</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otherwise</m:t>
                    </m:r>
                    <m:r>
                      <m:rPr>
                        <m:sty m:val="p"/>
                      </m:rPr>
                      <w:rPr>
                        <w:rFonts w:ascii="Cambria Math" w:hAnsi="Cambria Math"/>
                      </w:rPr>
                      <m:t>.</m:t>
                    </m:r>
                  </m:e>
                </m:mr>
              </m:m>
            </m:e>
          </m:d>
          <m:r>
            <w:rPr>
              <w:rFonts w:ascii="Cambria Math" w:hAnsi="Cambria Math"/>
            </w:rPr>
            <m:t>  </m:t>
          </m:r>
          <m:d>
            <m:dPr>
              <m:ctrlPr>
                <w:rPr>
                  <w:rFonts w:ascii="Cambria Math" w:hAnsi="Cambria Math"/>
                </w:rPr>
              </m:ctrlPr>
            </m:dPr>
            <m:e>
              <m:r>
                <w:rPr>
                  <w:rFonts w:ascii="Cambria Math" w:hAnsi="Cambria Math"/>
                </w:rPr>
                <m:t>8.28</m:t>
              </m:r>
            </m:e>
          </m:d>
        </m:oMath>
      </m:oMathPara>
    </w:p>
    <w:p w14:paraId="01C93365" w14:textId="77777777" w:rsidR="000F504F" w:rsidRDefault="00406E9C">
      <w:pPr>
        <w:pStyle w:val="FirstParagraph"/>
      </w:pPr>
      <w:r>
        <w:t>For a single-pass first-order test with no observed failures, the same Wilks expression applies to the pass/fail outcome:</w:t>
      </w:r>
    </w:p>
    <w:p w14:paraId="1EC5688F" w14:textId="77777777" w:rsidR="000F504F" w:rsidRDefault="00406E9C">
      <w:pPr>
        <w:pStyle w:val="BodyText"/>
      </w:pPr>
      <m:oMathPara>
        <m:oMathParaPr>
          <m:jc m:val="center"/>
        </m:oMathParaP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N</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8.29</m:t>
              </m:r>
            </m:e>
          </m:d>
        </m:oMath>
      </m:oMathPara>
    </w:p>
    <w:p w14:paraId="1648F8A4" w14:textId="77777777" w:rsidR="000F504F" w:rsidRDefault="00406E9C">
      <w:pPr>
        <w:pStyle w:val="FirstParagraph"/>
      </w:pPr>
      <w:r>
        <w:t>Therefore, if all 59 randomly sampled FLARE cases satisfy all imposed acceptance criteria simultaneously, the result supports the statement that the joint pass probability is at least 95 percent with 95 percent confidence. This is the basis of the Wallis-Nutt Testing Method interpretation discussed by Martin and Nutt. Its important advantage is that it is directly tied to the acceptance limits rather than to an abstract multi-dimensional tolerance surface.</w:t>
      </w:r>
    </w:p>
    <w:p w14:paraId="08776906" w14:textId="77777777" w:rsidR="000F504F" w:rsidRDefault="00406E9C">
      <w:pPr>
        <w:pStyle w:val="BodyText"/>
      </w:pPr>
      <w:r>
        <w:t xml:space="preserve">If a limited number of failures is allowed, the binomial repeated-trials form is used. Let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be the number of failed cases out of </w:t>
      </w:r>
      <m:oMath>
        <m:r>
          <w:rPr>
            <w:rFonts w:ascii="Cambria Math" w:hAnsi="Cambria Math"/>
          </w:rPr>
          <m:t>N</m:t>
        </m:r>
      </m:oMath>
      <w:r>
        <w:t xml:space="preserve"> total samples, and let </w:t>
      </w:r>
      <m:oMath>
        <m:r>
          <w:rPr>
            <w:rFonts w:ascii="Cambria Math" w:hAnsi="Cambria Math"/>
          </w:rPr>
          <m:t>m</m:t>
        </m:r>
      </m:oMath>
      <w:r>
        <w:t xml:space="preserve"> be the maximum allowed number of failures. The probability of observing no more than </w:t>
      </w:r>
      <m:oMath>
        <m:r>
          <w:rPr>
            <w:rFonts w:ascii="Cambria Math" w:hAnsi="Cambria Math"/>
          </w:rPr>
          <m:t>m</m:t>
        </m:r>
      </m:oMath>
      <w:r>
        <w:t xml:space="preserve"> failures when the true pass probability is </w:t>
      </w:r>
      <m:oMath>
        <m:r>
          <w:rPr>
            <w:rFonts w:ascii="Cambria Math" w:hAnsi="Cambria Math"/>
          </w:rPr>
          <m:t>p</m:t>
        </m:r>
      </m:oMath>
      <w:r>
        <w:t xml:space="preserve"> is</w:t>
      </w:r>
    </w:p>
    <w:p w14:paraId="6804BC8E" w14:textId="77777777" w:rsidR="000F504F" w:rsidRDefault="00406E9C">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m</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m</m:t>
              </m:r>
            </m:sup>
            <m:e>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i</m:t>
                      </m:r>
                    </m:den>
                  </m:f>
                </m:e>
              </m:d>
            </m:e>
          </m:nary>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i</m:t>
              </m:r>
            </m:sup>
          </m:sSup>
          <m:sSup>
            <m:sSupPr>
              <m:ctrlPr>
                <w:rPr>
                  <w:rFonts w:ascii="Cambria Math" w:hAnsi="Cambria Math"/>
                </w:rPr>
              </m:ctrlPr>
            </m:sSupPr>
            <m:e>
              <m:r>
                <w:rPr>
                  <w:rFonts w:ascii="Cambria Math" w:hAnsi="Cambria Math"/>
                </w:rPr>
                <m:t>p</m:t>
              </m:r>
            </m:e>
            <m:sup>
              <m:r>
                <w:rPr>
                  <w:rFonts w:ascii="Cambria Math" w:hAnsi="Cambria Math"/>
                </w:rPr>
                <m:t>N</m:t>
              </m:r>
              <m:r>
                <m:rPr>
                  <m:sty m:val="p"/>
                </m:rPr>
                <w:rPr>
                  <w:rFonts w:ascii="Cambria Math" w:hAnsi="Cambria Math"/>
                </w:rPr>
                <m:t>-</m:t>
              </m:r>
              <m:r>
                <w:rPr>
                  <w:rFonts w:ascii="Cambria Math" w:hAnsi="Cambria Math"/>
                </w:rPr>
                <m:t>i</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8.30</m:t>
              </m:r>
            </m:e>
          </m:d>
        </m:oMath>
      </m:oMathPara>
    </w:p>
    <w:p w14:paraId="18C28854" w14:textId="77777777" w:rsidR="000F504F" w:rsidRDefault="00406E9C">
      <w:pPr>
        <w:pStyle w:val="FirstParagraph"/>
      </w:pPr>
      <w:r>
        <w:t xml:space="preserve">To demonstrate coverage </w:t>
      </w:r>
      <m:oMath>
        <m:r>
          <w:rPr>
            <w:rFonts w:ascii="Cambria Math" w:hAnsi="Cambria Math"/>
          </w:rPr>
          <m:t>γ</m:t>
        </m:r>
      </m:oMath>
      <w:r>
        <w:t xml:space="preserve"> with confidence </w:t>
      </w:r>
      <m:oMath>
        <m:r>
          <w:rPr>
            <w:rFonts w:ascii="Cambria Math" w:hAnsi="Cambria Math"/>
          </w:rPr>
          <m:t>β</m:t>
        </m:r>
      </m:oMath>
      <w:r>
        <w:t>, the allowed-failure criterion must satisfy</w:t>
      </w:r>
    </w:p>
    <w:p w14:paraId="79F4B1D7" w14:textId="77777777" w:rsidR="000F504F" w:rsidRDefault="00406E9C">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8.31</m:t>
              </m:r>
            </m:e>
          </m:d>
        </m:oMath>
      </m:oMathPara>
    </w:p>
    <w:p w14:paraId="3B576F34" w14:textId="77777777" w:rsidR="000F504F" w:rsidRDefault="00406E9C">
      <w:pPr>
        <w:pStyle w:val="FirstParagraph"/>
      </w:pPr>
      <w:r>
        <w:t xml:space="preserve">When </w:t>
      </w:r>
      <m:oMath>
        <m:r>
          <w:rPr>
            <w:rFonts w:ascii="Cambria Math" w:hAnsi="Cambria Math"/>
          </w:rPr>
          <m:t>m</m:t>
        </m:r>
        <m:r>
          <m:rPr>
            <m:sty m:val="p"/>
          </m:rPr>
          <w:rPr>
            <w:rFonts w:ascii="Cambria Math" w:hAnsi="Cambria Math"/>
          </w:rPr>
          <m:t>=</m:t>
        </m:r>
        <m:r>
          <w:rPr>
            <w:rFonts w:ascii="Cambria Math" w:hAnsi="Cambria Math"/>
          </w:rPr>
          <m:t>0</m:t>
        </m:r>
      </m:oMath>
      <w:r>
        <w:t xml:space="preserve">, Eq. (8.31) reduces to Eq. (8.14). The </w:t>
      </w:r>
      <m:oMath>
        <m:r>
          <w:rPr>
            <w:rFonts w:ascii="Cambria Math" w:hAnsi="Cambria Math"/>
          </w:rPr>
          <m:t>m</m:t>
        </m:r>
        <m:r>
          <m:rPr>
            <m:sty m:val="p"/>
          </m:rPr>
          <w:rPr>
            <w:rFonts w:ascii="Cambria Math" w:hAnsi="Cambria Math"/>
          </w:rPr>
          <m:t>&gt;</m:t>
        </m:r>
        <m:r>
          <w:rPr>
            <w:rFonts w:ascii="Cambria Math" w:hAnsi="Cambria Math"/>
          </w:rPr>
          <m:t>0</m:t>
        </m:r>
      </m:oMath>
      <w:r>
        <w:t xml:space="preserve"> case can be useful for formal multi-pass methods or for methodologies that explicitly anticipate rare outliers. Such methods must be specified before the calculation is performed.</w:t>
      </w:r>
    </w:p>
    <w:p w14:paraId="2451FF86" w14:textId="3990E753" w:rsidR="000F504F" w:rsidRDefault="00406E9C">
      <w:pPr>
        <w:pStyle w:val="Heading2"/>
        <w:keepNext/>
      </w:pPr>
      <w:bookmarkStart w:id="72" w:name="_Toc231232917"/>
      <w:r>
        <w:t>8.8 FLARE Implementation and Reporting</w:t>
      </w:r>
      <w:bookmarkEnd w:id="72"/>
    </w:p>
    <w:p w14:paraId="78C48527" w14:textId="77777777" w:rsidR="000F504F" w:rsidRDefault="00406E9C">
      <w:pPr>
        <w:pStyle w:val="FirstParagraph"/>
      </w:pPr>
      <w:r>
        <w:t>The FLARE uncertainty analysis module performs the following sequence:</w:t>
      </w:r>
    </w:p>
    <w:p w14:paraId="26352254" w14:textId="77777777" w:rsidR="000F504F" w:rsidRDefault="00406E9C">
      <w:pPr>
        <w:pStyle w:val="Compact"/>
        <w:numPr>
          <w:ilvl w:val="0"/>
          <w:numId w:val="2"/>
        </w:numPr>
      </w:pPr>
      <w:r>
        <w:t>Read the base input deck and the uncertainty-variable catalogue.</w:t>
      </w:r>
    </w:p>
    <w:p w14:paraId="5F72BF6A" w14:textId="77777777" w:rsidR="000F504F" w:rsidRDefault="00406E9C">
      <w:pPr>
        <w:pStyle w:val="Compact"/>
        <w:numPr>
          <w:ilvl w:val="0"/>
          <w:numId w:val="2"/>
        </w:numPr>
      </w:pPr>
      <w:r>
        <w:t xml:space="preserve">Generate </w:t>
      </w:r>
      <m:oMath>
        <m:r>
          <w:rPr>
            <w:rFonts w:ascii="Cambria Math" w:hAnsi="Cambria Math"/>
          </w:rPr>
          <m:t>N</m:t>
        </m:r>
      </m:oMath>
      <w:r>
        <w:t xml:space="preserve"> sampled input decks by applying the specified distributions.</w:t>
      </w:r>
    </w:p>
    <w:p w14:paraId="5026299D" w14:textId="77777777" w:rsidR="000F504F" w:rsidRDefault="00406E9C">
      <w:pPr>
        <w:pStyle w:val="Compact"/>
        <w:numPr>
          <w:ilvl w:val="0"/>
          <w:numId w:val="2"/>
        </w:numPr>
      </w:pPr>
      <w:r>
        <w:t>Run the FLARE simulation for each sampled realization.</w:t>
      </w:r>
    </w:p>
    <w:p w14:paraId="63173949" w14:textId="77777777" w:rsidR="000F504F" w:rsidRDefault="00406E9C">
      <w:pPr>
        <w:pStyle w:val="Compact"/>
        <w:numPr>
          <w:ilvl w:val="0"/>
          <w:numId w:val="2"/>
        </w:numPr>
      </w:pPr>
      <w:r>
        <w:t>Extract scalar figures of merit and relevant time histories.</w:t>
      </w:r>
    </w:p>
    <w:p w14:paraId="0CFD89C7" w14:textId="77777777" w:rsidR="000F504F" w:rsidRDefault="00406E9C">
      <w:pPr>
        <w:pStyle w:val="Compact"/>
        <w:numPr>
          <w:ilvl w:val="0"/>
          <w:numId w:val="2"/>
        </w:numPr>
      </w:pPr>
      <w:r>
        <w:t>Sort each scalar output and report sample statistics, empirical percentiles, and Wilks tolerance estimates.</w:t>
      </w:r>
    </w:p>
    <w:p w14:paraId="759B4C1D" w14:textId="77777777" w:rsidR="000F504F" w:rsidRDefault="00406E9C">
      <w:pPr>
        <w:pStyle w:val="Compact"/>
        <w:numPr>
          <w:ilvl w:val="0"/>
          <w:numId w:val="2"/>
        </w:numPr>
      </w:pPr>
      <w:r>
        <w:t>Evaluate fixed acceptance criteria, where available, using scalar or joint pass/fail logic.</w:t>
      </w:r>
    </w:p>
    <w:p w14:paraId="61C3F6E9" w14:textId="77777777" w:rsidR="000F504F" w:rsidRDefault="00406E9C">
      <w:pPr>
        <w:pStyle w:val="FirstParagraph"/>
      </w:pPr>
      <w:r>
        <w:t>For scalar outputs, FLARE reports the empirical mean, standard deviation, minimum, maximum, and selected percentiles. For a 59-sample first-order Wilks run, the maximum is the one-sided 95/95 tolerance estimate. For larger runs, FLARE may additionally report higher-order Wilks estimates using the sorted output array.</w:t>
      </w:r>
    </w:p>
    <w:p w14:paraId="35E42495" w14:textId="77777777" w:rsidR="000F504F" w:rsidRDefault="00406E9C">
      <w:pPr>
        <w:pStyle w:val="BodyText"/>
      </w:pPr>
      <w:r>
        <w:lastRenderedPageBreak/>
        <w:t>For acceptance metrics with regulatory or user-defined limits, FLARE should distinguish three quantities: the most limiting observed value, the applicable limit, and the pass/fail status of the joint case vector. This distinction is important because the most limiting PCT case is not necessarily the most limiting dose case, containment-pressure case, or hydrogen case. A joint pass/fail statistic uses each sampled calculation as a complete event realization, not as a collection of unrelated scalar maxima.</w:t>
      </w:r>
    </w:p>
    <w:p w14:paraId="0C5C3D1A" w14:textId="4ED01014" w:rsidR="000F504F" w:rsidRDefault="00406E9C">
      <w:pPr>
        <w:pStyle w:val="Heading2"/>
        <w:keepNext/>
      </w:pPr>
      <w:bookmarkStart w:id="73" w:name="_Toc231232918"/>
      <w:r>
        <w:t>8.9 Interpretation and Limitations</w:t>
      </w:r>
      <w:bookmarkEnd w:id="73"/>
    </w:p>
    <w:p w14:paraId="49A0C12C" w14:textId="77777777" w:rsidR="000F504F" w:rsidRDefault="00406E9C">
      <w:pPr>
        <w:pStyle w:val="FirstParagraph"/>
      </w:pPr>
      <w:r>
        <w:t>A Wilks-based FLARE uncertainty analysis provides a non-parametric statement about the population represented by the sampled model. It does not prove that the code is correct, that the uncertainty catalogue is complete, or that the sampled distributions are physically justified. Those questions belong to evaluation-model development, code assessment, validation, and applicability review.</w:t>
      </w:r>
    </w:p>
    <w:p w14:paraId="371F8DB3" w14:textId="77777777" w:rsidR="000F504F" w:rsidRDefault="00406E9C">
      <w:pPr>
        <w:pStyle w:val="BodyText"/>
      </w:pPr>
      <w:r>
        <w:t>The principal limitations are as follows. First, the method assumes independent random samples from a fixed model and fixed uncertainty catalogue. Second, the method provides a statistical convolution of selected uncertainties, not a substitute for model validation or phenomenological completeness. Third, first-order Wilks can be sensitive to numerical failures and isolated outliers. Fourth, separate scalar tolerance limits should not be casually combined into a joint regulatory conclusion unless the method</w:t>
      </w:r>
      <w:r>
        <w:t>ology specifies how multiple acceptance criteria are handled.</w:t>
      </w:r>
    </w:p>
    <w:p w14:paraId="508BE843" w14:textId="5938B2AC" w:rsidR="000F504F" w:rsidRDefault="00406E9C">
      <w:pPr>
        <w:pStyle w:val="BodyText"/>
      </w:pPr>
      <w:r>
        <w:t>Within these limitations, the Wilks method is well matched to FLARE’s role as a rapid scoping and BEPU-support tool. It allows a large number of uncertain inputs to be propagated without constructing a response surface, avoids assumptions about output-distribution shape, and provides a transparent link between sample size, coverage, confidence, and acceptance criteria.</w:t>
      </w:r>
    </w:p>
    <w:p w14:paraId="4E1AF796" w14:textId="77777777" w:rsidR="00372D82" w:rsidRDefault="00406E9C">
      <w:pPr>
        <w:pStyle w:val="Heading2"/>
        <w:keepNext/>
      </w:pPr>
      <w:bookmarkStart w:id="74" w:name="_Toc231232918b"/>
      <w:r>
        <w:t>8.10 Importance Analysis</w:t>
      </w:r>
      <w:bookmarkEnd w:id="74"/>
    </w:p>
    <w:p w14:paraId="7B990297" w14:textId="77777777" w:rsidR="00372D82" w:rsidRDefault="00406E9C">
      <w:pPr>
        <w:pStyle w:val="FirstParagraph"/>
      </w:pPr>
      <w:r>
        <w:t>A Wilks-based uncertainty analysis establishes whether the principal figures of merit remain within regulatory limits with the required probability and confidence. It does not, however, identify which sampled input parameters are responsible for driving the calculated output uncertainty. That question is addressed by an importance analysis: a post-processing step that decomposes the total output variance into contributions from individual uncertainty contributors.</w:t>
      </w:r>
    </w:p>
    <w:p w14:paraId="38055789" w14:textId="77777777" w:rsidR="00372D82" w:rsidRDefault="00406E9C">
      <w:pPr>
        <w:pStyle w:val="BodyText"/>
      </w:pPr>
      <w:r>
        <w:t>The importance analysis implemented in FLARE follows the stepwise multiple-regression methodology described by Martin (2011). The principal reference for the theory and original large-break LOCA validation is: R.P. Martin, “Quantifying Phenomenological Importance in Best-Estimate Plus Uncertainty Analyses,” Nuclear Technology, Vol. 175, pp. 652–662 (September 2011). The following sections reproduce and adapt the key theoretical results from that paper for the FLARE implementation.</w:t>
      </w:r>
    </w:p>
    <w:p w14:paraId="3FFC0633" w14:textId="77777777" w:rsidR="00372D82" w:rsidRDefault="00406E9C">
      <w:pPr>
        <w:pStyle w:val="Heading3"/>
        <w:keepNext/>
      </w:pPr>
      <w:r>
        <w:t>8.10.1 Variance Decomposition Framework</w:t>
      </w:r>
    </w:p>
    <w:p w14:paraId="4286ADCA" w14:textId="77777777" w:rsidR="00372D82" w:rsidRDefault="00406E9C">
      <w:pPr>
        <w:pStyle w:val="FirstParagraph"/>
      </w:pPr>
      <w:r>
        <w:t>Let x</w:t>
      </w:r>
      <w:r>
        <w:rPr>
          <w:vertAlign w:val="subscript"/>
        </w:rPr>
        <w:t>o</w:t>
      </w:r>
      <w:r>
        <w:t xml:space="preserve"> denote a scalar figure of merit (such as peak cladding temperature) and let x</w:t>
      </w:r>
      <w:r>
        <w:rPr>
          <w:vertAlign w:val="subscript"/>
        </w:rPr>
        <w:t>1</w:t>
      </w:r>
      <w:r>
        <w:t>, x</w:t>
      </w:r>
      <w:r>
        <w:rPr>
          <w:vertAlign w:val="subscript"/>
        </w:rPr>
        <w:t>2</w:t>
      </w:r>
      <w:r>
        <w:t>, …, x</w:t>
      </w:r>
      <w:r>
        <w:rPr>
          <w:vertAlign w:val="subscript"/>
        </w:rPr>
        <w:t>n</w:t>
      </w:r>
      <w:r>
        <w:t xml:space="preserve"> denote the n independently sampled input uncertainty contributors. The total variance of x</w:t>
      </w:r>
      <w:r>
        <w:rPr>
          <w:vertAlign w:val="subscript"/>
        </w:rPr>
        <w:t>o</w:t>
      </w:r>
      <w:r>
        <w:t xml:space="preserve"> can be decomposed under the ANOVA assumptions as the sum of individual contributor variances:</w:t>
      </w:r>
    </w:p>
    <w:p w14:paraId="43C6015D" w14:textId="77777777" w:rsidR="00372D82" w:rsidRDefault="00406E9C">
      <w:pPr>
        <w:pStyle w:val="BodyText"/>
        <w:jc w:val="center"/>
      </w:pPr>
      <w:r>
        <w:t>Var[x</w:t>
      </w:r>
      <w:r>
        <w:rPr>
          <w:vertAlign w:val="subscript"/>
        </w:rPr>
        <w:t>o</w:t>
      </w:r>
      <w:r>
        <w:t xml:space="preserve">] = </w:t>
      </w:r>
      <w:r>
        <w:rPr>
          <w:vertAlign w:val="subscript"/>
        </w:rPr>
        <w:t>i=1</w:t>
      </w:r>
      <w:r>
        <w:t>∑</w:t>
      </w:r>
      <w:r>
        <w:rPr>
          <w:vertAlign w:val="superscript"/>
        </w:rPr>
        <w:t>n</w:t>
      </w:r>
      <w:r>
        <w:t xml:space="preserve"> Var[x</w:t>
      </w:r>
      <w:r>
        <w:rPr>
          <w:vertAlign w:val="subscript"/>
        </w:rPr>
        <w:t>o,i</w:t>
      </w:r>
      <w:r>
        <w:t>]          (8.32)</w:t>
      </w:r>
    </w:p>
    <w:p w14:paraId="1E2F249A" w14:textId="77777777" w:rsidR="00372D82" w:rsidRDefault="00406E9C">
      <w:pPr>
        <w:pStyle w:val="FirstParagraph"/>
      </w:pPr>
      <w:r>
        <w:t>where x</w:t>
      </w:r>
      <w:r>
        <w:rPr>
          <w:vertAlign w:val="subscript"/>
        </w:rPr>
        <w:t>o,i</w:t>
      </w:r>
      <w:r>
        <w:t xml:space="preserve"> is the component of x</w:t>
      </w:r>
      <w:r>
        <w:rPr>
          <w:vertAlign w:val="subscript"/>
        </w:rPr>
        <w:t>o</w:t>
      </w:r>
      <w:r>
        <w:t xml:space="preserve"> that varies with the i-th uncertainty contributor. This multivariant ANOVA decomposition assumes that the input parameters are independently sampled random variables and that x</w:t>
      </w:r>
      <w:r>
        <w:rPr>
          <w:vertAlign w:val="subscript"/>
        </w:rPr>
        <w:t>o</w:t>
      </w:r>
      <w:r>
        <w:t xml:space="preserve"> can be expressed as a function of a linear combination of the inputs. These assumptions are satisfied by construction in a FLARE uncertainty analysis, where each sampled parameter is an independent draw from its prescribed distribution and the output is a calculated scalar quantity from the simulation. The</w:t>
      </w:r>
      <w:r>
        <w:t xml:space="preserve"> decomposition is a special case of the generalized variance-decomposition approach of Sobol and Saltelli for processes with nonlinear and correlated parameters.</w:t>
      </w:r>
    </w:p>
    <w:p w14:paraId="119BFD4B" w14:textId="77777777" w:rsidR="00372D82" w:rsidRDefault="00406E9C">
      <w:pPr>
        <w:pStyle w:val="Heading3"/>
        <w:keepNext/>
      </w:pPr>
      <w:r>
        <w:lastRenderedPageBreak/>
        <w:t>8.10.2 Sample Correlation Coefficient</w:t>
      </w:r>
    </w:p>
    <w:p w14:paraId="2850D574" w14:textId="77777777" w:rsidR="00372D82" w:rsidRDefault="00406E9C">
      <w:pPr>
        <w:pStyle w:val="FirstParagraph"/>
      </w:pPr>
      <w:r>
        <w:t>The starting measure for identifying the dominant uncertainty contributor is the sample correlation coefficient r between each sampled input x</w:t>
      </w:r>
      <w:r>
        <w:rPr>
          <w:vertAlign w:val="subscript"/>
        </w:rPr>
        <w:t>i</w:t>
      </w:r>
      <w:r>
        <w:t xml:space="preserve"> and the output x</w:t>
      </w:r>
      <w:r>
        <w:rPr>
          <w:vertAlign w:val="subscript"/>
        </w:rPr>
        <w:t>o</w:t>
      </w:r>
      <w:r>
        <w:t>:</w:t>
      </w:r>
    </w:p>
    <w:p w14:paraId="40198740" w14:textId="77777777" w:rsidR="00372D82" w:rsidRDefault="00406E9C">
      <w:pPr>
        <w:pStyle w:val="BodyText"/>
        <w:jc w:val="center"/>
      </w:pPr>
      <w:r>
        <w:t>r</w:t>
      </w:r>
      <w:r>
        <w:rPr>
          <w:vertAlign w:val="subscript"/>
        </w:rPr>
        <w:t>xy</w:t>
      </w:r>
      <w:r>
        <w:t xml:space="preserve"> = ∑(x − μ</w:t>
      </w:r>
      <w:r>
        <w:rPr>
          <w:vertAlign w:val="subscript"/>
        </w:rPr>
        <w:t>x</w:t>
      </w:r>
      <w:r>
        <w:t>)(y − μ</w:t>
      </w:r>
      <w:r>
        <w:rPr>
          <w:vertAlign w:val="subscript"/>
        </w:rPr>
        <w:t>y</w:t>
      </w:r>
      <w:r>
        <w:t>) / [ √∑(x − μ</w:t>
      </w:r>
      <w:r>
        <w:rPr>
          <w:vertAlign w:val="subscript"/>
        </w:rPr>
        <w:t>x</w:t>
      </w:r>
      <w:r>
        <w:t>)² √∑(y − μ</w:t>
      </w:r>
      <w:r>
        <w:rPr>
          <w:vertAlign w:val="subscript"/>
        </w:rPr>
        <w:t>y</w:t>
      </w:r>
      <w:r>
        <w:t>)² ]          (8.33)</w:t>
      </w:r>
    </w:p>
    <w:p w14:paraId="2E66805D" w14:textId="77777777" w:rsidR="00372D82" w:rsidRDefault="00406E9C">
      <w:pPr>
        <w:pStyle w:val="FirstParagraph"/>
      </w:pPr>
      <w:r>
        <w:t>The sign of the correlation coefficient is informative: a positive value indicates that the output increases with the input, and a negative value indicates that the output decreases with the input. For example, a negative correlation between a post-CHF heat-transfer multiplier and peak cladding temperature indicates that increasing the heat-transfer coefficient reduces cladding temperature, which is physically expected. The magnitude of r indicates the strength of the linear association, with |r| = 1 indica</w:t>
      </w:r>
      <w:r>
        <w:t>ting a perfect linear relationship.</w:t>
      </w:r>
    </w:p>
    <w:p w14:paraId="2D5728A8" w14:textId="77777777" w:rsidR="00372D82" w:rsidRDefault="00406E9C">
      <w:pPr>
        <w:pStyle w:val="Heading3"/>
        <w:keepNext/>
      </w:pPr>
      <w:r>
        <w:t>8.10.3 Student-t Threshold for Stopping the Regression</w:t>
      </w:r>
    </w:p>
    <w:p w14:paraId="03BF89B4" w14:textId="77777777" w:rsidR="00372D82" w:rsidRDefault="00406E9C">
      <w:pPr>
        <w:pStyle w:val="FirstParagraph"/>
      </w:pPr>
      <w:r>
        <w:t>With small sample sizes, uncorrelated parameters can produce spuriously high sample correlations by coincidence. A key element of the importance methodology is identifying the minimum correlation |r| below which the regression cannot be meaningfully resolved. The appropriate test uses the Student’s t-distribution. The statistic t</w:t>
      </w:r>
      <w:r>
        <w:rPr>
          <w:vertAlign w:val="subscript"/>
        </w:rPr>
        <w:t>p</w:t>
      </w:r>
      <w:r>
        <w:t xml:space="preserve"> is related to the sample correlation coefficient r for n samples by:</w:t>
      </w:r>
    </w:p>
    <w:p w14:paraId="66127B9B" w14:textId="77777777" w:rsidR="00372D82" w:rsidRDefault="00406E9C">
      <w:pPr>
        <w:pStyle w:val="BodyText"/>
        <w:jc w:val="center"/>
      </w:pPr>
      <w:r>
        <w:t>t</w:t>
      </w:r>
      <w:r>
        <w:rPr>
          <w:vertAlign w:val="subscript"/>
        </w:rPr>
        <w:t>p</w:t>
      </w:r>
      <w:r>
        <w:t xml:space="preserve"> = r √(n − 2) / √(1 − r²)          (8.34)</w:t>
      </w:r>
    </w:p>
    <w:p w14:paraId="6E1CD281" w14:textId="77777777" w:rsidR="00372D82" w:rsidRDefault="00406E9C">
      <w:pPr>
        <w:pStyle w:val="FirstParagraph"/>
      </w:pPr>
      <w:r>
        <w:t>Rearranging to solve for the minimum correlation threshold r</w:t>
      </w:r>
      <w:r>
        <w:rPr>
          <w:vertAlign w:val="subscript"/>
        </w:rPr>
        <w:t>min</w:t>
      </w:r>
      <w:r>
        <w:t>:</w:t>
      </w:r>
    </w:p>
    <w:p w14:paraId="62C49FF7" w14:textId="77777777" w:rsidR="00372D82" w:rsidRDefault="00406E9C">
      <w:pPr>
        <w:pStyle w:val="BodyText"/>
        <w:jc w:val="center"/>
      </w:pPr>
      <w:r>
        <w:t>r</w:t>
      </w:r>
      <w:r>
        <w:rPr>
          <w:vertAlign w:val="subscript"/>
        </w:rPr>
        <w:t>min</w:t>
      </w:r>
      <w:r>
        <w:t xml:space="preserve"> = t</w:t>
      </w:r>
      <w:r>
        <w:rPr>
          <w:vertAlign w:val="subscript"/>
        </w:rPr>
        <w:t>p</w:t>
      </w:r>
      <w:r>
        <w:t xml:space="preserve"> / √(n − 2 + t</w:t>
      </w:r>
      <w:r>
        <w:rPr>
          <w:vertAlign w:val="subscript"/>
        </w:rPr>
        <w:t>p</w:t>
      </w:r>
      <w:r>
        <w:t>²)          (8.35)</w:t>
      </w:r>
    </w:p>
    <w:p w14:paraId="2C399F5F" w14:textId="77777777" w:rsidR="00372D82" w:rsidRDefault="00406E9C">
      <w:pPr>
        <w:pStyle w:val="FirstParagraph"/>
      </w:pPr>
      <w:r>
        <w:t>The FLARE default applies a two-sided confidence of 97.5%, which is equivalent in breadth to the one-sided 95% coverage used for the Wilks tolerance limit. For the Student’s t-distribution at this confidence level, t</w:t>
      </w:r>
      <w:r>
        <w:rPr>
          <w:vertAlign w:val="subscript"/>
        </w:rPr>
        <w:t>0.975</w:t>
      </w:r>
      <w:r>
        <w:t xml:space="preserve"> = 2.00. For a standard BEPU analysis with n = 59 samples, substituting into Eq. (8.35) gives r</w:t>
      </w:r>
      <w:r>
        <w:rPr>
          <w:vertAlign w:val="subscript"/>
        </w:rPr>
        <w:t>min</w:t>
      </w:r>
      <w:r>
        <w:t xml:space="preserve"> = 0.256. The stepwise regression terminates when the largest absolute correlation among all remaining input parameters is below this threshold, indicating that no further statistically significant decomposition of the output variance can be resolved from the available data.</w:t>
      </w:r>
    </w:p>
    <w:p w14:paraId="39A3D4C8" w14:textId="77777777" w:rsidR="00372D82" w:rsidRDefault="00406E9C">
      <w:pPr>
        <w:pStyle w:val="Heading3"/>
        <w:keepNext/>
      </w:pPr>
      <w:r>
        <w:t>8.10.4 Stepwise Multiple-Regression Algorithm</w:t>
      </w:r>
    </w:p>
    <w:p w14:paraId="5D26CB41" w14:textId="77777777" w:rsidR="00372D82" w:rsidRDefault="00406E9C">
      <w:pPr>
        <w:pStyle w:val="FirstParagraph"/>
      </w:pPr>
      <w:r>
        <w:t>The importance analysis proceeds as a stepwise regression. At each step, the input parameter with the largest absolute correlation to the current residual output is identified, a regression function is fit to that parameter, and the contribution to output variance is estimated from the variance of the fitted values. The residual is then updated by subtracting the fitted function, and the process repeats until the stopping criterion is met.</w:t>
      </w:r>
    </w:p>
    <w:p w14:paraId="34506B35" w14:textId="77777777" w:rsidR="00372D82" w:rsidRDefault="00406E9C">
      <w:pPr>
        <w:pStyle w:val="BodyText"/>
      </w:pPr>
      <w:r>
        <w:t>At step k, the regression function fct(x</w:t>
      </w:r>
      <w:r>
        <w:rPr>
          <w:vertAlign w:val="subscript"/>
        </w:rPr>
        <w:t>k</w:t>
      </w:r>
      <w:r>
        <w:t>) is fit to the paired set of the k-th input parameter and the accumulated residual output, which is the original output minus the previously evaluated contributor terms:</w:t>
      </w:r>
    </w:p>
    <w:p w14:paraId="0C2DADFE" w14:textId="77777777" w:rsidR="00372D82" w:rsidRDefault="00406E9C">
      <w:pPr>
        <w:pStyle w:val="BodyText"/>
        <w:jc w:val="center"/>
      </w:pPr>
      <w:r>
        <w:t>fct(x</w:t>
      </w:r>
      <w:r>
        <w:rPr>
          <w:vertAlign w:val="subscript"/>
        </w:rPr>
        <w:t>k</w:t>
      </w:r>
      <w:r>
        <w:t>) ← {x̂</w:t>
      </w:r>
      <w:r>
        <w:rPr>
          <w:vertAlign w:val="subscript"/>
        </w:rPr>
        <w:t>k</w:t>
      </w:r>
      <w:r>
        <w:t>, x̂</w:t>
      </w:r>
      <w:r>
        <w:rPr>
          <w:vertAlign w:val="subscript"/>
        </w:rPr>
        <w:t>o</w:t>
      </w:r>
      <w:r>
        <w:t xml:space="preserve"> − </w:t>
      </w:r>
      <w:r>
        <w:rPr>
          <w:vertAlign w:val="subscript"/>
        </w:rPr>
        <w:t>i=1</w:t>
      </w:r>
      <w:r>
        <w:t>∑</w:t>
      </w:r>
      <w:r>
        <w:rPr>
          <w:vertAlign w:val="superscript"/>
        </w:rPr>
        <w:t>k−1</w:t>
      </w:r>
      <w:r>
        <w:t xml:space="preserve"> x̂</w:t>
      </w:r>
      <w:r>
        <w:rPr>
          <w:vertAlign w:val="subscript"/>
        </w:rPr>
        <w:t>o,i</w:t>
      </w:r>
      <w:r>
        <w:t>}          (8.36)</w:t>
      </w:r>
    </w:p>
    <w:p w14:paraId="4F78A5AA" w14:textId="77777777" w:rsidR="00372D82" w:rsidRDefault="00406E9C">
      <w:pPr>
        <w:pStyle w:val="FirstParagraph"/>
      </w:pPr>
      <w:r>
        <w:t>The estimated variance contribution from the k-th step is the sample variance of the fitted values x̂</w:t>
      </w:r>
      <w:r>
        <w:rPr>
          <w:vertAlign w:val="subscript"/>
        </w:rPr>
        <w:t>o,k</w:t>
      </w:r>
      <w:r>
        <w:t>:</w:t>
      </w:r>
    </w:p>
    <w:p w14:paraId="62785408" w14:textId="77777777" w:rsidR="00372D82" w:rsidRDefault="00406E9C">
      <w:pPr>
        <w:pStyle w:val="BodyText"/>
        <w:jc w:val="center"/>
      </w:pPr>
      <w:r>
        <w:t>Var[x</w:t>
      </w:r>
      <w:r>
        <w:rPr>
          <w:vertAlign w:val="subscript"/>
        </w:rPr>
        <w:t>o,k</w:t>
      </w:r>
      <w:r>
        <w:t>]|</w:t>
      </w:r>
      <w:r>
        <w:rPr>
          <w:vertAlign w:val="subscript"/>
        </w:rPr>
        <w:t>est</w:t>
      </w:r>
      <w:r>
        <w:t xml:space="preserve"> = Var[x̂</w:t>
      </w:r>
      <w:r>
        <w:rPr>
          <w:vertAlign w:val="subscript"/>
        </w:rPr>
        <w:t>o</w:t>
      </w:r>
      <w:r>
        <w:t xml:space="preserve"> − </w:t>
      </w:r>
      <w:r>
        <w:rPr>
          <w:vertAlign w:val="subscript"/>
        </w:rPr>
        <w:t>i=1</w:t>
      </w:r>
      <w:r>
        <w:t>∑</w:t>
      </w:r>
      <w:r>
        <w:rPr>
          <w:vertAlign w:val="superscript"/>
        </w:rPr>
        <w:t>k−1</w:t>
      </w:r>
      <w:r>
        <w:t xml:space="preserve"> x̂</w:t>
      </w:r>
      <w:r>
        <w:rPr>
          <w:vertAlign w:val="subscript"/>
        </w:rPr>
        <w:t>o,i</w:t>
      </w:r>
      <w:r>
        <w:t>]|</w:t>
      </w:r>
      <w:r>
        <w:rPr>
          <w:vertAlign w:val="subscript"/>
        </w:rPr>
        <w:t>est</w:t>
      </w:r>
      <w:r>
        <w:t xml:space="preserve">          (8.37)</w:t>
      </w:r>
    </w:p>
    <w:p w14:paraId="3D3C989D" w14:textId="77777777" w:rsidR="00372D82" w:rsidRDefault="00406E9C">
      <w:pPr>
        <w:pStyle w:val="FirstParagraph"/>
      </w:pPr>
      <w:r>
        <w:t>The regression function at each step may be linear (degree 1) or quadratic (degree 2). FLARE selects the polynomial degree by comparing the adjusted R² for first- and second-degree fits and retaining the degree that gives the larger adjusted R². Use of adjusted R² rather than plain R² penalizes higher-degree fits for the additional parameter, preventing overfitting with small sample sets. The choice is recorded in the importance output table. The standard deviation associated with the k-th contributor is re</w:t>
      </w:r>
      <w:r>
        <w:t>ported as √Var[x</w:t>
      </w:r>
      <w:r>
        <w:rPr>
          <w:vertAlign w:val="subscript"/>
        </w:rPr>
        <w:t>o,k</w:t>
      </w:r>
      <w:r>
        <w:t>], expressed in the same physical units as the figure of merit.</w:t>
      </w:r>
    </w:p>
    <w:p w14:paraId="58B7937A" w14:textId="77777777" w:rsidR="00372D82" w:rsidRDefault="00406E9C">
      <w:pPr>
        <w:pStyle w:val="Heading3"/>
        <w:keepNext/>
      </w:pPr>
      <w:r>
        <w:lastRenderedPageBreak/>
        <w:t>8.10.5 Convolution Estimate and Ratio to Actual</w:t>
      </w:r>
    </w:p>
    <w:p w14:paraId="15A1A45C" w14:textId="77777777" w:rsidR="00372D82" w:rsidRDefault="00406E9C">
      <w:pPr>
        <w:pStyle w:val="FirstParagraph"/>
      </w:pPr>
      <w:r>
        <w:t>After m important contributors have been identified, the convolution estimate of the total output standard deviation is the square root of the sum of the individual contributor variances (Martin, 2011, Eq. 11):</w:t>
      </w:r>
    </w:p>
    <w:p w14:paraId="752B2C9E" w14:textId="77777777" w:rsidR="00372D82" w:rsidRDefault="00406E9C">
      <w:pPr>
        <w:pStyle w:val="BodyText"/>
        <w:jc w:val="center"/>
      </w:pPr>
      <w:r>
        <w:t>σ</w:t>
      </w:r>
      <w:r>
        <w:rPr>
          <w:vertAlign w:val="subscript"/>
        </w:rPr>
        <w:t>o|est</w:t>
      </w:r>
      <w:r>
        <w:t xml:space="preserve"> = √( </w:t>
      </w:r>
      <w:r>
        <w:rPr>
          <w:vertAlign w:val="subscript"/>
        </w:rPr>
        <w:t>i=1</w:t>
      </w:r>
      <w:r>
        <w:t>∑</w:t>
      </w:r>
      <w:r>
        <w:rPr>
          <w:vertAlign w:val="superscript"/>
        </w:rPr>
        <w:t>m</w:t>
      </w:r>
      <w:r>
        <w:t xml:space="preserve"> Var[x</w:t>
      </w:r>
      <w:r>
        <w:rPr>
          <w:vertAlign w:val="subscript"/>
        </w:rPr>
        <w:t>i</w:t>
      </w:r>
      <w:r>
        <w:t>]|</w:t>
      </w:r>
      <w:r>
        <w:rPr>
          <w:vertAlign w:val="subscript"/>
        </w:rPr>
        <w:t>est</w:t>
      </w:r>
      <w:r>
        <w:t xml:space="preserve"> )          (8.38)</w:t>
      </w:r>
    </w:p>
    <w:p w14:paraId="145BA961" w14:textId="77777777" w:rsidR="00372D82" w:rsidRDefault="00406E9C">
      <w:pPr>
        <w:pStyle w:val="FirstParagraph"/>
      </w:pPr>
      <w:r>
        <w:t>This is compared to the actual sample standard deviation of the output σ</w:t>
      </w:r>
      <w:r>
        <w:rPr>
          <w:vertAlign w:val="subscript"/>
        </w:rPr>
        <w:t>o</w:t>
      </w:r>
      <w:r>
        <w:t xml:space="preserve"> via the ratio of estimate to actual (Martin, 2011, Eq. 12):</w:t>
      </w:r>
    </w:p>
    <w:p w14:paraId="1B7DAB02" w14:textId="77777777" w:rsidR="00372D82" w:rsidRDefault="00406E9C">
      <w:pPr>
        <w:pStyle w:val="BodyText"/>
        <w:jc w:val="center"/>
      </w:pPr>
      <w:r>
        <w:t>Ratio = σ</w:t>
      </w:r>
      <w:r>
        <w:rPr>
          <w:vertAlign w:val="subscript"/>
        </w:rPr>
        <w:t>o|est</w:t>
      </w:r>
      <w:r>
        <w:t xml:space="preserve"> / σ</w:t>
      </w:r>
      <w:r>
        <w:rPr>
          <w:vertAlign w:val="subscript"/>
        </w:rPr>
        <w:t>o</w:t>
      </w:r>
      <w:r>
        <w:t xml:space="preserve">          (8.39)</w:t>
      </w:r>
    </w:p>
    <w:p w14:paraId="3F162B1E" w14:textId="77777777" w:rsidR="00372D82" w:rsidRDefault="00406E9C">
      <w:pPr>
        <w:pStyle w:val="FirstParagraph"/>
      </w:pPr>
      <w:r>
        <w:t>A ratio near unity indicates that the identified contributors account for essentially all of the calculable output variance, giving confidence that the regression has successfully decomposed the important phenomenological contributions. A ratio substantially below unity indicates either that additional important contributors exist below the stopping threshold (suggesting that a larger sample size might reveal them) or that the remaining variance is attributable to nonlinearities and interactions not resolva</w:t>
      </w:r>
      <w:r>
        <w:t>ble by the stepwise linear-regression approach. The FLARE importance analysis reports both the convolution estimate and the ratio as summary diagnostics, with a ratio of 0.90 or above generally considered satisfactory for a BEPU scoping analysis.</w:t>
      </w:r>
    </w:p>
    <w:p w14:paraId="5080EB00" w14:textId="77777777" w:rsidR="00372D82" w:rsidRDefault="00406E9C">
      <w:pPr>
        <w:pStyle w:val="Heading3"/>
        <w:keepNext/>
      </w:pPr>
      <w:r>
        <w:t>8.10.6 Relationship to PIRT and Validation</w:t>
      </w:r>
    </w:p>
    <w:p w14:paraId="7CC43550" w14:textId="77777777" w:rsidR="00372D82" w:rsidRDefault="00406E9C">
      <w:pPr>
        <w:pStyle w:val="FirstParagraph"/>
      </w:pPr>
      <w:r>
        <w:t>The importance analysis methodology was originally validated by Martin (2011) against the well-characterized AREVA NP realistic large-break LOCA (RLBLOCA) three-loop PWR sample problem, for which expert phenomenological rankings were available from the Technical Program Group (TPG) commissioned as part of the CSAU methodology. Applying the stepwise regression to the 59-calculation RLBLOCA sample, the methodology identified break area, power shape, post-CHF dispersed-flow film-boiling heat transfer, and glob</w:t>
      </w:r>
      <w:r>
        <w:t>al peaking factor as the principal contributors to peak cladding temperature uncertainty, with a convolution estimate of 218.6°F against an actual standard deviation of 239.5°F, giving a ratio of 0.912. This result is consistent with the TPG expert rankings from the PIRT and demonstrates that the analysis-derived importance measure validates the engineering judgment that guided the uncertainty methodology development.</w:t>
      </w:r>
    </w:p>
    <w:p w14:paraId="0E3E47DC" w14:textId="77777777" w:rsidR="00372D82" w:rsidRDefault="00406E9C">
      <w:pPr>
        <w:pStyle w:val="BodyText"/>
      </w:pPr>
      <w:r>
        <w:t>The key advantage of this importance methodology relative to PIRT-based expert ranking is that the ranking is derived from the analysis results rather than from prior engineering judgment. The result is therefore internally consistent with the uncertainty model being applied, and it can be updated whenever the sample is refreshed or the uncertainty model is revised. It also reveals importance quantitatively, as an estimated standard deviation contribution in the physical units of the figure of merit, rather</w:t>
      </w:r>
      <w:r>
        <w:t xml:space="preserve"> than as an ordinal scale such as high, medium, or low.</w:t>
      </w:r>
    </w:p>
    <w:p w14:paraId="065777E6" w14:textId="77777777" w:rsidR="00372D82" w:rsidRDefault="00406E9C">
      <w:pPr>
        <w:pStyle w:val="Heading3"/>
        <w:keepNext/>
      </w:pPr>
      <w:r>
        <w:t>8.10.7 FLARE Implementation</w:t>
      </w:r>
    </w:p>
    <w:p w14:paraId="649F7623" w14:textId="77777777" w:rsidR="00372D82" w:rsidRDefault="00406E9C">
      <w:pPr>
        <w:pStyle w:val="FirstParagraph"/>
      </w:pPr>
      <w:r>
        <w:t>The FLARE UA tool applies the importance analysis to the selected scalar figure of merit and to the selected FLARECON containment scalar output, when FLARECON results are available. The stepwise regression is run against all sampled input parameters present in the results dataset. The Student-t threshold is controlled by a confidence-level selector in the user interface, defaulting to the two-sided 97.5% level (t = 2.00) recommended by Martin (2011). The interface displays the importance results in three fo</w:t>
      </w:r>
      <w:r>
        <w:t xml:space="preserve">rms: a stepwise regression table showing each accepted contributor with its correlation coefficient, ΔStd Dev, polynomial fit degree, and adjusted R²; a tornado bar chart ranking the contributors by ΔStd Dev; and a set of scatter plots showing the residual output against each accepted contributor with the polynomial fit curve. The convolution estimate and ratio to actual are displayed as key performance indicators. A terminal diagnostic row is included in the table to identify the parameter that caused the </w:t>
      </w:r>
      <w:r>
        <w:t>regression to stop, together with its correlation relative to the threshold.</w:t>
      </w:r>
    </w:p>
    <w:p w14:paraId="548416C6" w14:textId="77777777" w:rsidR="00372D82" w:rsidRDefault="00406E9C">
      <w:pPr>
        <w:pStyle w:val="BodyText"/>
      </w:pPr>
      <w:r>
        <w:t xml:space="preserve">The importance analysis results are also included in the AI uncertainty narrative. The narrative discusses the accepted contributors, their relative importance as measured by ΔStd Dev, the goodness of fit as measured by adjusted R², and whether the convolution estimate ratio supports the conclusion that the </w:t>
      </w:r>
      <w:r>
        <w:lastRenderedPageBreak/>
        <w:t>identified contributors account for the dominant fraction of the calculated output uncertainty. The narrative explicitly interprets the terminal stopping row as a diagnostic indicator, not as an accepted contributor.</w:t>
      </w:r>
    </w:p>
    <w:p w14:paraId="3F296D54" w14:textId="77777777" w:rsidR="00C51312" w:rsidRDefault="00C51312" w:rsidP="00C51312">
      <w:pPr>
        <w:pStyle w:val="Heading1"/>
        <w:keepNext/>
        <w:pageBreakBefore/>
      </w:pPr>
      <w:bookmarkStart w:id="75" w:name="_Toc231232919"/>
      <w:r>
        <w:t>Chapter 9 — Source-Term and Radiological Dose Models: NOTBADTRAD</w:t>
      </w:r>
      <w:bookmarkEnd w:id="75"/>
    </w:p>
    <w:p>
      <w:pPr>
        <w:pStyle w:val="Heading2"/>
        <w:pageBreakBefore w:val="0"/>
        <w:widowControl/>
      </w:pPr>
      <w:r>
        <w:t>9.1 Purpose and Scope</w:t>
      </w:r>
    </w:p>
    <w:p w14:paraId="3AB85111" w14:textId="77777777" w:rsidR="00C51312" w:rsidRDefault="00C51312" w:rsidP="00C51312">
      <w:pPr>
        <w:pStyle w:val="C9Normal"/>
        <w:pageBreakBefore w:val="0"/>
        <w:widowControl/>
      </w:pPr>
      <w:r>
        <w:rPr>
          <w:color w:val="000000"/>
        </w:rPr>
        <w:t>NOTBADTRAD is FLARE’s reduced-order source-term and radiological consequence module. It was developed to provide a transparent, fast-running screening calculation that parallels the basic logic of RADTRAD while avoiding the complexity of a full licensing-grade radiological transport model. Its name is intentionally modest: it is not RADTRAD, but it performs the subset of RADTRAD-like functions needed for rapid FLARE consequence screening.</w:t>
      </w:r>
    </w:p>
    <w:p w14:paraId="4C0ACAFF" w14:textId="77777777" w:rsidR="00C51312" w:rsidRDefault="00C51312" w:rsidP="00C51312">
      <w:pPr>
        <w:pStyle w:val="BodyText"/>
        <w:pageBreakBefore w:val="0"/>
        <w:widowControl/>
      </w:pPr>
      <w:r>
        <w:rPr>
          <w:color w:val="000000"/>
        </w:rPr>
        <w:t>NBT translates the selected accident source model and, where applicable, FLARE thermal-hydraulic and fuel-response indicators into offsite and control-room dose. Nine chemical/release groups organize transport. Analytical inventory options first calculate the represented shutdown isotope activities and then rebuild group activities, half-lives, DCFs and photon mixtures. The empirical option retains a reference mixture. Detailed accident-time isotope decay chains and chemical populations are not tracked.</w:t>
      </w:r>
    </w:p>
    <w:p w14:paraId="551A7FF6" w14:textId="77777777" w:rsidR="00C51312" w:rsidRDefault="00C51312" w:rsidP="00C51312">
      <w:pPr>
        <w:pStyle w:val="BodyText"/>
        <w:pageBreakBefore w:val="0"/>
        <w:widowControl/>
      </w:pPr>
      <w:r>
        <w:rPr>
          <w:color w:val="000000"/>
        </w:rPr>
        <w:t>The module is intended for scoping calculations, event comparison, sensitivity studies, and rapid risk-informed screening. It is not intended to replace RADTRAD, MACCS, HABIT, ARCON96, or a plant-specific licensing dose analysis. In particular, NOTBADTRAD does not attempt to model detailed nuclide-by-nuclide decay chains, multizone compartment transport, detailed control-room habitability systems, chemical speciation of iodine, engineered safety-feature performance uncertainty, or site-specific meteorological data sets. Its value is that every major transformation from core inventory to dose is visible and traceable.</w:t>
      </w:r>
    </w:p>
    <w:p>
      <w:pPr>
        <w:pStyle w:val="Heading2"/>
        <w:pageBreakBefore w:val="0"/>
        <w:widowControl/>
      </w:pPr>
      <w:r>
        <w:t>9.2 Relationship to RADTRAD and Similar Codes</w:t>
      </w:r>
    </w:p>
    <w:p w14:paraId="02A4F4FD" w14:textId="77777777" w:rsidR="00C51312" w:rsidRDefault="00C51312" w:rsidP="00C51312">
      <w:pPr>
        <w:pStyle w:val="C9Normal"/>
        <w:pageBreakBefore w:val="0"/>
        <w:widowControl/>
      </w:pPr>
      <w:r>
        <w:rPr>
          <w:color w:val="000000"/>
        </w:rPr>
        <w:t>RADTRAD and similar radiological consequence codes model the time-dependent transport of radionuclides from the reactor coolant system or containment to environmental and habitability receptors. A detailed RADTRAD model may include multiple compartments, time-dependent source release phases, leakage pathways, filter efficiencies, sprays, deposition, decay, daughter ingrowth, control-room intake and recirculation paths, occupancy factors, and receptor-specific breathing rates or dose conversion factors. Such a model is appropriate when a licensing calculation must demonstrate compliance with dose limits using a plant-specific set of assumptions.</w:t>
      </w:r>
    </w:p>
    <w:p w14:paraId="0D572C8F" w14:textId="77777777" w:rsidR="00C51312" w:rsidRDefault="00C51312" w:rsidP="00C51312">
      <w:pPr>
        <w:pStyle w:val="BodyText"/>
        <w:pageBreakBefore w:val="0"/>
        <w:widowControl/>
      </w:pPr>
      <w:r>
        <w:rPr>
          <w:color w:val="000000"/>
        </w:rPr>
        <w:t>NOTBADTRAD retains the same conceptual sequence but simplifies each step. The sequence is:</w:t>
      </w:r>
    </w:p>
    <w:p w14:paraId="64552897" w14:textId="77777777" w:rsidR="00C51312" w:rsidRDefault="00C51312" w:rsidP="00C51312">
      <w:pPr>
        <w:pStyle w:val="C9Normal"/>
        <w:pageBreakBefore w:val="0"/>
        <w:widowControl/>
        <w:numPr>
          <w:ilvl w:val="0"/>
          <w:numId w:val="3"/>
        </w:numPr>
      </w:pPr>
      <w:r>
        <w:rPr>
          <w:color w:val="000000"/>
        </w:rPr>
        <w:t>define a core inventory by radionuclide group;</w:t>
      </w:r>
    </w:p>
    <w:p w14:paraId="320313FF" w14:textId="77777777" w:rsidR="00C51312" w:rsidRDefault="00C51312" w:rsidP="00C51312">
      <w:pPr>
        <w:pStyle w:val="C9Normal"/>
        <w:pageBreakBefore w:val="0"/>
        <w:widowControl/>
        <w:numPr>
          <w:ilvl w:val="0"/>
          <w:numId w:val="3"/>
        </w:numPr>
      </w:pPr>
      <w:r>
        <w:rPr>
          <w:color w:val="000000"/>
        </w:rPr>
        <w:t>determine the released fraction of each group from fuel response and source-term option;</w:t>
      </w:r>
    </w:p>
    <w:p w14:paraId="3B22DE73" w14:textId="77777777" w:rsidR="00C51312" w:rsidRDefault="00C51312" w:rsidP="00C51312">
      <w:pPr>
        <w:pStyle w:val="C9Normal"/>
        <w:pageBreakBefore w:val="0"/>
        <w:widowControl/>
        <w:numPr>
          <w:ilvl w:val="0"/>
          <w:numId w:val="3"/>
        </w:numPr>
      </w:pPr>
      <w:r>
        <w:rPr>
          <w:color w:val="000000"/>
        </w:rPr>
        <w:t>place the released activity into a single containment or release control volume;</w:t>
      </w:r>
    </w:p>
    <w:p w14:paraId="43BCC030" w14:textId="77777777" w:rsidR="00C51312" w:rsidRDefault="00C51312" w:rsidP="00C51312">
      <w:pPr>
        <w:pStyle w:val="C9Normal"/>
        <w:pageBreakBefore w:val="0"/>
        <w:widowControl/>
        <w:numPr>
          <w:ilvl w:val="0"/>
          <w:numId w:val="3"/>
        </w:numPr>
      </w:pPr>
      <w:r>
        <w:rPr>
          <w:color w:val="000000"/>
        </w:rPr>
        <w:t>apply simple removal and leakage models;</w:t>
      </w:r>
    </w:p>
    <w:p w14:paraId="3B25C62F" w14:textId="77777777" w:rsidR="00C51312" w:rsidRDefault="00C51312" w:rsidP="00C51312">
      <w:pPr>
        <w:pStyle w:val="C9Normal"/>
        <w:pageBreakBefore w:val="0"/>
        <w:widowControl/>
        <w:numPr>
          <w:ilvl w:val="0"/>
          <w:numId w:val="3"/>
        </w:numPr>
      </w:pPr>
      <w:r>
        <w:rPr>
          <w:color w:val="000000"/>
        </w:rPr>
        <w:t>multiply the released activity by receptor-specific atmospheric dispersion factors; and</w:t>
      </w:r>
    </w:p>
    <w:p w14:paraId="3330BD43" w14:textId="77777777" w:rsidR="00C51312" w:rsidRDefault="00C51312" w:rsidP="00C51312">
      <w:pPr>
        <w:pStyle w:val="C9Normal"/>
        <w:pageBreakBefore w:val="0"/>
        <w:widowControl/>
        <w:numPr>
          <w:ilvl w:val="0"/>
          <w:numId w:val="3"/>
        </w:numPr>
      </w:pPr>
      <w:r>
        <w:rPr>
          <w:color w:val="000000"/>
        </w:rPr>
        <w:t>integrate the resulting concentration against group dose conversion factors.</w:t>
      </w:r>
    </w:p>
    <w:p w14:paraId="6FD9720D" w14:textId="77777777" w:rsidR="00C51312" w:rsidRDefault="00C51312" w:rsidP="00C51312">
      <w:pPr>
        <w:pStyle w:val="C9Normal"/>
        <w:pageBreakBefore w:val="0"/>
        <w:widowControl/>
      </w:pPr>
      <w:r>
        <w:rPr>
          <w:color w:val="000000"/>
        </w:rPr>
        <w:t>This relationship may be expressed schematically as</w:t>
      </w:r>
    </w:p>
    <w:p w14:paraId="03F95E34" w14:textId="77777777" w:rsidR="00C51312" w:rsidRDefault="00C51312" w:rsidP="00C51312">
      <w:pPr>
        <w:pStyle w:val="BodyText"/>
        <w:pageBreakBefore w:val="0"/>
        <w:widowControl/>
      </w:pPr>
      <m:oMathPara>
        <m:oMathParaPr>
          <m:jc m:val="center"/>
        </m:oMathParaPr>
        <m:oMath>
          <m:r>
            <m:rPr>
              <m:nor/>
            </m:rPr>
            <m:t>core inventory</m:t>
          </m:r>
          <m:r>
            <m:rPr>
              <m:sty m:val="p"/>
            </m:rPr>
            <w:rPr>
              <w:rFonts w:ascii="Cambria Math" w:hAnsi="Cambria Math"/>
            </w:rPr>
            <m:t>→</m:t>
          </m:r>
          <m:r>
            <m:rPr>
              <m:nor/>
            </m:rPr>
            <m:t>released inventory</m:t>
          </m:r>
          <m:r>
            <m:rPr>
              <m:sty m:val="p"/>
            </m:rPr>
            <w:rPr>
              <w:rFonts w:ascii="Cambria Math" w:hAnsi="Cambria Math"/>
            </w:rPr>
            <m:t>→</m:t>
          </m:r>
          <m:r>
            <m:rPr>
              <m:nor/>
            </m:rPr>
            <m:t>transport/removal</m:t>
          </m:r>
          <m:r>
            <m:rPr>
              <m:sty m:val="p"/>
            </m:rPr>
            <w:rPr>
              <w:rFonts w:ascii="Cambria Math" w:hAnsi="Cambria Math"/>
            </w:rPr>
            <m:t>→</m:t>
          </m:r>
          <m:r>
            <m:rPr>
              <m:nor/>
            </m:rPr>
            <m:t>environmental concentration</m:t>
          </m:r>
          <m:r>
            <m:rPr>
              <m:sty m:val="p"/>
            </m:rPr>
            <w:rPr>
              <w:rFonts w:ascii="Cambria Math" w:hAnsi="Cambria Math"/>
            </w:rPr>
            <m:t>→</m:t>
          </m:r>
          <m:r>
            <m:rPr>
              <m:nor/>
            </m:rPr>
            <m:t>dose</m:t>
          </m:r>
          <m:r>
            <m:rPr>
              <m:sty m:val="p"/>
            </m:rPr>
            <w:rPr>
              <w:rFonts w:ascii="Cambria Math" w:hAnsi="Cambria Math"/>
            </w:rPr>
            <m:t>.</m:t>
          </m:r>
        </m:oMath>
      </m:oMathPara>
    </w:p>
    <w:p w14:paraId="109F9F93" w14:textId="77777777" w:rsidR="00C51312" w:rsidRDefault="00C51312" w:rsidP="00C51312">
      <w:pPr>
        <w:pStyle w:val="C9Normal"/>
        <w:pageBreakBefore w:val="0"/>
        <w:widowControl/>
      </w:pPr>
      <w:r>
        <w:rPr>
          <w:color w:val="000000"/>
        </w:rPr>
        <w:t xml:space="preserve">The simplification is deliberate. In a FLARE screening analysis, the governing question is usually not whether a final licensing dose has been calculated with full plant-specific fidelity. Rather, the question is whether two events, mitigation options, source-term assumptions, or frequency-consequence cases can </w:t>
      </w:r>
      <w:r>
        <w:rPr>
          <w:color w:val="000000"/>
        </w:rPr>
        <w:lastRenderedPageBreak/>
        <w:t>be compared on a consistent basis. NOTBADTRAD is therefore best understood as a consequence metric generator rather than a licensing dose-analysis code.</w:t>
      </w:r>
    </w:p>
    <w:p>
      <w:pPr>
        <w:pStyle w:val="C9Normal"/>
        <w:pageBreakBefore w:val="0"/>
        <w:widowControl/>
      </w:pPr>
      <w:r>
        <w:rPr>
          <w:color w:val="000000"/>
        </w:rPr>
        <w:t>The analytical inventory options calculate individual shutdown activities before collapsing them for accident transport. This is a production–decay approximation with explicitly identified reference fallbacks, not a depletion calculation; accident decay and removal remain group-effective.</w:t>
      </w:r>
    </w:p>
    <w:p>
      <w:pPr>
        <w:pStyle w:val="Heading2"/>
        <w:pageBreakBefore w:val="0"/>
        <w:widowControl/>
      </w:pPr>
      <w:r>
        <w:t>9.3 Reduced Radionuclide Group Structure</w:t>
      </w:r>
    </w:p>
    <w:p>
      <w:pPr>
        <w:pStyle w:val="C9Normal"/>
        <w:keepNext/>
        <w:pageBreakBefore w:val="0"/>
      </w:pPr>
      <w:r>
        <w:rPr>
          <w:b/>
          <w:sz w:val="20"/>
        </w:rPr>
        <w:t>Table 9-1</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Group</w:t>
            </w:r>
          </w:p>
        </w:tc>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Representative contents</w:t>
            </w:r>
          </w:p>
        </w:tc>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Primary modeling role</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Noble gases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Xe, Kr isotopes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Direct whole-body cloud dose; no deposition credit</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Halogens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I and Br isotopes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Thyroid and TEDE contribution; filtration and deposition may be credited</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Alkali metals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Cs and Rb isotopes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Aerosol source term; deposition and spray removal may be credited</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Tellurium group</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Te, Sb, Se isotopes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Semi-volatile aerosol source term</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Barium/strontium group</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Ba and Sr isotopes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Lower-volatility aerosol source term</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Noble metals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Ru, Rh, Pd, Mo, Tc, Co</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Low-volatility aerosol source term</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Cerium group</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Ce, Pu, Np</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Refractory source term</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Lanthanides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La, Zr, Nd, Eu, Nb, Pm, Pr, Sm, Y, Cm, Am</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Refractory source term</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Uranium/actinides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U and heavy actinides where separately tracked</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Very low-volatility refractory source term</w:t>
            </w:r>
          </w:p>
        </w:tc>
      </w:tr>
    </w:tbl>
    <w:p>
      <w:pPr>
        <w:pStyle w:val="C9Normal"/>
        <w:pageBreakBefore w:val="0"/>
        <w:widowControl/>
      </w:pPr>
      <w:r>
        <w:rPr>
          <w:color w:val="000000"/>
        </w:rPr>
        <w:t>The representative element labels describe broad groups; the actual 60-nuclide list defines what is calculated. Br, Se, Pd, Eu, Sm, U and Th labels do not imply that those elements have a represented isotope in this dataset. Np/Pu are in Ce_group and Am/Cm in Lanthanides. Zero represented U_actinides activity does not establish zero physical actinide inventory. Alkali_metals contains Rb-86, Cs-134, Cs-136 and Cs-137; it is not a Cs-137-only group.</w:t>
      </w:r>
    </w:p>
    <w:p>
      <w:pPr>
        <w:pStyle w:val="Heading3"/>
        <w:pageBreakBefore w:val="0"/>
        <w:widowControl/>
      </w:pPr>
      <w:r>
        <w:t>Inventory selection and fuel inputs</w:t>
      </w:r>
    </w:p>
    <w:p>
      <w:pPr>
        <w:pStyle w:val="Heading3"/>
        <w:pageBreakBefore w:val="0"/>
        <w:widowControl/>
      </w:pPr>
      <w:r>
        <w:rPr>
          <w:color w:val="000000"/>
        </w:rPr>
        <w:t>Choose the inventory calculation</w:t>
      </w:r>
    </w:p>
    <w:p>
      <w:pPr>
        <w:pStyle w:val="C9Normal"/>
        <w:pageBreakBefore w:val="0"/>
        <w:widowControl/>
      </w:pPr>
      <w:r>
        <w:rPr>
          <w:color w:val="000000"/>
        </w:rPr>
        <w:t>Installing the inventory update preserves existing behavior until the workbook selects a new option. The default remains geometry_typpwr_table12, the previous empirical power and B/33 model. Use one of the new options below when operating buildup and decay are required. The input nbt_fissile_burned_fraction is not a user control for these calculations.</w:t>
      </w:r>
    </w:p>
    <w:p>
      <w:pPr>
        <w:pStyle w:val="C9Normal"/>
        <w:keepNext/>
        <w:pageBreakBefore w:val="0"/>
      </w:pPr>
      <w:r>
        <w:rPr>
          <w:b/>
          <w:sz w:val="20"/>
        </w:rPr>
        <w:t>Table 9-2</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nbt_inventory_model</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Burnup meaning and use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yield_uniform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One fuel population at B; evaluated U-235 thermal cumulative yields. Used for the single-population SOLO screening calculation.</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yield_buildup</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Three equal batches at B/3, 2B/3 and B; evaluated U-235 thermal yields. B is the oldest-batch burnup, not the core average.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reference_buildup</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Same three batches; effective production inferred from the reference PWR isotope inventory.</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geometry_typpwr_table12</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Previous empirical reference inventory multiplied by power/3411 and B/33. Retained for comparison.</w:t>
            </w:r>
          </w:p>
        </w:tc>
      </w:tr>
    </w:tbl>
    <w:p>
      <w:pPr>
        <w:pStyle w:val="C9Normal"/>
        <w:pageBreakBefore w:val="0"/>
        <w:widowControl/>
      </w:pPr>
      <w:r>
        <w:rPr>
          <w:color w:val="000000"/>
        </w:rPr>
        <w:t>The new options estimate uranium mass from fuel geometry, infer effective full-power irradiation from burnup and power, and calculate isotope production balanced by radioactive decay during operation. The group inventories, half-lives, inhalation DCFs, cloud DCFs, and shine photon mixtures are then rebuilt consistently from that isotope inventory.</w:t>
      </w:r>
    </w:p>
    <w:p>
      <w:pPr>
        <w:pStyle w:val="C9Normal"/>
        <w:keepNext/>
        <w:pageBreakBefore w:val="0"/>
      </w:pPr>
      <w:r>
        <w:rPr>
          <w:b/>
          <w:sz w:val="20"/>
        </w:rPr>
        <w:t>Table 9-3</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Input</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Meaning</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total_power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Operating thermal power in MWt; must be positive for the new options.</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nbt_burnup_gwdmtu</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Achieved burnup in GWd/MTU; its population meaning follows the selected option.</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plant_design</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Supplies fuel-geometry defaults through the selected plant model.</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nbt_n_fuel_rods</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Optional NBT rod count; otherwise uses N_pins and plant defaults.</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nbt_fuel_radius_m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Fuel pellet radius in metres; not cladding outer radius.</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nbt_fuel_active_length_m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Active fuel length in metres; use an appropriate rod-weighted mean for mixed lengths.</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nbt_rho_uo2_kg_m3</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UO2 density in kg/m³; default 10400.</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nbt_inv_&lt;Group&gt;_Ci</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Optional total group activity override; scales that group’s calculated isotope mixture together.</w:t>
            </w:r>
          </w:p>
        </w:tc>
      </w:tr>
    </w:tbl>
    <w:p>
      <w:pPr>
        <w:pStyle w:val="C9Normal"/>
        <w:pageBreakBefore w:val="0"/>
        <w:widowControl/>
      </w:pPr>
      <w:r>
        <w:rPr>
          <w:color w:val="000000"/>
        </w:rPr>
        <w:t>For a uniform population, irradiation days equal 1000 × B × uranium mass in MTU / power in MWt. At fixed power and burnup, increasing mass lengthens irradiation and increases long-lived product activity toward saturation. At fixed power and irradiation duration, mass instead changes the implied burnup; it does not independently multiply the simple direct-fission production rate.</w:t>
      </w:r>
    </w:p>
    <w:p>
      <w:pPr>
        <w:pStyle w:val="C9Normal"/>
        <w:pageBreakBefore w:val="0"/>
        <w:widowControl/>
      </w:pPr>
      <w:r>
        <w:rPr>
          <w:color w:val="000000"/>
        </w:rPr>
        <w:t>For three equal batches, the input B gives a mean burnup of 2B/3. Entering 33 therefore represents batches at 11, 22, and 33 GWd/MTU with a 22 GWd/MTU core average. Confirm this interpretation before replacing a plant’s actual fuel-management history with the screening assumption.</w:t>
      </w:r>
    </w:p>
    <w:p>
      <w:pPr>
        <w:pStyle w:val="C9Normal"/>
        <w:pageBreakBefore w:val="0"/>
        <w:widowControl/>
      </w:pPr>
      <w:r>
        <w:rPr>
          <w:color w:val="000000"/>
        </w:rPr>
        <w:t>Forty-seven of the 60 represented nuclides receive analytical treatment, including a parent-controlled approximation for Y-90. Thirteen capture, activation, and actinide nuclides retain reference power and B/33 scaling. This remains a screening calculation rather than a full depletion solution. Enrichment, changing U/Pu fission fractions, capture, outages, and general decay chains are not solved.</w:t>
      </w:r>
    </w:p>
    <w:p>
      <w:pPr>
        <w:pStyle w:val="Heading3"/>
        <w:pageBreakBefore w:val="0"/>
        <w:widowControl/>
      </w:pPr>
      <w:r>
        <w:rPr>
          <w:color w:val="000000"/>
        </w:rPr>
        <w:t>Check the Isotope Inventory worksheet</w:t>
      </w:r>
    </w:p>
    <w:p>
      <w:pPr>
        <w:pStyle w:val="C9Normal"/>
        <w:pageBreakBefore w:val="0"/>
        <w:widowControl/>
      </w:pPr>
      <w:r>
        <w:rPr>
          <w:color w:val="000000"/>
        </w:rPr>
        <w:t>For a new option, this worksheet reports the actual isotope activities used after any group overrides, uranium mass, burnup interpretation, inferred batch irradiation times, isotope DCFs, calculation basis, and Runtime data hash. Check Cs-137 there rather than treating the full Alkali_metals group as Cs-137. That group also contains Cs-134, Cs-136, and Rb-86.</w:t>
      </w:r>
    </w:p>
    <w:p>
      <w:pPr>
        <w:pStyle w:val="Heading3"/>
        <w:pageBreakBefore w:val="0"/>
        <w:widowControl/>
      </w:pPr>
      <w:r>
        <w:t>Reference inventory and empirical normalization</w:t>
      </w:r>
    </w:p>
    <w:p>
      <w:pPr>
        <w:pStyle w:val="C9Normal"/>
        <w:pageBreakBefore w:val="0"/>
        <w:widowControl/>
      </w:pPr>
      <w:r>
        <w:rPr>
          <w:color w:val="000000"/>
        </w:rPr>
        <w:t>The reference 60-nuclide consequence-analysis inventory is NUREG/CR-4467 Table A.1 at 3412 MWt [1]. Its stated basis includes 38.3 MW/MTU specific power, 80% capacity factor, annual refueling and three-year residence. Batch-end burnups are 11.18, 22.36 and 33.55 GWd/MTU, with an approximately 22.36 GWd/MTU core average. It is not an exact uniform 33 GWd/MTU inventory and is not NUREG-1465 Table 2.</w:t>
      </w:r>
    </w:p>
    <w:p>
      <w:pPr>
        <w:pStyle w:val="C9Normal"/>
        <w:pageBreakBefore w:val="0"/>
        <w:widowControl/>
      </w:pPr>
      <w:r>
        <w:rPr>
          <w:color w:val="000000"/>
        </w:rPr>
        <w:t>Runtime/nbt_groups.json normalizes those reference activities to 3411 MWt. In the retained empirical option, the net activity is equivalent to the following power and burnup scaling. B defaults to the 33 GWd/MTU normalization when absent.</w:t>
      </w:r>
    </w:p>
    <w:p>
      <w:pPr>
        <w:pStyle w:val="C9Normal"/>
        <w:pageBreakBefore w:val="0"/>
        <w:widowControl/>
        <w:spacing w:after="180"/>
        <w:jc w:val="center"/>
      </w:pPr>
      <m:oMath>
        <m:sSub>
          <m:e>
            <m:r>
              <m:t xml:space="preserve">A</m:t>
            </m:r>
          </m:e>
          <m:sub>
            <m:r>
              <m:t xml:space="preserve">g</m:t>
            </m:r>
          </m:sub>
        </m:sSub>
        <m:r>
          <m:t xml:space="preserve"> = </m:t>
        </m:r>
        <m:sSub>
          <m:e>
            <m:r>
              <m:t xml:space="preserve">A</m:t>
            </m:r>
          </m:e>
          <m:sub>
            <m:r>
              <m:t xml:space="preserve">g ref 3411</m:t>
            </m:r>
          </m:sub>
        </m:sSub>
        <m:f>
          <m:num>
            <m:r>
              <m:t xml:space="preserve">P</m:t>
            </m:r>
          </m:num>
          <m:den>
            <m:r>
              <m:t xml:space="preserve">3411</m:t>
            </m:r>
          </m:den>
        </m:f>
        <m:f>
          <m:num>
            <m:r>
              <m:t xml:space="preserve">B</m:t>
            </m:r>
          </m:num>
          <m:den>
            <m:r>
              <m:t xml:space="preserve">33</m:t>
            </m:r>
          </m:den>
        </m:f>
      </m:oMath>
    </w:p>
    <w:p>
      <w:pPr>
        <w:pStyle w:val="C9Normal"/>
        <w:pageBreakBefore w:val="0"/>
        <w:widowControl/>
      </w:pPr>
      <w:r>
        <w:rPr>
          <w:color w:val="000000"/>
        </w:rPr>
        <w:t>The historical implementation expresses this normalization through an effective number-of-fissions proxy. Fuel volume is rod count times pellet cross section times active length; multiplying by UO2 density and 238/270 estimates uranium mass. The 0.235 term in the older fission expression is the approximate U-235 molar mass in kg/mol, not an energy or fractional-burnup term.</w:t>
      </w:r>
    </w:p>
    <w:p>
      <w:pPr>
        <w:pStyle w:val="C9Normal"/>
        <w:pageBreakBefore w:val="0"/>
        <w:widowControl/>
        <w:spacing w:after="180"/>
        <w:jc w:val="center"/>
      </w:pPr>
      <m:oMath>
        <m:sSub>
          <m:e>
            <m:r>
              <m:t xml:space="preserve">V</m:t>
            </m:r>
          </m:e>
          <m:sub>
            <m:r>
              <m:t xml:space="preserve">fuel</m:t>
            </m:r>
          </m:sub>
        </m:sSub>
        <m:r>
          <m:t xml:space="preserve"> = </m:t>
        </m:r>
        <m:sSub>
          <m:e>
            <m:r>
              <m:t xml:space="preserve">N</m:t>
            </m:r>
          </m:e>
          <m:sub>
            <m:r>
              <m:t xml:space="preserve">rods</m:t>
            </m:r>
          </m:sub>
        </m:sSub>
        <m:r>
          <m:t xml:space="preserve">π</m:t>
        </m:r>
        <m:sSup>
          <m:e>
            <m:sSub>
              <m:e>
                <m:r>
                  <m:t xml:space="preserve">r</m:t>
                </m:r>
              </m:e>
              <m:sub>
                <m:r>
                  <m:t xml:space="preserve">fuel</m:t>
                </m:r>
              </m:sub>
            </m:sSub>
          </m:e>
          <m:sup>
            <m:r>
              <m:t xml:space="preserve">2</m:t>
            </m:r>
          </m:sup>
        </m:sSup>
        <m:sSub>
          <m:e>
            <m:r>
              <m:t xml:space="preserve">L</m:t>
            </m:r>
          </m:e>
          <m:sub>
            <m:r>
              <m:t xml:space="preserve">active</m:t>
            </m:r>
          </m:sub>
        </m:sSub>
      </m:oMath>
    </w:p>
    <w:p>
      <w:pPr>
        <w:pStyle w:val="C9Normal"/>
        <w:pageBreakBefore w:val="0"/>
        <w:widowControl/>
        <w:spacing w:after="180"/>
        <w:jc w:val="center"/>
      </w:pPr>
      <m:oMath>
        <m:sSub>
          <m:e>
            <m:r>
              <m:t xml:space="preserve">M</m:t>
            </m:r>
          </m:e>
          <m:sub>
            <m:r>
              <m:t xml:space="preserve">U kg</m:t>
            </m:r>
          </m:sub>
        </m:sSub>
        <m:r>
          <m:t xml:space="preserve"> = </m:t>
        </m:r>
        <m:sSub>
          <m:e>
            <m:r>
              <m:t xml:space="preserve">V</m:t>
            </m:r>
          </m:e>
          <m:sub>
            <m:r>
              <m:t xml:space="preserve">fuel</m:t>
            </m:r>
          </m:sub>
        </m:sSub>
        <m:sSub>
          <m:e>
            <m:r>
              <m:t xml:space="preserve">ρ</m:t>
            </m:r>
          </m:e>
          <m:sub>
            <m:r>
              <m:t xml:space="preserve">UO2</m:t>
            </m:r>
          </m:sub>
        </m:sSub>
        <m:f>
          <m:num>
            <m:r>
              <m:t xml:space="preserve">238</m:t>
            </m:r>
          </m:num>
          <m:den>
            <m:r>
              <m:t xml:space="preserve">270</m:t>
            </m:r>
          </m:den>
        </m:f>
      </m:oMath>
    </w:p>
    <w:p>
      <w:pPr>
        <w:pStyle w:val="C9Normal"/>
        <w:pageBreakBefore w:val="0"/>
        <w:widowControl/>
        <w:spacing w:after="180"/>
        <w:jc w:val="center"/>
      </w:pPr>
      <m:oMath>
        <m:sSub>
          <m:e>
            <m:r>
              <m:t xml:space="preserve">N</m:t>
            </m:r>
          </m:e>
          <m:sub>
            <m:r>
              <m:t xml:space="preserve">235 initial</m:t>
            </m:r>
          </m:sub>
        </m:sSub>
        <m:r>
          <m:t xml:space="preserve"> = </m:t>
        </m:r>
        <m:f>
          <m:num>
            <m:sSub>
              <m:e>
                <m:r>
                  <m:t xml:space="preserve">M</m:t>
                </m:r>
              </m:e>
              <m:sub>
                <m:r>
                  <m:t xml:space="preserve">U kg</m:t>
                </m:r>
              </m:sub>
            </m:sSub>
            <m:sSub>
              <m:e>
                <m:r>
                  <m:t xml:space="preserve">e</m:t>
                </m:r>
              </m:e>
              <m:sub>
                <m:r>
                  <m:t xml:space="preserve">235</m:t>
                </m:r>
              </m:sub>
            </m:sSub>
          </m:num>
          <m:den>
            <m:r>
              <m:t xml:space="preserve">0.235</m:t>
            </m:r>
          </m:den>
        </m:f>
        <m:sSub>
          <m:e>
            <m:r>
              <m:t xml:space="preserve">N</m:t>
            </m:r>
          </m:e>
          <m:sub>
            <m:r>
              <m:t xml:space="preserve">A</m:t>
            </m:r>
          </m:sub>
        </m:sSub>
      </m:oMath>
    </w:p>
    <w:p>
      <w:pPr>
        <w:pStyle w:val="C9Normal"/>
        <w:pageBreakBefore w:val="0"/>
        <w:widowControl/>
      </w:pPr>
      <w:r>
        <w:rPr>
          <w:color w:val="000000"/>
        </w:rPr>
        <w:t>The internal effective fissile fraction is chosen so that the calculated proxy equals the reference proxy times P/3411. Geometry and enrichment consequently cancel from the empirical activity normalization. This quantity is not a validated physical fraction of initial U-235 fissioned; plutonium and changing fission fractions are not resolved. The code no longer uses nbt_fissile_burned_fraction as a user calibration input for this calculation.</w:t>
      </w:r>
    </w:p>
    <w:p>
      <w:pPr>
        <w:pStyle w:val="Heading3"/>
        <w:pageBreakBefore w:val="0"/>
        <w:widowControl/>
      </w:pPr>
      <w:r>
        <w:rPr>
          <w:color w:val="000000"/>
        </w:rPr>
        <w:t>Compatibility behavior</w:t>
      </w:r>
    </w:p>
    <w:p>
      <w:pPr>
        <w:pStyle w:val="C9Normal"/>
        <w:pageBreakBefore w:val="0"/>
        <w:widowControl/>
      </w:pPr>
      <w:r>
        <w:rPr>
          <w:color w:val="000000"/>
        </w:rPr>
        <w:t>geometry_typpwr_table12 remains the default. Its name is historical and does not identify the source inventory table correctly. Fixed, legacy and static selections follow their existing early-return path and do not invoke the new analytical inventory or its isotope worksheet. Use only documented selector names; do not rely on an unrecognized name to detect an input error.</w:t>
      </w:r>
    </w:p>
    <w:p>
      <w:pPr>
        <w:pStyle w:val="C9Normal"/>
        <w:pageBreakBefore w:val="0"/>
        <w:widowControl/>
      </w:pPr>
      <w:r>
        <w:rPr>
          <w:color w:val="000000"/>
        </w:rPr>
        <w:t>The empirical B/33 factor is retained in the old option and in the explicitly identified fallback nuclides of the new options. It is not applied again to analytically recalculated fission-product activities.</w:t>
      </w:r>
    </w:p>
    <w:p>
      <w:pPr>
        <w:pStyle w:val="C9Normal"/>
        <w:pageBreakBefore w:val="0"/>
        <w:widowControl/>
      </w:pPr>
      <w:r>
        <w:rPr>
          <w:color w:val="000000"/>
        </w:rPr>
        <w:t>The earlier theory chapter attributed the isotope inventory and activity weights to NUREG-1465 Table 2. The recovered isotope reference is NUREG/CR-4467 Table A1 at 3412 MWt, normalized to 3411 MWt in the group JSON. Its three reference batch burnups are 11.18, 22.36 and 33.55 GWd/MTU; it is not a uniform core at exactly 33 GWd/MTU.</w:t>
      </w:r>
    </w:p>
    <w:p>
      <w:pPr>
        <w:pStyle w:val="C9Normal"/>
        <w:pageBreakBefore w:val="0"/>
        <w:widowControl/>
      </w:pPr>
      <w:r>
        <w:rPr>
          <w:color w:val="000000"/>
        </w:rPr>
        <w:t>The original empirical burnup scaling topic is retained: an illustration such as 51/33=1.55 describes linear reference scaling only. Do not interchange peak assembly and core-average burnup with the analytical method’s population definition. The legacy 0.235 denominator is U-235 molar mass in kg/mol, not a burned fraction. nbt_fissile_burned_fraction is no longer a user control for the present calculation.</w:t>
      </w:r>
    </w:p>
    <w:p>
      <w:pPr>
        <w:pStyle w:val="Heading3"/>
        <w:pageBreakBefore w:val="0"/>
        <w:widowControl/>
      </w:pPr>
      <w:r>
        <w:t>Production and decay during irradiation</w:t>
      </w:r>
    </w:p>
    <w:p>
      <w:pPr>
        <w:pStyle w:val="C9Normal"/>
        <w:pageBreakBefore w:val="0"/>
        <w:widowControl/>
      </w:pPr>
      <w:r>
        <w:rPr>
          <w:color w:val="000000"/>
        </w:rPr>
        <w:t>For the new selections, M is estimated uranium mass in MTU, P is operating power in MWt, and B is the input burnup in GWd/MTU. Geometry overrides take precedence over plant defaults. Rod count uses nbt_n_fuel_rods when present, then N_pins and the plant-design default. Pellet radius, active length and UO2 density use the corresponding NBT controls described in Chapter 9.</w:t>
      </w:r>
    </w:p>
    <w:p>
      <w:pPr>
        <w:pStyle w:val="C9Normal"/>
        <w:pageBreakBefore w:val="0"/>
        <w:widowControl/>
        <w:spacing w:after="180"/>
        <w:jc w:val="center"/>
      </w:pPr>
      <m:oMath>
        <m:r>
          <m:t xml:space="preserve">M = </m:t>
        </m:r>
        <m:f>
          <m:num>
            <m:sSub>
              <m:e>
                <m:r>
                  <m:t xml:space="preserve">N</m:t>
                </m:r>
              </m:e>
              <m:sub>
                <m:r>
                  <m:t xml:space="preserve">rods</m:t>
                </m:r>
              </m:sub>
            </m:sSub>
            <m:r>
              <m:t xml:space="preserve">π</m:t>
            </m:r>
            <m:sSup>
              <m:e>
                <m:r>
                  <m:t xml:space="preserve">r</m:t>
                </m:r>
              </m:e>
              <m:sup>
                <m:r>
                  <m:t xml:space="preserve">2</m:t>
                </m:r>
              </m:sup>
            </m:sSup>
            <m:r>
              <m:t xml:space="preserve">Lρ</m:t>
            </m:r>
            <m:f>
              <m:num>
                <m:r>
                  <m:t xml:space="preserve">238</m:t>
                </m:r>
              </m:num>
              <m:den>
                <m:r>
                  <m:t xml:space="preserve">270</m:t>
                </m:r>
              </m:den>
            </m:f>
          </m:num>
          <m:den>
            <m:r>
              <m:t xml:space="preserve">1000</m:t>
            </m:r>
          </m:den>
        </m:f>
      </m:oMath>
    </w:p>
    <w:p>
      <w:pPr>
        <w:pStyle w:val="C9Normal"/>
        <w:pageBreakBefore w:val="0"/>
        <w:widowControl/>
        <w:spacing w:after="180"/>
        <w:jc w:val="center"/>
      </w:pPr>
      <m:oMath>
        <m:sSub>
          <m:e>
            <m:r>
              <m:t xml:space="preserve">T</m:t>
            </m:r>
          </m:e>
          <m:sub>
            <m:r>
              <m:t xml:space="preserve">days</m:t>
            </m:r>
          </m:sub>
        </m:sSub>
        <m:r>
          <m:t xml:space="preserve"> = </m:t>
        </m:r>
        <m:f>
          <m:num>
            <m:r>
              <m:t xml:space="preserve">1000 BM</m:t>
            </m:r>
          </m:num>
          <m:den>
            <m:r>
              <m:t xml:space="preserve">P</m:t>
            </m:r>
          </m:den>
        </m:f>
        <m:r>
          <m:t xml:space="preserve">;    </m:t>
        </m:r>
        <m:sSub>
          <m:e>
            <m:r>
              <m:t xml:space="preserve">T</m:t>
            </m:r>
          </m:e>
          <m:sub>
            <m:r>
              <m:t xml:space="preserve">s</m:t>
            </m:r>
          </m:sub>
        </m:sSub>
        <m:r>
          <m:t xml:space="preserve"> = 86400 </m:t>
        </m:r>
        <m:sSub>
          <m:e>
            <m:r>
              <m:t xml:space="preserve">T</m:t>
            </m:r>
          </m:e>
          <m:sub>
            <m:r>
              <m:t xml:space="preserve">days</m:t>
            </m:r>
          </m:sub>
        </m:sSub>
      </m:oMath>
    </w:p>
    <w:p>
      <w:pPr>
        <w:pStyle w:val="C9Normal"/>
        <w:pageBreakBefore w:val="0"/>
        <w:widowControl/>
        <w:spacing w:after="180"/>
        <w:jc w:val="center"/>
      </w:pPr>
      <m:oMath>
        <m:sSub>
          <m:e>
            <m:r>
              <m:t xml:space="preserve">F</m:t>
            </m:r>
          </m:e>
          <m:sub>
            <m:r>
              <m:t xml:space="preserve">rate</m:t>
            </m:r>
          </m:sub>
        </m:sSub>
        <m:r>
          <m:t xml:space="preserve"> = </m:t>
        </m:r>
        <m:f>
          <m:num>
            <m:sSup>
              <m:e>
                <m:r>
                  <m:t xml:space="preserve">10</m:t>
                </m:r>
              </m:e>
              <m:sup>
                <m:r>
                  <m:t xml:space="preserve">6</m:t>
                </m:r>
              </m:sup>
            </m:sSup>
            <m:r>
              <m:t xml:space="preserve"> P</m:t>
            </m:r>
          </m:num>
          <m:den>
            <m:sSub>
              <m:e>
                <m:r>
                  <m:t xml:space="preserve">E</m:t>
                </m:r>
              </m:e>
              <m:sub>
                <m:r>
                  <m:t xml:space="preserve">f</m:t>
                </m:r>
              </m:sub>
            </m:sSub>
            <m:r>
              <m:t xml:space="preserve"> × 1.602176634 × </m:t>
            </m:r>
            <m:sSup>
              <m:e>
                <m:r>
                  <m:t xml:space="preserve">10</m:t>
                </m:r>
              </m:e>
              <m:sup>
                <m:r>
                  <m:t xml:space="preserve">−13</m:t>
                </m:r>
              </m:sup>
            </m:sSup>
          </m:den>
        </m:f>
      </m:oMath>
    </w:p>
    <w:p>
      <w:pPr>
        <w:pStyle w:val="C9Normal"/>
        <w:pageBreakBefore w:val="0"/>
        <w:widowControl/>
      </w:pPr>
      <w:r>
        <w:rPr>
          <w:color w:val="000000"/>
        </w:rPr>
        <w:t>The Runtime inventory file sets the recoverable-energy approximation Ef = 200 MeV/fission. F is fissions/s. For a constant effective yield Yi, isotope decay constant λi, and a uniform fuel population irradiated for T seconds, the shutdown activity in Ci is:</w:t>
      </w:r>
    </w:p>
    <w:p>
      <w:pPr>
        <w:pStyle w:val="C9Normal"/>
        <w:pageBreakBefore w:val="0"/>
        <w:widowControl/>
        <w:spacing w:after="180"/>
        <w:jc w:val="center"/>
      </w:pPr>
      <m:oMath>
        <m:sSub>
          <m:e>
            <m:r>
              <m:t xml:space="preserve">A</m:t>
            </m:r>
          </m:e>
          <m:sub>
            <m:r>
              <m:t xml:space="preserve">i Ci</m:t>
            </m:r>
          </m:sub>
        </m:sSub>
        <m:r>
          <m:t xml:space="preserve"> = </m:t>
        </m:r>
        <m:f>
          <m:num>
            <m:sSub>
              <m:e>
                <m:r>
                  <m:t xml:space="preserve">Y</m:t>
                </m:r>
              </m:e>
              <m:sub>
                <m:r>
                  <m:t xml:space="preserve">i</m:t>
                </m:r>
              </m:sub>
            </m:sSub>
            <m:sSub>
              <m:e>
                <m:r>
                  <m:t xml:space="preserve">F</m:t>
                </m:r>
              </m:e>
              <m:sub>
                <m:r>
                  <m:t xml:space="preserve">rate</m:t>
                </m:r>
              </m:sub>
            </m:sSub>
            <m:r>
              <m:t xml:space="preserve"> (1 − </m:t>
            </m:r>
            <m:sSup>
              <m:e>
                <m:r>
                  <m:t xml:space="preserve">e</m:t>
                </m:r>
              </m:e>
              <m:sup>
                <m:r>
                  <m:t xml:space="preserve">−</m:t>
                </m:r>
                <m:sSub>
                  <m:e>
                    <m:r>
                      <m:t xml:space="preserve">λ</m:t>
                    </m:r>
                  </m:e>
                  <m:sub>
                    <m:r>
                      <m:t xml:space="preserve">i</m:t>
                    </m:r>
                  </m:sub>
                </m:sSub>
                <m:r>
                  <m:t xml:space="preserve">T</m:t>
                </m:r>
              </m:sup>
            </m:sSup>
            <m:r>
              <m:t xml:space="preserve">)</m:t>
            </m:r>
          </m:num>
          <m:den>
            <m:r>
              <m:t xml:space="preserve">3.7 × </m:t>
            </m:r>
            <m:sSup>
              <m:e>
                <m:r>
                  <m:t xml:space="preserve">10</m:t>
                </m:r>
              </m:e>
              <m:sup>
                <m:r>
                  <m:t xml:space="preserve">10</m:t>
                </m:r>
              </m:sup>
            </m:sSup>
          </m:den>
        </m:f>
      </m:oMath>
    </w:p>
    <w:p>
      <w:pPr>
        <w:pStyle w:val="C9Normal"/>
        <w:pageBreakBefore w:val="0"/>
        <w:widowControl/>
      </w:pPr>
      <w:r>
        <w:rPr>
          <w:color w:val="000000"/>
        </w:rPr>
        <w:t>yield_uniform uses one population at B. yield_buildup uses three equal mass and power shares with age factors 1/3, 2/3 and 1. In that case the full-power fission rate is multiplied by the mean saturation fraction, which is equivalent to summing the three batch production rates.</w:t>
      </w:r>
    </w:p>
    <w:p>
      <w:pPr>
        <w:pStyle w:val="C9Normal"/>
        <w:pageBreakBefore w:val="0"/>
        <w:widowControl/>
        <w:spacing w:after="180"/>
        <w:jc w:val="center"/>
      </w:pPr>
      <m:oMath>
        <m:sSub>
          <m:e>
            <m:r>
              <m:t xml:space="preserve">A</m:t>
            </m:r>
          </m:e>
          <m:sub>
            <m:r>
              <m:t xml:space="preserve">i Ci</m:t>
            </m:r>
          </m:sub>
        </m:sSub>
        <m:r>
          <m:t xml:space="preserve"> = </m:t>
        </m:r>
        <m:f>
          <m:num>
            <m:sSub>
              <m:e>
                <m:r>
                  <m:t xml:space="preserve">Y</m:t>
                </m:r>
              </m:e>
              <m:sub>
                <m:r>
                  <m:t xml:space="preserve">i</m:t>
                </m:r>
              </m:sub>
            </m:sSub>
            <m:sSub>
              <m:e>
                <m:r>
                  <m:t xml:space="preserve">F</m:t>
                </m:r>
              </m:e>
              <m:sub>
                <m:r>
                  <m:t xml:space="preserve">rate</m:t>
                </m:r>
              </m:sub>
            </m:sSub>
          </m:num>
          <m:den>
            <m:r>
              <m:t xml:space="preserve">3.7 × </m:t>
            </m:r>
            <m:sSup>
              <m:e>
                <m:r>
                  <m:t xml:space="preserve">10</m:t>
                </m:r>
              </m:e>
              <m:sup>
                <m:r>
                  <m:t xml:space="preserve">10</m:t>
                </m:r>
              </m:sup>
            </m:sSup>
          </m:den>
        </m:f>
        <m:r>
          <m:t xml:space="preserve"> × </m:t>
        </m:r>
        <m:f>
          <m:num>
            <m:r>
              <m:t xml:space="preserve">1</m:t>
            </m:r>
          </m:num>
          <m:den>
            <m:r>
              <m:t xml:space="preserve">n</m:t>
            </m:r>
          </m:den>
        </m:f>
        <m:sSub>
          <m:e>
            <m:r>
              <m:t xml:space="preserve">Σ</m:t>
            </m:r>
          </m:e>
          <m:sub>
            <m:r>
              <m:t xml:space="preserve">j</m:t>
            </m:r>
          </m:sub>
        </m:sSub>
        <m:r>
          <m:t xml:space="preserve"> [1 − exp(−</m:t>
        </m:r>
        <m:sSub>
          <m:e>
            <m:r>
              <m:t xml:space="preserve">λ</m:t>
            </m:r>
          </m:e>
          <m:sub>
            <m:r>
              <m:t xml:space="preserve">i</m:t>
            </m:r>
          </m:sub>
        </m:sSub>
        <m:sSub>
          <m:e>
            <m:r>
              <m:t xml:space="preserve">T</m:t>
            </m:r>
          </m:e>
          <m:sub>
            <m:r>
              <m:t xml:space="preserve">j</m:t>
            </m:r>
          </m:sub>
        </m:sSub>
        <m:r>
          <m:t xml:space="preserve">)]</m:t>
        </m:r>
      </m:oMath>
    </w:p>
    <w:p>
      <w:pPr>
        <w:pStyle w:val="C9Normal"/>
        <w:pageBreakBefore w:val="0"/>
        <w:widowControl/>
      </w:pPr>
      <w:r>
        <w:rPr>
          <w:color w:val="000000"/>
        </w:rPr>
        <w:t>The three-batch mean burnup is 2B/3. Thus B = 33 gives 11, 22 and 33 GWd/MTU. These are provisional screening populations rather than verified fuel-management histories for ANO, Case 7, or every SMR. The method does not add an independent irradiation-duration parameter; duration follows the specified mass, power and burnup.</w:t>
      </w:r>
    </w:p>
    <w:p>
      <w:pPr>
        <w:pStyle w:val="Heading3"/>
        <w:pageBreakBefore w:val="0"/>
        <w:widowControl/>
      </w:pPr>
      <w:r>
        <w:rPr>
          <w:color w:val="000000"/>
        </w:rPr>
        <w:t>Physical sensitivities</w:t>
      </w:r>
    </w:p>
    <w:p>
      <w:pPr>
        <w:pStyle w:val="C9Normal"/>
        <w:pageBreakBefore w:val="0"/>
        <w:widowControl/>
      </w:pPr>
      <w:r>
        <w:rPr>
          <w:color w:val="000000"/>
        </w:rPr>
        <w:t>At fixed P and B, a larger M gives longer irradiation and raises long-lived inventory toward saturation. For λT much less than one, A is approximately proportional to BM; for λT much greater than one, A approaches YF and is governed by power. At fixed P and T, changing mass changes B but does not change direct-fission production in this model. At fixed mass and B, changing power changes both the production rate and irradiation time, so the inventory does not follow a single universal power multiplier.</w:t>
      </w:r>
    </w:p>
    <w:p>
      <w:pPr>
        <w:pStyle w:val="Heading3"/>
        <w:pageBreakBefore w:val="0"/>
        <w:widowControl/>
      </w:pPr>
      <w:r>
        <w:t>Reference production and fallback nuclides</w:t>
      </w:r>
    </w:p>
    <w:p>
      <w:pPr>
        <w:pStyle w:val="C9Normal"/>
        <w:pageBreakBefore w:val="0"/>
        <w:widowControl/>
      </w:pPr>
      <w:r>
        <w:rPr>
          <w:color w:val="000000"/>
        </w:rPr>
        <w:t>reference_buildup retains the effective production basis of the reference PWR isotope activities. It divides each analytically treated reference activity by its reference mean saturation fraction, scales production by power, and applies the new mean saturation fraction. The reference times come from batch burnup divided by 38.3 MW/MTU; they are full-power-equivalent times, not three uninterrupted calendar years.</w:t>
      </w:r>
    </w:p>
    <w:p>
      <w:pPr>
        <w:pStyle w:val="C9Normal"/>
        <w:pageBreakBefore w:val="0"/>
        <w:widowControl/>
        <w:spacing w:after="180"/>
        <w:jc w:val="center"/>
      </w:pPr>
      <m:oMath>
        <m:sSub>
          <m:e>
            <m:r>
              <m:t xml:space="preserve">A</m:t>
            </m:r>
          </m:e>
          <m:sub>
            <m:r>
              <m:t xml:space="preserve">i</m:t>
            </m:r>
          </m:sub>
        </m:sSub>
        <m:r>
          <m:t xml:space="preserve"> = </m:t>
        </m:r>
        <m:sSub>
          <m:e>
            <m:r>
              <m:t xml:space="preserve">A</m:t>
            </m:r>
          </m:e>
          <m:sub>
            <m:r>
              <m:t xml:space="preserve">i ref 3412</m:t>
            </m:r>
          </m:sub>
        </m:sSub>
        <m:f>
          <m:num>
            <m:r>
              <m:t xml:space="preserve">P</m:t>
            </m:r>
          </m:num>
          <m:den>
            <m:r>
              <m:t xml:space="preserve">3412</m:t>
            </m:r>
          </m:den>
        </m:f>
        <m:f>
          <m:num>
            <m:sSub>
              <m:e>
                <m:r>
                  <m:t xml:space="preserve">mean</m:t>
                </m:r>
              </m:e>
              <m:sub>
                <m:r>
                  <m:t xml:space="preserve">j</m:t>
                </m:r>
              </m:sub>
            </m:sSub>
            <m:r>
              <m:t xml:space="preserve"> [1 − exp(−</m:t>
            </m:r>
            <m:sSub>
              <m:e>
                <m:r>
                  <m:t xml:space="preserve">λ</m:t>
                </m:r>
              </m:e>
              <m:sub>
                <m:r>
                  <m:t xml:space="preserve">i</m:t>
                </m:r>
              </m:sub>
            </m:sSub>
            <m:sSub>
              <m:e>
                <m:r>
                  <m:t xml:space="preserve">T</m:t>
                </m:r>
              </m:e>
              <m:sub>
                <m:r>
                  <m:t xml:space="preserve">j</m:t>
                </m:r>
              </m:sub>
            </m:sSub>
            <m:r>
              <m:t xml:space="preserve">) ]</m:t>
            </m:r>
          </m:num>
          <m:den>
            <m:sSub>
              <m:e>
                <m:r>
                  <m:t xml:space="preserve">mean</m:t>
                </m:r>
              </m:e>
              <m:sub>
                <m:r>
                  <m:t xml:space="preserve">j</m:t>
                </m:r>
              </m:sub>
            </m:sSub>
            <m:r>
              <m:t xml:space="preserve"> [1 − exp(−</m:t>
            </m:r>
            <m:sSub>
              <m:e>
                <m:r>
                  <m:t xml:space="preserve">λ</m:t>
                </m:r>
              </m:e>
              <m:sub>
                <m:r>
                  <m:t xml:space="preserve">i</m:t>
                </m:r>
              </m:sub>
            </m:sSub>
            <m:sSub>
              <m:e>
                <m:r>
                  <m:t xml:space="preserve">T</m:t>
                </m:r>
              </m:e>
              <m:sub>
                <m:r>
                  <m:t xml:space="preserve">j ref</m:t>
                </m:r>
              </m:sub>
            </m:sSub>
            <m:r>
              <m:t xml:space="preserve">) ]</m:t>
            </m:r>
          </m:den>
        </m:f>
      </m:oMath>
    </w:p>
    <w:p>
      <w:pPr>
        <w:pStyle w:val="C9Normal"/>
        <w:pageBreakBefore w:val="0"/>
        <w:widowControl/>
      </w:pPr>
      <w:r>
        <w:rPr>
          <w:color w:val="000000"/>
        </w:rPr>
        <w:t>This preserves a reference-derived effective production rate, including influences embedded in that reference mixture, while changing saturation with the specified fuel history. It does not introduce an explicit U/Pu mixture or solve capture and depletion. The evaluated-yield options instead use the IAEA U-235 thermal cumulative yields recorded in nbt_inventory.json [8].</w:t>
      </w:r>
    </w:p>
    <w:p>
      <w:pPr>
        <w:pStyle w:val="Heading3"/>
        <w:pageBreakBefore w:val="0"/>
        <w:widowControl/>
      </w:pPr>
      <w:r>
        <w:rPr>
          <w:color w:val="000000"/>
        </w:rPr>
        <w:t>Thirteen reference fallbacks</w:t>
      </w:r>
    </w:p>
    <w:p>
      <w:pPr>
        <w:pStyle w:val="C9Normal"/>
        <w:pageBreakBefore w:val="0"/>
        <w:widowControl/>
      </w:pPr>
      <w:r>
        <w:rPr>
          <w:color w:val="000000"/>
        </w:rPr>
        <w:t>The following nuclides retain their reference activity scaled by P/3412 and B/33: Co-58, Co-60, Rb-86, Cs-134, Cs-136, Np-239, Pu-238, Pu-239, Pu-240, Pu-241, Am-241, Cm-242 and Cm-244. Their output basis identifies the fallback. A simple cumulative fission-yield estimate would not represent their capture, activation or actinide production adequately.</w:t>
      </w:r>
    </w:p>
    <w:p>
      <w:pPr>
        <w:pStyle w:val="C9Normal"/>
        <w:pageBreakBefore w:val="0"/>
        <w:widowControl/>
      </w:pPr>
      <w:r>
        <w:rPr>
          <w:color w:val="000000"/>
        </w:rPr>
        <w:t>These fallbacks can remain consequential even in a low-burnup or non-PWR application. In particular, the new Cs-137 result does not establish that Cs-134 or the total alkali-metal group is an accurate microreactor depletion inventory. A depletion calculation remains the appropriate way to replace those provisional components.</w:t>
      </w:r>
    </w:p>
    <w:p>
      <w:pPr>
        <w:pStyle w:val="Heading3"/>
        <w:pageBreakBefore w:val="0"/>
        <w:widowControl/>
      </w:pPr>
      <w:r>
        <w:rPr>
          <w:color w:val="000000"/>
        </w:rPr>
        <w:t>Parent controlled Y 90 approximation</w:t>
      </w:r>
    </w:p>
    <w:p>
      <w:pPr>
        <w:pStyle w:val="C9Normal"/>
        <w:pageBreakBefore w:val="0"/>
        <w:widowControl/>
      </w:pPr>
      <w:r>
        <w:rPr>
          <w:color w:val="000000"/>
        </w:rPr>
        <w:t>Y-90 follows the calculated Sr-90 activity. The evaluated-yield options set their activities equal; reference_buildup preserves the reference Y-90/Sr-90 activity ratio. This prevents the short Y-90 half-life from independently driving it to an inappropriate cumulative-yield equilibrium. Other precursor delays and daughter populations are not explicitly solved.</w:t>
      </w:r>
    </w:p>
    <w:p>
      <w:pPr>
        <w:pStyle w:val="Heading3"/>
        <w:pageBreakBefore w:val="0"/>
        <w:widowControl/>
      </w:pPr>
      <w:r>
        <w:rPr>
          <w:color w:val="000000"/>
        </w:rPr>
        <w:t>Overrides and validation</w:t>
      </w:r>
    </w:p>
    <w:p>
      <w:pPr>
        <w:pStyle w:val="C9Normal"/>
        <w:pageBreakBefore w:val="0"/>
        <w:widowControl/>
      </w:pPr>
      <w:r>
        <w:rPr>
          <w:color w:val="000000"/>
        </w:rPr>
        <w:t>An nbt_inv_&lt;Group&gt;_Ci override multiplies all calculated isotope activities in that group by the same factor. It changes the group total while preserving the calculated mixture and updates the isotope worksheet accordingly. A positive override for a group with no represented isotope inventory is rejected. Inputs require positive finite power, rod count, radius, length and density, and nonnegative finite burnup. Zero burnup produces zero activity for this inventory method.</w:t>
      </w:r>
    </w:p>
    <w:p>
      <w:pPr>
        <w:pStyle w:val="C9Normal"/>
        <w:pageBreakBefore w:val="0"/>
        <w:widowControl/>
      </w:pPr>
      <w:r>
        <w:rPr>
          <w:color w:val="000000"/>
        </w:rPr>
        <w:t>The model carries 60 nuclide records: 47 receive the revised analytical treatment, including the Y-90 exception, and 13 use the reference fallback. This is a selected consequence set, not all radioactive material in the physical core.</w:t>
      </w:r>
    </w:p>
    <w:p>
      <w:pPr>
        <w:pStyle w:val="Heading3"/>
        <w:pageBreakBefore w:val="0"/>
        <w:widowControl/>
      </w:pPr>
      <w:r>
        <w:t>Activity weighting and group half-lives</w:t>
      </w:r>
    </w:p>
    <w:p>
      <w:pPr>
        <w:pStyle w:val="C9Normal"/>
        <w:pageBreakBefore w:val="0"/>
        <w:widowControl/>
      </w:pPr>
      <w:r>
        <w:rPr>
          <w:color w:val="000000"/>
        </w:rPr>
        <w:t>Each new inventory selection recomputes shutdown activity weights within the retained group membership. With Ai in Ci, the group activity and weight are:</w:t>
      </w:r>
    </w:p>
    <w:p>
      <w:pPr>
        <w:pStyle w:val="C9Normal"/>
        <w:pageBreakBefore w:val="0"/>
        <w:widowControl/>
        <w:spacing w:after="180"/>
        <w:jc w:val="center"/>
      </w:pPr>
      <m:oMath>
        <m:sSub>
          <m:e>
            <m:r>
              <m:t xml:space="preserve">A</m:t>
            </m:r>
          </m:e>
          <m:sub>
            <m:r>
              <m:t xml:space="preserve">g</m:t>
            </m:r>
          </m:sub>
        </m:sSub>
        <m:r>
          <m:t xml:space="preserve"> = </m:t>
        </m:r>
        <m:sSub>
          <m:e>
            <m:r>
              <m:t xml:space="preserve">Σ</m:t>
            </m:r>
          </m:e>
          <m:sub>
            <m:r>
              <m:t xml:space="preserve">i</m:t>
            </m:r>
          </m:sub>
        </m:sSub>
        <m:r>
          <m:t xml:space="preserve"> </m:t>
        </m:r>
        <m:sSub>
          <m:e>
            <m:r>
              <m:t xml:space="preserve">A</m:t>
            </m:r>
          </m:e>
          <m:sub>
            <m:r>
              <m:t xml:space="preserve">i</m:t>
            </m:r>
          </m:sub>
        </m:sSub>
        <m:r>
          <m:t xml:space="preserve">;    </m:t>
        </m:r>
        <m:sSub>
          <m:e>
            <m:r>
              <m:t xml:space="preserve">w</m:t>
            </m:r>
          </m:e>
          <m:sub>
            <m:r>
              <m:t xml:space="preserve">i</m:t>
            </m:r>
          </m:sub>
        </m:sSub>
        <m:r>
          <m:t xml:space="preserve"> = </m:t>
        </m:r>
        <m:f>
          <m:num>
            <m:sSub>
              <m:e>
                <m:r>
                  <m:t xml:space="preserve">A</m:t>
                </m:r>
              </m:e>
              <m:sub>
                <m:r>
                  <m:t xml:space="preserve">i</m:t>
                </m:r>
              </m:sub>
            </m:sSub>
          </m:num>
          <m:den>
            <m:sSub>
              <m:e>
                <m:r>
                  <m:t xml:space="preserve">A</m:t>
                </m:r>
              </m:e>
              <m:sub>
                <m:r>
                  <m:t xml:space="preserve">g</m:t>
                </m:r>
              </m:sub>
            </m:sSub>
          </m:den>
        </m:f>
      </m:oMath>
    </w:p>
    <w:p>
      <w:pPr>
        <w:pStyle w:val="C9Normal"/>
        <w:pageBreakBefore w:val="0"/>
        <w:widowControl/>
      </w:pPr>
      <w:r>
        <w:rPr>
          <w:color w:val="000000"/>
        </w:rPr>
        <w:t>The group half-life is the activity-weighted harmonic mean. It reproduces the initial slope of the independently decaying isotope sum; it is not a preference for the longest-lived isotope.</w:t>
      </w:r>
    </w:p>
    <w:p>
      <w:pPr>
        <w:pStyle w:val="C9Normal"/>
        <w:pageBreakBefore w:val="0"/>
        <w:widowControl/>
        <w:spacing w:after="180"/>
        <w:jc w:val="center"/>
      </w:pPr>
      <m:oMath>
        <m:sSub>
          <m:e>
            <m:r>
              <m:t xml:space="preserve">t</m:t>
            </m:r>
          </m:e>
          <m:sub>
            <m:r>
              <m:t xml:space="preserve">½ g</m:t>
            </m:r>
          </m:sub>
        </m:sSub>
        <m:r>
          <m:t xml:space="preserve"> = </m:t>
        </m:r>
        <m:f>
          <m:num>
            <m:r>
              <m:t xml:space="preserve">1</m:t>
            </m:r>
          </m:num>
          <m:den>
            <m:sSub>
              <m:e>
                <m:r>
                  <m:t xml:space="preserve">Σ</m:t>
                </m:r>
              </m:e>
              <m:sub>
                <m:r>
                  <m:t xml:space="preserve">i</m:t>
                </m:r>
              </m:sub>
            </m:sSub>
            <m:r>
              <m:t xml:space="preserve"> </m:t>
            </m:r>
            <m:f>
              <m:num>
                <m:sSub>
                  <m:e>
                    <m:r>
                      <m:t xml:space="preserve">w</m:t>
                    </m:r>
                  </m:e>
                  <m:sub>
                    <m:r>
                      <m:t xml:space="preserve">i</m:t>
                    </m:r>
                  </m:sub>
                </m:sSub>
              </m:num>
              <m:den>
                <m:sSub>
                  <m:e>
                    <m:r>
                      <m:t xml:space="preserve">t</m:t>
                    </m:r>
                  </m:e>
                  <m:sub>
                    <m:r>
                      <m:t xml:space="preserve">½ i</m:t>
                    </m:r>
                  </m:sub>
                </m:sSub>
              </m:den>
            </m:f>
          </m:den>
        </m:f>
      </m:oMath>
    </w:p>
    <w:p>
      <w:pPr>
        <w:pStyle w:val="C9Normal"/>
        <w:pageBreakBefore w:val="0"/>
        <w:widowControl/>
        <w:spacing w:after="180"/>
        <w:jc w:val="center"/>
      </w:pPr>
      <m:oMath>
        <m:sSub>
          <m:e>
            <m:r>
              <m:t xml:space="preserve">y</m:t>
            </m:r>
          </m:e>
          <m:sub>
            <m:r>
              <m:t xml:space="preserve">g E</m:t>
            </m:r>
          </m:sub>
        </m:sSub>
        <m:r>
          <m:t xml:space="preserve"> = </m:t>
        </m:r>
        <m:sSub>
          <m:e>
            <m:r>
              <m:t xml:space="preserve">Σ</m:t>
            </m:r>
          </m:e>
          <m:sub>
            <m:r>
              <m:t xml:space="preserve">i</m:t>
            </m:r>
          </m:sub>
        </m:sSub>
        <m:r>
          <m:t xml:space="preserve"> </m:t>
        </m:r>
        <m:sSub>
          <m:e>
            <m:r>
              <m:t xml:space="preserve">w</m:t>
            </m:r>
          </m:e>
          <m:sub>
            <m:r>
              <m:t xml:space="preserve">i</m:t>
            </m:r>
          </m:sub>
        </m:sSub>
        <m:sSub>
          <m:e>
            <m:r>
              <m:t xml:space="preserve">y</m:t>
            </m:r>
          </m:e>
          <m:sub>
            <m:r>
              <m:t xml:space="preserve">i E</m:t>
            </m:r>
          </m:sub>
        </m:sSub>
      </m:oMath>
    </w:p>
    <w:p>
      <w:pPr>
        <w:pStyle w:val="C9Normal"/>
        <w:pageBreakBefore w:val="0"/>
        <w:widowControl/>
      </w:pPr>
      <w:r>
        <w:rPr>
          <w:color w:val="000000"/>
        </w:rPr>
        <w:t>The same activity weights form the group photons-per-decay spectrum used for optional CR shine. New selections therefore replace the reference group half-lives, DCFs and spectra together. Editing group DCFs in nbt_groups.json alone does not override the isotope-derived DCFs in these selections; the isotope-level values are in nbt_inventory.json.</w:t>
      </w:r>
    </w:p>
    <w:p>
      <w:pPr>
        <w:pStyle w:val="Heading3"/>
        <w:pageBreakBefore w:val="0"/>
        <w:widowControl/>
      </w:pPr>
      <w:r>
        <w:rPr>
          <w:color w:val="000000"/>
        </w:rPr>
        <w:t>Accident time reduction</w:t>
      </w:r>
    </w:p>
    <w:p>
      <w:pPr>
        <w:pStyle w:val="C9Normal"/>
        <w:pageBreakBefore w:val="0"/>
        <w:widowControl/>
      </w:pPr>
      <w:r>
        <w:rPr>
          <w:color w:val="000000"/>
        </w:rPr>
        <w:t>After shutdown the transport solver still uses one effective half-life, one pair of DCFs and one photon spectrum per group. It does not continue to evolve individual isotope weights as the accident progresses. Long-time spectral hardening, changing dose weights and daughter ingrowth remain outside the model. For zero-activity groups, the data may retain placeholder coefficients; these do not establish a physical uranium inventory.</w:t>
      </w:r>
    </w:p>
    <w:p>
      <w:pPr>
        <w:pStyle w:val="Heading3"/>
        <w:pageBreakBefore w:val="0"/>
        <w:widowControl/>
      </w:pPr>
      <w:r>
        <w:t>Reference group properties</w:t>
      </w:r>
    </w:p>
    <w:p>
      <w:pPr>
        <w:pStyle w:val="C9Normal"/>
        <w:pageBreakBefore w:val="0"/>
        <w:widowControl/>
      </w:pPr>
      <w:r>
        <w:rPr>
          <w:color w:val="000000"/>
        </w:rPr>
        <w:t>This table records the unchanged schema-3 reference group values at 3411 MWt and B/33 = 1. They apply to the empirical reference basis; new inventory selections generally produce different group activities, half-lives and coefficients. Full precision is retained in Runtime files.</w:t>
      </w:r>
    </w:p>
    <w:p>
      <w:pPr>
        <w:pStyle w:val="C9Normal"/>
        <w:keepNext/>
        <w:pageBreakBefore w:val="0"/>
      </w:pPr>
      <w:r>
        <w:rPr>
          <w:b/>
          <w:sz w:val="20"/>
        </w:rPr>
        <w:t>Table 9-4</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Group</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Activity Ci</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Half life h</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Inhalation rem/Ci</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Cloud rem m³/(Ci s)</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NG</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3.87578e+08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4.5747</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0.106418</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Halogens</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7.74638e+08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2.4098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5464.86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0.293463</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Alkali_metals</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2.31224e+07</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1736.9</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35523.3</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0.219343</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Te_group</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2.14894e+08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6.9469</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7109.48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0.0769959</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Ba_Sr</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6.91446e+08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3.7628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16823.5</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0.0794023</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Noble_metals</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6.00881e+08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12.964</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26331</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0.0511829</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Lanthanides</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1.52899e+09</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7.6645</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39310.9</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0.138241</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Ce_group</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2.25170e+09</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59.939</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68803.9</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0.0275545</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U_actinides</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0.00000e+00</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162</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750</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1e-07</w:t>
            </w:r>
          </w:p>
        </w:tc>
      </w:tr>
    </w:tbl>
    <w:p>
      <w:pPr>
        <w:pStyle w:val="C9Normal"/>
        <w:pageBreakBefore w:val="0"/>
        <w:widowControl/>
      </w:pPr>
      <w:r>
        <w:rPr>
          <w:color w:val="000000"/>
        </w:rPr>
        <w:t>Pu and Np remain assigned to Ce_group; Am and Cm to Lanthanides; and Co to Noble_metals. U_actinides has zero represented activity. It is an unused placeholder for this consequence set, not evidence that physical uranium activity is zero.</w:t>
      </w:r>
    </w:p>
    <w:p>
      <w:pPr>
        <w:pStyle w:val="Heading3"/>
        <w:pageBreakBefore w:val="0"/>
        <w:widowControl/>
      </w:pPr>
      <w:r>
        <w:t>Shared runtime datasets</w:t>
      </w:r>
    </w:p>
    <w:p>
      <w:pPr>
        <w:pStyle w:val="Heading3"/>
        <w:pageBreakBefore w:val="0"/>
        <w:widowControl/>
      </w:pPr>
      <w:r>
        <w:rPr>
          <w:color w:val="000000"/>
        </w:rPr>
        <w:t>Files needed for the current NBT options</w:t>
      </w:r>
    </w:p>
    <w:p>
      <w:pPr>
        <w:pStyle w:val="C9Normal"/>
        <w:pageBreakBefore w:val="0"/>
        <w:widowControl/>
      </w:pPr>
      <w:r>
        <w:rPr>
          <w:color w:val="000000"/>
        </w:rPr>
        <w:t>Use the updated flare_sim.py with Runtime/nbt_groups.json. Add Runtime/nbt_inventory.json for yield_uniform, yield_buildup, or reference_buildup. Optional control-room shine also requires Runtime/nbt_shine.json and the matching flare_ui.py for its component display. All NBT physics functions reside in flare_sim.py; flare_nbt_shine.py is no longer required. The inventory update adds no Python dependency and does not replace the existing group or shine JSON files.</w:t>
      </w:r>
    </w:p>
    <w:p>
      <w:pPr>
        <w:pStyle w:val="C9Normal"/>
        <w:pageBreakBefore w:val="0"/>
        <w:widowControl/>
      </w:pPr>
      <w:r>
        <w:rPr>
          <w:color w:val="000000"/>
        </w:rPr>
        <w:t>Use one shared nbt_groups.json, nbt_inventory.json and nbt_shine.json across the designs. Plant/fuel loading and accident assumptions belong in the workbook; a SOLO-specific JSON is neither needed nor part of the agreed workflow. The latest fast isotope popup is a flare_ui.py display change. The uploaded batch worker retains EAB (worst 2 hr) in narrative and summary extraction.</w:t>
      </w:r>
    </w:p>
    <w:p>
      <w:pPr>
        <w:pStyle w:val="C9Normal"/>
        <w:keepNext/>
        <w:pageBreakBefore w:val="0"/>
      </w:pPr>
      <w:r>
        <w:rPr>
          <w:b/>
          <w:sz w:val="20"/>
        </w:rPr>
        <w:t>Table 9-5</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File</w:t>
            </w:r>
          </w:p>
        </w:tc>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Schema</w:t>
            </w:r>
          </w:p>
        </w:tc>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Role</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Runtime/nbt_groups.json</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3</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Nine-group structure, reference activity properties, source fractions, removal and filtration defaults.</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Runtime/nbt_inventory.json</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60 isotope records, half-lives, reference activities, yields/fallbacks, isotope DCFs and photons for new selections.</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Runtime/nbt_shine.json</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Reference group spectra, shielding materials, photon response data and shine numerical controls.</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Runtime plant design files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Existing</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Supply plant and fuel geometry defaults.</w:t>
            </w:r>
          </w:p>
        </w:tc>
      </w:tr>
    </w:tbl>
    <w:p>
      <w:pPr>
        <w:pStyle w:val="C9Normal"/>
        <w:pageBreakBefore w:val="0"/>
        <w:widowControl/>
      </w:pPr>
      <w:r>
        <w:rPr>
          <w:color w:val="000000"/>
        </w:rPr>
        <w:t>Loaders validate structure and physical fields, reject duplicate keys, and record SHA-256 identities. Group data refresh for integrated runs; inventory data are read for new selections. Requested shine data and matching photon-energy grids are checked separately.</w:t>
      </w:r>
    </w:p>
    <w:p>
      <w:pPr>
        <w:pStyle w:val="C9Normal"/>
        <w:pageBreakBefore w:val="0"/>
        <w:widowControl/>
      </w:pPr>
      <w:r>
        <w:rPr>
          <w:color w:val="000000"/>
        </w:rPr>
        <w:t>Analytical selections supersede group inv_ci, t_half_hr, dcf_inh and dcf_cloud, and replace group photon spectra when shine is enabled. The group file still supplies source fractions, deposition, sprays and CR filter DFs; nbt_shine.json retains shielding and response data.</w:t>
      </w:r>
    </w:p>
    <w:p>
      <w:pPr>
        <w:pStyle w:val="Heading2"/>
        <w:pageBreakBefore w:val="0"/>
        <w:widowControl/>
      </w:pPr>
      <w:r>
        <w:t>9.4 Release-Fraction Library and Source-Term Options</w:t>
      </w:r>
    </w:p>
    <w:p>
      <w:pPr>
        <w:pStyle w:val="C9Normal"/>
        <w:pageBreakBefore w:val="0"/>
        <w:widowControl/>
      </w:pPr>
      <w:r>
        <w:t>The group release-fraction library converts shutdown core activity into nominal source activity. For category c, the nominal release is the product of initial group activity and the category fraction. Applicable category contributions are combined and bounded between zero and the initial inventory. These fractions describe fuel release into the source compartment; subsequent removal, leakage and filtration determine the release to the environment.</w:t>
      </w:r>
    </w:p>
    <w:p w14:paraId="7EE19E50" w14:textId="77777777" w:rsidR="00C51312" w:rsidRDefault="00406E9C" w:rsidP="00C51312">
      <w:pPr>
        <w:pStyle w:val="BodyText"/>
        <w:pageBreakBefore w:val="0"/>
        <w:widowControl/>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c</m:t>
              </m:r>
            </m:sub>
            <m:sup>
              <m:r>
                <m:rPr>
                  <m:sty m:val="p"/>
                </m:rPr>
                <w:rPr>
                  <w:rFonts w:ascii="Cambria Math" w:hAnsi="Cambria Math"/>
                </w:rPr>
                <m:t>rel</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c</m:t>
              </m:r>
            </m:sub>
          </m:sSub>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0</m:t>
              </m:r>
            </m:sub>
          </m:sSub>
          <m:r>
            <m:rPr>
              <m:sty m:val="p"/>
            </m:rPr>
            <w:rPr>
              <w:rFonts w:ascii="Cambria Math" w:hAnsi="Cambria Math"/>
            </w:rPr>
            <m:t>.</m:t>
          </m:r>
        </m:oMath>
      </m:oMathPara>
    </w:p>
    <w:p w14:paraId="38146106" w14:textId="77777777" w:rsidR="00C51312" w:rsidRDefault="00406E9C" w:rsidP="00C51312">
      <w:pPr>
        <w:pStyle w:val="BodyText"/>
        <w:pageBreakBefore w:val="0"/>
        <w:widowControl/>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g</m:t>
              </m:r>
            </m:sub>
            <m:sup>
              <m:r>
                <m:rPr>
                  <m:sty m:val="p"/>
                </m:rPr>
                <w:rPr>
                  <w:rFonts w:ascii="Cambria Math" w:hAnsi="Cambria Math"/>
                </w:rPr>
                <m:t>rel</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0</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r>
                        <w:rPr>
                          <w:rFonts w:ascii="Cambria Math" w:hAnsi="Cambria Math"/>
                        </w:rPr>
                        <m:t>c</m:t>
                      </m:r>
                    </m:sub>
                  </m:sSub>
                </m:e>
              </m:nary>
            </m:e>
          </m:d>
          <m:r>
            <m:rPr>
              <m:sty m:val="p"/>
            </m:rPr>
            <w:rPr>
              <w:rFonts w:ascii="Cambria Math" w:hAnsi="Cambria Math"/>
            </w:rPr>
            <m:t>.</m:t>
          </m:r>
        </m:oMath>
      </m:oMathPara>
    </w:p>
    <w:p w14:paraId="1A139682" w14:textId="77777777" w:rsidR="00C51312" w:rsidRDefault="00406E9C" w:rsidP="00C51312">
      <w:pPr>
        <w:pStyle w:val="BodyText"/>
        <w:pageBreakBefore w:val="0"/>
        <w:widowControl/>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g</m:t>
              </m:r>
            </m:sub>
            <m:sup>
              <m:r>
                <m:rPr>
                  <m:sty m:val="p"/>
                </m:rPr>
                <w:rPr>
                  <w:rFonts w:ascii="Cambria Math" w:hAnsi="Cambria Math"/>
                </w:rPr>
                <m:t>rel</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g</m:t>
              </m:r>
              <m:r>
                <m:rPr>
                  <m:sty m:val="p"/>
                </m:rPr>
                <w:rPr>
                  <w:rFonts w:ascii="Cambria Math" w:hAnsi="Cambria Math"/>
                </w:rPr>
                <m:t>,</m:t>
              </m:r>
              <m:r>
                <w:rPr>
                  <w:rFonts w:ascii="Cambria Math" w:hAnsi="Cambria Math"/>
                </w:rPr>
                <m:t>0</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,gap</m:t>
                  </m:r>
                </m:sub>
              </m:sSub>
              <m:sSub>
                <m:sSubPr>
                  <m:ctrlPr>
                    <w:rPr>
                      <w:rFonts w:ascii="Cambria Math" w:hAnsi="Cambria Math"/>
                    </w:rPr>
                  </m:ctrlPr>
                </m:sSubPr>
                <m:e>
                  <m:r>
                    <w:rPr>
                      <w:rFonts w:ascii="Cambria Math" w:hAnsi="Cambria Math"/>
                    </w:rPr>
                    <m:t>f</m:t>
                  </m:r>
                </m:e>
                <m:sub>
                  <m:r>
                    <m:rPr>
                      <m:sty m:val="p"/>
                    </m:rPr>
                    <w:rPr>
                      <w:rFonts w:ascii="Cambria Math" w:hAnsi="Cambria Math"/>
                    </w:rPr>
                    <m:t>gap</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,EIV</m:t>
                  </m:r>
                </m:sub>
              </m:sSub>
              <m:sSub>
                <m:sSubPr>
                  <m:ctrlPr>
                    <w:rPr>
                      <w:rFonts w:ascii="Cambria Math" w:hAnsi="Cambria Math"/>
                    </w:rPr>
                  </m:ctrlPr>
                </m:sSubPr>
                <m:e>
                  <m:r>
                    <w:rPr>
                      <w:rFonts w:ascii="Cambria Math" w:hAnsi="Cambria Math"/>
                    </w:rPr>
                    <m:t>f</m:t>
                  </m:r>
                </m:e>
                <m:sub>
                  <m:r>
                    <m:rPr>
                      <m:sty m:val="p"/>
                    </m:rPr>
                    <w:rPr>
                      <w:rFonts w:ascii="Cambria Math" w:hAnsi="Cambria Math"/>
                    </w:rPr>
                    <m:t>EIV</m:t>
                  </m:r>
                </m:sub>
              </m:sSub>
              <m:d>
                <m:dPr>
                  <m:ctrlPr>
                    <w:rPr>
                      <w:rFonts w:ascii="Cambria Math" w:hAnsi="Cambria Math"/>
                    </w:rPr>
                  </m:ctrlPr>
                </m:dPr>
                <m:e>
                  <m:r>
                    <w:rPr>
                      <w:rFonts w:ascii="Cambria Math" w:hAnsi="Cambria Math"/>
                    </w:rPr>
                    <m:t>t</m:t>
                  </m:r>
                </m:e>
              </m:d>
            </m:e>
          </m:d>
          <m:r>
            <m:rPr>
              <m:sty m:val="p"/>
            </m:rPr>
            <w:rPr>
              <w:rFonts w:ascii="Cambria Math" w:hAnsi="Cambria Math"/>
            </w:rPr>
            <m:t>.</m:t>
          </m:r>
        </m:oMath>
      </m:oMathPara>
    </w:p>
    <w:p>
      <w:pPr>
        <w:pStyle w:val="C9Normal"/>
        <w:pageBreakBefore w:val="0"/>
        <w:widowControl/>
      </w:pPr>
      <w:r>
        <w:rPr>
          <w:color w:val="000000"/>
        </w:rPr>
        <w:t>Enable NBT and choose source_term_model. RG1183_LOCA prescribes the implemented gap and early in-vessel fractions independently of thermal-hydraulic fuel damage. The thermal_failure option uses thermal triggers; optional severe-release augmentation can introduce additional dependence on the transient. Record the source option with every comparison.</w:t>
      </w:r>
    </w:p>
    <w:p>
      <w:pPr>
        <w:pStyle w:val="C9Normal"/>
        <w:pageBreakBefore w:val="0"/>
        <w:widowControl/>
      </w:pPr>
      <w:r>
        <w:rPr>
          <w:color w:val="000000"/>
        </w:rPr>
        <w:t>The phase fractions represent release from fuel into the source compartment, not an environmental release fraction. Inspect source_term_model: prescribed LOCA fractions use full gap/early multipliers, while thermal_failure and applicable non-LOCA branches use their implemented damage logic. Nominal source categories are combined with the implemented fraction bounds.</w:t>
      </w:r>
    </w:p>
    <w:p>
      <w:pPr>
        <w:pStyle w:val="C9Normal"/>
        <w:pageBreakBefore w:val="0"/>
        <w:widowControl/>
        <w:jc w:val="center"/>
      </w:pPr>
      <m:oMath>
        <m:r>
          <m:t>Rbase,g = clip(fgap Rgap,g + fEIV REIV,g, 0, 1)</m:t>
        </m:r>
      </m:oMath>
    </w:p>
    <w:p>
      <w:pPr>
        <w:pStyle w:val="Heading3"/>
        <w:pageBreakBefore w:val="0"/>
        <w:widowControl/>
      </w:pPr>
      <w:r>
        <w:rPr>
          <w:color w:val="000000"/>
        </w:rPr>
        <w:t>Relationship to the transient</w:t>
      </w:r>
    </w:p>
    <w:p>
      <w:pPr>
        <w:pStyle w:val="C9Normal"/>
        <w:pageBreakBefore w:val="0"/>
        <w:widowControl/>
      </w:pPr>
      <w:r>
        <w:rPr>
          <w:color w:val="000000"/>
        </w:rPr>
        <w:t>RG1183_LOCA sets the prescribed gap and early damage multipliers to one. thermal_failure instead uses the implemented temperature triggers, including 800°C for gap and 1204°C for early release; optional severe augmentation can use ECR damage. A change in TH can therefore matter for those options. Continuing a prescribed radiological history beyond a 300 s transient does not predict the later TH state or feed dose physics back into the plant transient.</w:t>
      </w:r>
    </w:p>
    <w:p>
      <w:pPr>
        <w:pStyle w:val="C9Normal"/>
        <w:pageBreakBefore w:val="0"/>
        <w:widowControl/>
      </w:pPr>
      <w:r>
        <w:t>The rod-state expressions above define the conceptual scaling of release categories. Their application depends on the selected implemented source branch. Prescribed RG1183_LOCA uses unit gap and early in-vessel multipliers. A thermal-failure source instead responds to its implemented temperature/damage triggers. The source option, applicable failure fractions and any severe augmentation must therefore be recorded with the case.</w:t>
      </w:r>
    </w:p>
    <w:p>
      <w:pPr>
        <w:pStyle w:val="Heading2"/>
        <w:pageBreakBefore w:val="0"/>
        <w:widowControl/>
      </w:pPr>
      <w:r>
        <w:t>9.5 DBA Release Fractions Based on RG 1.183 and NUREG-1465</w:t>
      </w:r>
    </w:p>
    <w:p>
      <w:pPr>
        <w:pStyle w:val="C9Normal"/>
        <w:pageBreakBefore w:val="0"/>
        <w:widowControl/>
      </w:pPr>
      <w:r>
        <w:t>For LOCA-type design-basis accident screening, FLARE uses a reduced table consistent with the PWR alternate source term release groups and release magnitudes in RG 1.183, which is based on the NUREG-1465 severe-accident source term framework adapted for design-basis accident dose analysis. The NOTBADTRAD table is intentionally a group-level table rather than an isotope-level table. It preserves the relative volatility hierarchy of the AST source term while keeping the model simple enough for rapid event comparisons.</w:t>
      </w:r>
    </w:p>
    <w:p>
      <w:pPr>
        <w:pStyle w:val="C9Normal"/>
        <w:pageBreakBefore w:val="0"/>
        <w:widowControl/>
      </w:pPr>
      <w:r>
        <w:t>The following phase fractions are the shared group library. The phase sum is the prescribed DBA fraction before downstream transport and any declared dose calibration.</w:t>
      </w:r>
    </w:p>
    <w:p>
      <w:pPr>
        <w:pStyle w:val="C9Normal"/>
        <w:keepNext/>
        <w:pageBreakBefore w:val="0"/>
      </w:pPr>
      <w:r>
        <w:rPr>
          <w:b/>
          <w:sz w:val="20"/>
        </w:rPr>
        <w:t>Table 9-6</w:t>
      </w:r>
    </w:p>
    <w:tbl>
      <w:tblPr>
        <w:tblStyle w:val="TableGrid"/>
        <w:tblW w:type="auto" w:w="0"/>
        <w:tblLayout w:type="fixed"/>
        <w:tblLook w:firstColumn="1" w:firstRow="1" w:lastColumn="0" w:lastRow="0" w:noHBand="0" w:noVBand="1" w:val="04A0"/>
      </w:tblPr>
      <w:tblGrid>
        <w:gridCol w:w="2304"/>
        <w:gridCol w:w="2592"/>
        <w:gridCol w:w="2592"/>
        <w:gridCol w:w="2592"/>
      </w:tblGrid>
      <w:tr>
        <w:trPr>
          <w:tblHeader/>
          <w:cantSplit/>
        </w:trPr>
        <w:tc>
          <w:tcPr>
            <w:tcW w:type="dxa" w:w="2304"/>
            <w:vAlign w:val="center"/>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Group</w:t>
            </w:r>
          </w:p>
        </w:tc>
        <w:tc>
          <w:tcPr>
            <w:tcW w:type="dxa" w:w="2592"/>
            <w:vAlign w:val="center"/>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Gap fraction</w:t>
            </w:r>
          </w:p>
        </w:tc>
        <w:tc>
          <w:tcPr>
            <w:tcW w:type="dxa" w:w="2592"/>
            <w:vAlign w:val="center"/>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Early in-vessel fraction</w:t>
            </w:r>
          </w:p>
        </w:tc>
        <w:tc>
          <w:tcPr>
            <w:tcW w:type="dxa" w:w="2592"/>
            <w:vAlign w:val="center"/>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DBA total</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NG</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0.95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Halogens</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0.35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0.4</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Alkali_metals</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0.25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0.3</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Te_group</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Ba_Sr</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0.02</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0.02</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Noble_metals</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0.0025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0.0025</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Lanthanides</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0.0002</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0.0002</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Ce_group</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0.0005</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0.0005</w:t>
            </w:r>
          </w:p>
        </w:tc>
      </w:tr>
      <w:tr>
        <w:trPr>
          <w:cantSplit/>
        </w:trPr>
        <w:tc>
          <w:tcPr>
            <w:tcW w:type="dxa" w:w="2304"/>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U_actinides</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w:t>
            </w:r>
          </w:p>
        </w:tc>
        <w:tc>
          <w:tcPr>
            <w:tcW w:type="dxa" w:w="2592"/>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w:t>
            </w:r>
          </w:p>
        </w:tc>
      </w:tr>
    </w:tbl>
    <w:p>
      <w:pPr>
        <w:pStyle w:val="C9Normal"/>
        <w:pageBreakBefore w:val="0"/>
        <w:widowControl/>
      </w:pPr>
      <w:r>
        <w:t>The phase-summed fraction is min(1, Rgap,g + REIV,g). A total of 0.30 for Alkali_metals therefore represents 30% of that group released from fuel into the source compartment, not 30% reaching the environment.</w:t>
      </w:r>
    </w:p>
    <w:p>
      <w:pPr>
        <w:pStyle w:val="Heading3"/>
        <w:pageBreakBefore w:val="0"/>
        <w:widowControl/>
      </w:pPr>
      <w:r>
        <w:t>Historical explicit gap inventory examples</w:t>
      </w:r>
    </w:p>
    <w:p>
      <w:pPr>
        <w:pStyle w:val="C9Normal"/>
        <w:pageBreakBefore w:val="0"/>
        <w:widowControl/>
      </w:pPr>
      <w:r>
        <w:rPr>
          <w:color w:val="000000"/>
        </w:rPr>
        <w:t>The original isotope-specific gap examples are retained below as reference concepts. They are separate from the group phase library, not another factor to multiply onto it. The delivered NBT source branch does not expose a general isotope-resolved gap-inventory input; a conceptual explicit gap source would be Ag,0 Gg fgap.</w:t>
      </w:r>
    </w:p>
    <w:p>
      <w:pPr>
        <w:pStyle w:val="C9Normal"/>
        <w:keepNext/>
        <w:pageBreakBefore w:val="0"/>
      </w:pPr>
      <w:r>
        <w:rPr>
          <w:b/>
          <w:sz w:val="20"/>
        </w:rPr>
        <w:t>Table 9-7</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Quantity</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Gap inventory fraction</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I-131</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0.08</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Kr-85</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0.10</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Other noble gases</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Other halogens</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Alkali metals</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0.12</w:t>
            </w:r>
          </w:p>
        </w:tc>
      </w:tr>
    </w:tbl>
    <w:p>
      <w:pPr>
        <w:pStyle w:val="C9Normal"/>
        <w:pageBreakBefore w:val="0"/>
        <w:widowControl/>
      </w:pPr>
      <w:r>
        <w:t>For a separately constructed explicit gap calculation the conceptual source is Ag,0 Gg fgap, where Gg is the applicable gap inventory fraction. These examples preserve the original distinction between gap inventory and phase release fractions. They are not an additional multiplier on the DBA table and are not a general isotope-resolved gap-input interface in the delivered code.</w:t>
      </w:r>
    </w:p>
    <w:p>
      <w:pPr>
        <w:pStyle w:val="Heading2"/>
        <w:pageBreakBefore w:val="0"/>
        <w:widowControl/>
      </w:pPr>
      <w:r>
        <w:t>9.6 Severe Core-Melt Release Fractions Used in FLARE</w:t>
      </w:r>
    </w:p>
    <w:p>
      <w:pPr>
        <w:pStyle w:val="C9Normal"/>
        <w:pageBreakBefore w:val="0"/>
        <w:widowControl/>
      </w:pPr>
      <w:r>
        <w:t>For beyond-design-basis and severe-event screening, FLARE includes an original NUREG-1465-like severe core-melt release-fraction table. The purpose of this table is not to reproduce a complete NUREG-1465 phased severe-accident source term. NUREG-1465 separates releases into phases such as gap release, early in-vessel release, ex-vessel release, and late in-vessel release, with timing and transport assumptions that depend on accident progression. NOTBADTRAD instead requires a compact target release fraction for each reduced radionuclide group so that severe-event consequences can be compared consistently with design-basis cases in the FLARE framework.</w:t>
      </w:r>
    </w:p>
    <w:p>
      <w:pPr>
        <w:pStyle w:val="C9Normal"/>
        <w:pageBreakBefore w:val="0"/>
        <w:widowControl/>
      </w:pPr>
      <w:r>
        <w:t>The severe-event table is therefore a screening construct. It preserves three intended features of the NUREG-1465 severe-accident source-term logic. First, noble gases are essentially completely released from damaged fuel. Second, volatile and semi-volatile groups, especially halogens and alkali metals, can be released at fractions substantially above the DBA AST values. Third, refractory groups remain much less volatile, but their releases are allowed to increase relative to the DBA table when high-temperature oxidation is calculated.</w:t>
      </w:r>
    </w:p>
    <w:p>
      <w:pPr>
        <w:pStyle w:val="C9Normal"/>
        <w:keepNext/>
        <w:pageBreakBefore w:val="0"/>
      </w:pPr>
      <w:r>
        <w:rPr>
          <w:b/>
          <w:sz w:val="20"/>
        </w:rPr>
        <w:t>Table 9-8</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3360"/>
            <w:vAlign w:val="center"/>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Group</w:t>
            </w:r>
          </w:p>
        </w:tc>
        <w:tc>
          <w:tcPr>
            <w:tcW w:type="dxa" w:w="3360"/>
            <w:vAlign w:val="center"/>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DBA total</w:t>
            </w:r>
          </w:p>
        </w:tc>
        <w:tc>
          <w:tcPr>
            <w:tcW w:type="dxa" w:w="3360"/>
            <w:vAlign w:val="center"/>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Severe target fraction</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NG</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1.0</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Halogens</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0.4</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0.75</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Alkali_metals</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0.3</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0.75</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Te_group</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0.05</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0.3</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Ba_Sr</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0.02</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0.12</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Noble_metals</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0.0025</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0.005</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Lanthanides</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0.0002</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0.005</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Ce_group</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0.0005</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0.005</w:t>
            </w:r>
          </w:p>
        </w:tc>
      </w:tr>
      <w:tr>
        <w:trPr>
          <w:cantSplit/>
        </w:trPr>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U_actinides</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w:t>
            </w:r>
          </w:p>
        </w:tc>
        <w:tc>
          <w:tcPr>
            <w:tcW w:type="dxa" w:w="3360"/>
            <w:vAlign w:val="center"/>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0.001</w:t>
            </w:r>
          </w:p>
        </w:tc>
      </w:tr>
    </w:tbl>
    <w:p>
      <w:pPr>
        <w:pStyle w:val="C9Normal"/>
        <w:pageBreakBefore w:val="0"/>
        <w:widowControl/>
      </w:pPr>
      <w:r>
        <w:t>The basis for the severe-event table is intentionally simple. Noble gases are assigned complete release. Halogens and alkali metals are treated as highly volatile groups and are assigned target fractions substantially above the DBA AST totals. The tellurium group is treated as semi-volatile, with a target below the halogen and alkali-metal targets but substantially above the DBA value. Barium/strontium is treated as a lower-volatility aerosol group that increases during severe high-temperature degradation. Noble metals, cerium-group nuclides, and lanthanides are treated as refractory or low-volatility groups and are assigned small but nonzero severe-event increases.</w:t>
      </w:r>
    </w:p>
    <w:p>
      <w:pPr>
        <w:pStyle w:val="C9Normal"/>
        <w:pageBreakBefore w:val="0"/>
        <w:widowControl/>
      </w:pPr>
      <w:r>
        <w:t>The uranium/actinide row is an extension beyond the reduced DBA AST table because the design-basis source term normally does not require an explicit uranium/actinide release fraction for NOTBADTRAD screening. It is included for severe-event comparisons in which very small releases of heavy refractory material may be useful as a marker of core-melt severity. The selected value is deliberately small and should be treated as a scoping parameter, not as a licensing-grade mechanistic estimate.</w:t>
      </w:r>
    </w:p>
    <w:p>
      <w:pPr>
        <w:pStyle w:val="C9Normal"/>
        <w:pageBreakBefore w:val="0"/>
        <w:widowControl/>
      </w:pPr>
      <w:r>
        <w:t>This formulation makes the severe-event source term responsive to the calculated fuel-damage state without requiring a full severe-accident progression model. It also preserves the distinction between the hot pin and the mean oxidizing rod. The hot pin is used for limiting local fuel figures-of-merit such as peak cladding temperature and maximum local oxidation. The mean oxidizing rod is used for source-term escalation because it is a population-representative measure of the rods participating in high-temperature oxidation.</w:t>
      </w:r>
    </w:p>
    <w:p>
      <w:pPr>
        <w:pStyle w:val="C9Normal"/>
        <w:pageBreakBefore w:val="0"/>
        <w:widowControl/>
      </w:pPr>
      <w:r>
        <w:rPr>
          <w:color w:val="000000"/>
        </w:rPr>
        <w:t>The severe target fractions are FLARE screening constructs, not a full NUREG-1465 phased severe accident. They preserve volatility ordering and small refractory releases. Augmentation uses the bounded severity fraction from peak mean oxidizing-rod ECR and the selected enable/threshold logic; it is distinct from hot-pin PCT/local oxidation. A prescribed source can acquire TH dependence when this option is enabled.</w:t>
      </w:r>
    </w:p>
    <w:p>
      <w:pPr>
        <w:pStyle w:val="C9Normal"/>
        <w:pageBreakBefore w:val="0"/>
        <w:widowControl/>
        <w:jc w:val="center"/>
      </w:pPr>
      <m:oMath>
        <m:r>
          <m:t>Rg = clip[Rbase,g + Emean (Rtarget,g − Rbase,g), 0, 1]</m:t>
        </m:r>
      </m:oMath>
    </w:p>
    <w:p>
      <w:pPr>
        <w:pStyle w:val="C9Normal"/>
        <w:pageBreakBefore w:val="0"/>
        <w:widowControl/>
      </w:pPr>
      <w:r>
        <w:t>Emean is the maximum mean oxidizing-rod ECR expressed as a fraction. The selected severe-augmentation enable and threshold logic determines whether this interpolation is applied. The severe targets are screening inputs, not a complete phased severe-accident progression calculation. U_actinides remains a placeholder with zero represented activity in the shared inventory; a nonzero target alone does not create an inventory.</w:t>
      </w:r>
    </w:p>
    <w:p>
      <w:pPr>
        <w:pStyle w:val="Heading2"/>
        <w:pageBreakBefore w:val="0"/>
        <w:widowControl/>
      </w:pPr>
      <w:r>
        <w:t>9.7 Time-Dependent Release Shape</w:t>
      </w:r>
    </w:p>
    <w:p>
      <w:pPr>
        <w:pStyle w:val="C9Normal"/>
        <w:pageBreakBefore w:val="0"/>
        <w:widowControl/>
      </w:pPr>
      <w:r>
        <w:rPr>
          <w:color w:val="000000"/>
        </w:rPr>
        <w:t>The prescribed LOCA gap phase runs from 0 to 0.5 h by default; the 1.3 h early in-vessel phase follows, ending at 1.8 h. Durations are adjustable in the workbook. The integrated calculation does not add the standalone debug model’s separate 30 s delay. All decay clocks are measured from shutdown.</w:t>
      </w:r>
    </w:p>
    <w:p>
      <w:pPr>
        <w:pStyle w:val="C9Normal"/>
        <w:pageBreakBefore w:val="0"/>
        <w:widowControl/>
        <w:spacing w:after="180"/>
        <w:jc w:val="center"/>
      </w:pPr>
      <m:oMath>
        <m:sSub>
          <m:e>
            <m:r>
              <m:t xml:space="preserve">S</m:t>
            </m:r>
          </m:e>
          <m:sub>
            <m:r>
              <m:t xml:space="preserve">g p</m:t>
            </m:r>
          </m:sub>
        </m:sSub>
        <m:r>
          <m:t xml:space="preserve"> (t) = </m:t>
        </m:r>
        <m:f>
          <m:num>
            <m:sSub>
              <m:e>
                <m:r>
                  <m:t xml:space="preserve">A</m:t>
                </m:r>
              </m:e>
              <m:sub>
                <m:r>
                  <m:t xml:space="preserve">g 0</m:t>
                </m:r>
              </m:sub>
            </m:sSub>
            <m:sSub>
              <m:e>
                <m:r>
                  <m:t xml:space="preserve">R</m:t>
                </m:r>
              </m:e>
              <m:sub>
                <m:r>
                  <m:t xml:space="preserve">g p</m:t>
                </m:r>
              </m:sub>
            </m:sSub>
          </m:num>
          <m:den>
            <m:sSub>
              <m:e>
                <m:r>
                  <m:t xml:space="preserve">Δt</m:t>
                </m:r>
              </m:e>
              <m:sub>
                <m:r>
                  <m:t xml:space="preserve">p</m:t>
                </m:r>
              </m:sub>
            </m:sSub>
          </m:den>
        </m:f>
        <m:r>
          <m:t xml:space="preserve"> exp(−</m:t>
        </m:r>
        <m:sSub>
          <m:e>
            <m:r>
              <m:t xml:space="preserve">λ</m:t>
            </m:r>
          </m:e>
          <m:sub>
            <m:r>
              <m:t xml:space="preserve">g</m:t>
            </m:r>
          </m:sub>
        </m:sSub>
        <m:r>
          <m:t xml:space="preserve">t)    during phase p</m:t>
        </m:r>
      </m:oMath>
    </w:p>
    <w:p>
      <w:pPr>
        <w:pStyle w:val="C9Normal"/>
        <w:pageBreakBefore w:val="0"/>
        <w:widowControl/>
      </w:pPr>
      <w:r>
        <w:rPr>
          <w:color w:val="000000"/>
        </w:rPr>
        <w:t>With nbt_credit_decay = True, the unreleased source decreases from shutdown to the actual release time. Once in containment, it also decays during residence. This accounts for the two successive periods once each. With the flag False, both source decay and containment radioactive decay are omitted. Operating buildup and decay in the new inventory selections are separate and are not disabled by this accident-decay flag.</w:t>
      </w:r>
    </w:p>
    <w:p>
      <w:pPr>
        <w:pStyle w:val="C9Normal"/>
        <w:pageBreakBefore w:val="0"/>
        <w:widowControl/>
      </w:pPr>
      <w:r>
        <w:rPr>
          <w:color w:val="000000"/>
        </w:rPr>
        <w:t>For a normalized phase shape sp, integral sp dt=1 and Sg=Σp Ag,0 Rg,p sp. The default square phases are 0.5 h gap followed by 1.3 h early in-vessel. With decay enabled, the emitted activity falls from shutdown time rather than restarting its decay clock at each phase. A conceptual direct source has Qenv=S; the current delivered SOLO deck approximates that limit using 86400/day fractional leakage, k=1 s⁻¹. This is a one-second numerical residence, not a physical containment leakage specification.</w:t>
      </w:r>
    </w:p>
    <w:p>
      <w:pPr>
        <w:pStyle w:val="C9Normal"/>
        <w:pageBreakBefore w:val="0"/>
        <w:widowControl/>
      </w:pPr>
      <w:r>
        <w:rPr>
          <w:color w:val="000000"/>
        </w:rPr>
        <w:t>The nominal released-Ci output is shutdown-equivalent Ag,0 Rg,p. With source decay enabled it is not the integrated decayed source entering containment. nbt_calibrate subsequently scales dose only; it does not change this nominal activity.</w:t>
      </w:r>
    </w:p>
    <w:p>
      <w:pPr>
        <w:pStyle w:val="C9Normal"/>
        <w:pageBreakBefore w:val="0"/>
        <w:widowControl/>
      </w:pPr>
      <w:r>
        <w:t>The normalized square-pulse shape equals 1/Δtp during its phase and zero outside it. Its integral is one. Without accident decay, integrating the source over a phase returns Ag,0 Rg,p. With decay enabled, that integral is smaller because radioactive decay is measured from shutdown, including the time before release.</w:t>
      </w:r>
    </w:p>
    <w:p>
      <w:pPr>
        <w:pStyle w:val="Heading2"/>
        <w:pageBreakBefore w:val="0"/>
        <w:widowControl/>
      </w:pPr>
      <w:r>
        <w:t>9.8 Single-Compartment Transport and Removal</w:t>
      </w:r>
    </w:p>
    <w:p>
      <w:pPr>
        <w:pStyle w:val="C9Normal"/>
        <w:pageBreakBefore w:val="0"/>
        <w:widowControl/>
      </w:pPr>
      <w:r>
        <w:t>The source compartment is a single well-mixed airborne region. Source input increases its activity; leakage, radioactive decay and credited removal decrease it. Environmental activity rate is the airborne activity times the fractional leakage constant and the leakage-path transmission.</w:t>
      </w:r>
    </w:p>
    <w:p>
      <w:pPr>
        <w:pStyle w:val="C9Normal"/>
        <w:pageBreakBefore w:val="0"/>
        <w:widowControl/>
        <w:spacing w:after="180"/>
        <w:jc w:val="center"/>
      </w:pPr>
      <m:oMath>
        <m:f>
          <m:num>
            <m:r>
              <m:t xml:space="preserve">d</m:t>
            </m:r>
            <m:sSub>
              <m:e>
                <m:r>
                  <m:t xml:space="preserve">A</m:t>
                </m:r>
              </m:e>
              <m:sub>
                <m:r>
                  <m:t xml:space="preserve">c g</m:t>
                </m:r>
              </m:sub>
            </m:sSub>
          </m:num>
          <m:den>
            <m:r>
              <m:t xml:space="preserve">dt</m:t>
            </m:r>
          </m:den>
        </m:f>
        <m:r>
          <m:t xml:space="preserve"> = </m:t>
        </m:r>
        <m:sSub>
          <m:e>
            <m:r>
              <m:t xml:space="preserve">S</m:t>
            </m:r>
          </m:e>
          <m:sub>
            <m:r>
              <m:t xml:space="preserve">g</m:t>
            </m:r>
          </m:sub>
        </m:sSub>
        <m:r>
          <m:t xml:space="preserve"> (t) − (</m:t>
        </m:r>
        <m:sSub>
          <m:e>
            <m:r>
              <m:t xml:space="preserve">λ</m:t>
            </m:r>
          </m:e>
          <m:sub>
            <m:r>
              <m:t xml:space="preserve">g</m:t>
            </m:r>
          </m:sub>
        </m:sSub>
        <m:r>
          <m:t xml:space="preserve"> + </m:t>
        </m:r>
        <m:sSub>
          <m:e>
            <m:r>
              <m:t xml:space="preserve">k</m:t>
            </m:r>
          </m:e>
          <m:sub>
            <m:r>
              <m:t xml:space="preserve">leak</m:t>
            </m:r>
          </m:sub>
        </m:sSub>
        <m:r>
          <m:t xml:space="preserve"> + </m:t>
        </m:r>
        <m:sSub>
          <m:e>
            <m:r>
              <m:t xml:space="preserve">k</m:t>
            </m:r>
          </m:e>
          <m:sub>
            <m:r>
              <m:t xml:space="preserve">dep g</m:t>
            </m:r>
          </m:sub>
        </m:sSub>
        <m:r>
          <m:t xml:space="preserve"> + </m:t>
        </m:r>
        <m:sSub>
          <m:e>
            <m:r>
              <m:t xml:space="preserve">k</m:t>
            </m:r>
          </m:e>
          <m:sub>
            <m:r>
              <m:t xml:space="preserve">spray g</m:t>
            </m:r>
          </m:sub>
        </m:sSub>
        <m:r>
          <m:t xml:space="preserve">)</m:t>
        </m:r>
        <m:sSub>
          <m:e>
            <m:r>
              <m:t xml:space="preserve">A</m:t>
            </m:r>
          </m:e>
          <m:sub>
            <m:r>
              <m:t xml:space="preserve">c g</m:t>
            </m:r>
          </m:sub>
        </m:sSub>
      </m:oMath>
    </w:p>
    <w:p>
      <w:pPr>
        <w:pStyle w:val="C9Normal"/>
        <w:pageBreakBefore w:val="0"/>
        <w:widowControl/>
        <w:spacing w:after="180"/>
        <w:jc w:val="center"/>
      </w:pPr>
      <m:oMath>
        <m:sSub>
          <m:e>
            <m:r>
              <m:t xml:space="preserve">k</m:t>
            </m:r>
          </m:e>
          <m:sub>
            <m:r>
              <m:t xml:space="preserve">leak</m:t>
            </m:r>
          </m:sub>
        </m:sSub>
        <m:r>
          <m:t xml:space="preserve"> = </m:t>
        </m:r>
        <m:f>
          <m:num>
            <m:r>
              <m:t xml:space="preserve">L day</m:t>
            </m:r>
          </m:num>
          <m:den>
            <m:r>
              <m:t xml:space="preserve">86400</m:t>
            </m:r>
          </m:den>
        </m:f>
        <m:r>
          <m:t xml:space="preserve">;    </m:t>
        </m:r>
        <m:sSub>
          <m:e>
            <m:r>
              <m:t xml:space="preserve">Q</m:t>
            </m:r>
          </m:e>
          <m:sub>
            <m:r>
              <m:t xml:space="preserve">env g</m:t>
            </m:r>
          </m:sub>
        </m:sSub>
        <m:r>
          <m:t xml:space="preserve"> (t) = </m:t>
        </m:r>
        <m:sSub>
          <m:e>
            <m:r>
              <m:t xml:space="preserve">T</m:t>
            </m:r>
          </m:e>
          <m:sub>
            <m:r>
              <m:t xml:space="preserve">path g</m:t>
            </m:r>
          </m:sub>
        </m:sSub>
        <m:sSub>
          <m:e>
            <m:r>
              <m:t xml:space="preserve">k</m:t>
            </m:r>
          </m:e>
          <m:sub>
            <m:r>
              <m:t xml:space="preserve">leak</m:t>
            </m:r>
          </m:sub>
        </m:sSub>
        <m:sSub>
          <m:e>
            <m:r>
              <m:t xml:space="preserve">A</m:t>
            </m:r>
          </m:e>
          <m:sub>
            <m:r>
              <m:t xml:space="preserve">c g</m:t>
            </m:r>
          </m:sub>
        </m:sSub>
        <m:r>
          <m:t xml:space="preserve"> (t)</m:t>
        </m:r>
      </m:oMath>
    </w:p>
    <w:p>
      <w:pPr>
        <w:pStyle w:val="C9Normal"/>
        <w:pageBreakBefore w:val="0"/>
        <w:widowControl/>
      </w:pPr>
      <w:r>
        <w:rPr>
          <w:color w:val="000000"/>
        </w:rPr>
        <w:t>Ac,g is airborne containment activity in Ci. Lday is leakage as a fractional rate per day; 0.002 means 0.2% per day. Environmental source Q is Ci/s. Natural deposition is active only with nbt_credit_deposition; sprays are independently controlled by nbt_sprays_on. Nongaseous reference deposition is 4.17 × 10⁻⁵ s⁻¹, and noble gases have zero deposition and spray removal.</w:t>
      </w:r>
    </w:p>
    <w:p>
      <w:pPr>
        <w:pStyle w:val="C9Normal"/>
        <w:pageBreakBefore w:val="0"/>
        <w:widowControl/>
      </w:pPr>
      <w:r>
        <w:rPr>
          <w:color w:val="000000"/>
        </w:rPr>
        <w:t>Containment volume cancels from a release expressed as airborne Ci times a fractional leakage rate. The current balance has one airborne region and does not resolve an unsprayed compartment, interregion mixing, pressure-dependent leakage, or resuspension. Leakage-path filtration acts after containment removal and does not remove a second amount from the airborne source.</w:t>
      </w:r>
    </w:p>
    <w:p>
      <w:pPr>
        <w:pStyle w:val="C9Normal"/>
        <w:pageBreakBefore w:val="0"/>
        <w:widowControl/>
      </w:pPr>
      <w:r>
        <w:t>For comparison with a volumetric leakage specification, a well-mixed compartment gives kleak = volumetric leakage flow / free volume. The active NBT input is the fractional rate per day shown above. A conceptual direct environmental source has Qenv = S; the current deck approximates that limit with rapid escape rather than a separate bypass switch.</w:t>
      </w:r>
    </w:p>
    <w:p>
      <w:pPr>
        <w:pStyle w:val="Heading3"/>
        <w:pageBreakBefore w:val="0"/>
        <w:widowControl/>
      </w:pPr>
      <w:r>
        <w:t>Staged spray removal and filtration</w:t>
      </w:r>
    </w:p>
    <w:p>
      <w:pPr>
        <w:pStyle w:val="C9Normal"/>
        <w:pageBreakBefore w:val="0"/>
        <w:widowControl/>
      </w:pPr>
      <w:r>
        <w:rPr>
          <w:color w:val="000000"/>
        </w:rPr>
        <w:t>NUREG-1465 Section 5.1 discusses the SRP 6.5.2 particulate-removal form k = 3hFE/(2VD), including a reduction of collection ratio E/D from 10 to 1 m⁻¹ after a depletion factor of 50 [4]. FLARE represents that concept as an initial group rate followed by a reduced rate. The initial numerical rate remains a plant or screening assumption.</w:t>
      </w:r>
    </w:p>
    <w:p>
      <w:pPr>
        <w:pStyle w:val="C9Normal"/>
        <w:pageBreakBefore w:val="0"/>
        <w:widowControl/>
        <w:spacing w:after="180"/>
        <w:jc w:val="center"/>
      </w:pPr>
      <m:oMath>
        <m:sSub>
          <m:e>
            <m:r>
              <m:t xml:space="preserve">t</m:t>
            </m:r>
          </m:e>
          <m:sub>
            <m:r>
              <m:t xml:space="preserve">transition</m:t>
            </m:r>
          </m:sub>
        </m:sSub>
        <m:r>
          <m:t xml:space="preserve"> = </m:t>
        </m:r>
        <m:sSub>
          <m:e>
            <m:r>
              <m:t xml:space="preserve">t</m:t>
            </m:r>
          </m:e>
          <m:sub>
            <m:r>
              <m:t xml:space="preserve">spray start</m:t>
            </m:r>
          </m:sub>
        </m:sSub>
        <m:r>
          <m:t xml:space="preserve"> + </m:t>
        </m:r>
        <m:f>
          <m:num>
            <m:r>
              <m:t xml:space="preserve">ln DF transition</m:t>
            </m:r>
          </m:num>
          <m:den>
            <m:sSub>
              <m:e>
                <m:r>
                  <m:t xml:space="preserve">k</m:t>
                </m:r>
              </m:e>
              <m:sub>
                <m:r>
                  <m:t xml:space="preserve">initial</m:t>
                </m:r>
              </m:sub>
            </m:sSub>
          </m:den>
        </m:f>
      </m:oMath>
    </w:p>
    <w:p>
      <w:pPr>
        <w:pStyle w:val="C9Normal"/>
        <w:pageBreakBefore w:val="0"/>
        <w:widowControl/>
      </w:pPr>
      <w:r>
        <w:rPr>
          <w:color w:val="000000"/>
        </w:rPr>
        <w:t>The clock is cumulative spray-only exposure beginning at spray start, shared by all source phases. Decay, leakage and natural deposition do not advance it, and a new phase does not reset it. If sprays stop before transition, the depleted stage is not reached during their availability. Continuing release makes the clock an approximation rather than the true initial-to-remaining aerosol mass ratio. No terminal DF = 1000 cap is imposed.</w:t>
      </w:r>
    </w:p>
    <w:p>
      <w:pPr>
        <w:pStyle w:val="C9Normal"/>
        <w:pageBreakBefore w:val="0"/>
        <w:widowControl/>
      </w:pPr>
      <w:r>
        <w:rPr>
          <w:color w:val="000000"/>
        </w:rPr>
        <w:t>Generic aerosol rates are 5.4 and 0.54 h⁻¹. The case override nbt_aerosol_spray_removal_hr changes the initial aerosol contribution while preserving the JSON depleted-to-initial ratio, currently 0.1. ANO’s 2.6 override gives 2.6 then 0.26 h⁻¹ for ordinary aerosol groups.</w:t>
      </w:r>
    </w:p>
    <w:p>
      <w:pPr>
        <w:pStyle w:val="C9Normal"/>
        <w:pageBreakBefore w:val="0"/>
        <w:widowControl/>
      </w:pPr>
      <w:r>
        <w:rPr>
          <w:color w:val="000000"/>
        </w:rPr>
        <w:t>Halogens retain 90% aerosol spray weighting plus 2.085 × 10⁻⁶ s⁻¹ non-aerosol removal. Their generic rates are 4.867506 then 0.4867506 h⁻¹; under the ANO override they are 2.347506 then 0.2347506 h⁻¹. This effective group treatment does not solve separate particulate, elemental and organic iodine populations.</w:t>
      </w:r>
    </w:p>
    <w:p>
      <w:pPr>
        <w:pStyle w:val="Heading3"/>
        <w:pageBreakBefore w:val="0"/>
        <w:widowControl/>
      </w:pPr>
      <w:r>
        <w:rPr>
          <w:color w:val="000000"/>
        </w:rPr>
        <w:t>Penetration path transmission</w:t>
      </w:r>
    </w:p>
    <w:p>
      <w:pPr>
        <w:pStyle w:val="C9Normal"/>
        <w:pageBreakBefore w:val="0"/>
        <w:widowControl/>
        <w:spacing w:after="180"/>
        <w:jc w:val="center"/>
      </w:pPr>
      <m:oMath>
        <m:sSub>
          <m:e>
            <m:r>
              <m:t xml:space="preserve">T</m:t>
            </m:r>
          </m:e>
          <m:sub>
            <m:r>
              <m:t xml:space="preserve">path g</m:t>
            </m:r>
          </m:sub>
        </m:sSub>
        <m:r>
          <m:t xml:space="preserve"> = 1 − </m:t>
        </m:r>
        <m:sSub>
          <m:e>
            <m:r>
              <m:t xml:space="preserve">f</m:t>
            </m:r>
          </m:e>
          <m:sub>
            <m:r>
              <m:t xml:space="preserve">filtered</m:t>
            </m:r>
          </m:sub>
        </m:sSub>
        <m:r>
          <m:t xml:space="preserve"> [</m:t>
        </m:r>
        <m:sSub>
          <m:e>
            <m:r>
              <m:t xml:space="preserve">a</m:t>
            </m:r>
          </m:e>
          <m:sub>
            <m:r>
              <m:t xml:space="preserve">g</m:t>
            </m:r>
          </m:sub>
        </m:sSub>
        <m:sSub>
          <m:e>
            <m:r>
              <m:t xml:space="preserve">η</m:t>
            </m:r>
          </m:e>
          <m:sub>
            <m:r>
              <m:t xml:space="preserve">aerosol</m:t>
            </m:r>
          </m:sub>
        </m:sSub>
        <m:r>
          <m:t xml:space="preserve"> + (1 − </m:t>
        </m:r>
        <m:sSub>
          <m:e>
            <m:r>
              <m:t xml:space="preserve">a</m:t>
            </m:r>
          </m:e>
          <m:sub>
            <m:r>
              <m:t xml:space="preserve">g</m:t>
            </m:r>
          </m:sub>
        </m:sSub>
        <m:r>
          <m:t xml:space="preserve">)</m:t>
        </m:r>
        <m:sSub>
          <m:e>
            <m:r>
              <m:t xml:space="preserve">η</m:t>
            </m:r>
          </m:e>
          <m:sub>
            <m:r>
              <m:t xml:space="preserve">iodine</m:t>
            </m:r>
          </m:sub>
        </m:sSub>
        <m:r>
          <m:t xml:space="preserve">]</m:t>
        </m:r>
      </m:oMath>
    </w:p>
    <w:p>
      <w:pPr>
        <w:pStyle w:val="C9Normal"/>
        <w:pageBreakBefore w:val="0"/>
        <w:widowControl/>
      </w:pPr>
      <w:r>
        <w:rPr>
          <w:color w:val="000000"/>
        </w:rPr>
        <w:t>The filtered-path fraction and efficiencies are workbook inputs, all defaulting to zero. Noble-gas transmission is forced to one. Aerosol groups use ag = 1; halogens use ag = 0.95 in the retained penetration weighting, separate from their spray weighting. Elemental and organic iodine share the case iodine efficiency.</w:t>
      </w:r>
    </w:p>
    <w:p>
      <w:pPr>
        <w:pStyle w:val="C9Normal"/>
        <w:keepNext/>
        <w:pageBreakBefore w:val="0"/>
      </w:pPr>
      <w:r>
        <w:rPr>
          <w:b/>
          <w:sz w:val="20"/>
        </w:rPr>
        <w:t>Table 9-9</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ANO path assumption</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Value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Filtered leakage / aerosol efficiency / iodine efficiency</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0.50 / 0.99 / 0.90</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Aerosol group transmission</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0.505</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Halogen transmission</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0.50725</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Noble gas transmission</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w:t>
            </w:r>
          </w:p>
        </w:tc>
      </w:tr>
    </w:tbl>
    <w:p>
      <w:pPr>
        <w:pStyle w:val="C9Normal"/>
        <w:pageBreakBefore w:val="0"/>
        <w:widowControl/>
      </w:pPr>
      <w:r>
        <w:rPr>
          <w:color w:val="000000"/>
        </w:rPr>
        <w:t>Transmission is applied to the escaping source for EAB, LPZ, CR and the limiting-window calculation. Makeup and recirculation filters are a separate room process. Every efficiency and path fraction must be finite and between zero and one.</w:t>
      </w:r>
    </w:p>
    <w:p>
      <w:pPr>
        <w:pStyle w:val="C9Normal"/>
        <w:keepNext/>
        <w:pageBreakBefore w:val="0"/>
      </w:pPr>
      <w:r>
        <w:rPr>
          <w:b/>
          <w:sz w:val="20"/>
        </w:rPr>
        <w:t>Table 9-10</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Input</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Default and effect</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nbt_credit_decay</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False. When True, reduces unreleased activity from shutdown time and includes decay after release and in room air.</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nbt_credit_deposition</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False. Controls natural containment deposition only.</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nbt_sprays_on</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True. Spray removal remains independent of natural-deposition credit.</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nbt_aerosol_spray_removal_hr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Optional initial aerosol rate in h⁻¹; the JSON depleted-to-initial ratio is retained.</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nbt_calibrate</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1.0. Multiplies calculated dose once; does not alter reported source inventory or implement surface roughness physics.</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nbt_leak_rate_frac_per_day</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Fraction of airborne containment activity escaping per day; 0.002 means 0.2% per day.</w:t>
            </w:r>
          </w:p>
        </w:tc>
      </w:tr>
    </w:tbl>
    <w:p>
      <w:pPr>
        <w:pStyle w:val="C9Normal"/>
        <w:pageBreakBefore w:val="0"/>
        <w:widowControl/>
      </w:pPr>
      <w:r>
        <w:t>NBT spray aerosol removal and FLARECON spray heat removal are separate models. Sharing availability assumptions does not create pressure-dependent leakage or mechanistic spray chemistry. No additional airborne filtration loss is subtracted for penetration filtration; its transmission is applied to the leakage source after containment removal.</w:t>
      </w:r>
    </w:p>
    <w:p>
      <w:pPr>
        <w:pStyle w:val="Heading2"/>
        <w:pageBreakBefore w:val="0"/>
        <w:widowControl/>
      </w:pPr>
      <w:r>
        <w:t>9.9 Atmospheric Dispersion Model</w:t>
      </w:r>
    </w:p>
    <w:p>
      <w:pPr>
        <w:pStyle w:val="C9Normal"/>
        <w:pageBreakBefore w:val="0"/>
        <w:widowControl/>
      </w:pPr>
      <w:r>
        <w:t>For receptor r, the outdoor concentration is Cg,r(t) = Qenv,g(t) (χ/Q)r. Qenv is in Ci/s and χ/Q is in s/m³, giving concentration in Ci/m³. EAB, LPZ and the control-room intake have separate receptor inputs.</w:t>
      </w:r>
    </w:p>
    <w:p>
      <w:pPr>
        <w:pStyle w:val="C9Normal"/>
        <w:pageBreakBefore w:val="0"/>
        <w:widowControl/>
      </w:pPr>
      <w:r>
        <w:rPr>
          <w:color w:val="000000"/>
        </w:rPr>
        <w:t>A scalar receptor χ/Q overrides the built-in environmental dispersion estimate. The CR also accepts a step schedule as described in the corresponding model section. In the fallback dispersion formula, x is distance in km; the resulting dispersion widths are in metres. The vertical width is capped at 5000 m.</w:t>
      </w:r>
    </w:p>
    <w:p>
      <w:pPr>
        <w:pStyle w:val="C9Normal"/>
        <w:pageBreakBefore w:val="0"/>
        <w:widowControl/>
        <w:spacing w:after="180"/>
        <w:jc w:val="center"/>
      </w:pPr>
      <m:oMath>
        <m:sSub>
          <m:e>
            <m:r>
              <m:t xml:space="preserve">σ</m:t>
            </m:r>
          </m:e>
          <m:sub>
            <m:r>
              <m:t xml:space="preserve">y</m:t>
            </m:r>
          </m:sub>
        </m:sSub>
        <m:r>
          <m:t xml:space="preserve"> = 1000 </m:t>
        </m:r>
        <m:sSub>
          <m:e>
            <m:r>
              <m:t xml:space="preserve">a</m:t>
            </m:r>
          </m:e>
          <m:sub>
            <m:r>
              <m:t xml:space="preserve">y</m:t>
            </m:r>
          </m:sub>
        </m:sSub>
        <m:sSup>
          <m:e>
            <m:r>
              <m:t xml:space="preserve">x</m:t>
            </m:r>
          </m:e>
          <m:sup>
            <m:sSub>
              <m:e>
                <m:r>
                  <m:t xml:space="preserve">b</m:t>
                </m:r>
              </m:e>
              <m:sub>
                <m:r>
                  <m:t xml:space="preserve">y</m:t>
                </m:r>
              </m:sub>
            </m:sSub>
          </m:sup>
        </m:sSup>
        <m:r>
          <m:t xml:space="preserve">;    </m:t>
        </m:r>
        <m:sSub>
          <m:e>
            <m:r>
              <m:t xml:space="preserve">σ</m:t>
            </m:r>
          </m:e>
          <m:sub>
            <m:r>
              <m:t xml:space="preserve">z</m:t>
            </m:r>
          </m:sub>
        </m:sSub>
        <m:r>
          <m:t xml:space="preserve"> = min(1000 </m:t>
        </m:r>
        <m:sSub>
          <m:e>
            <m:r>
              <m:t xml:space="preserve">a</m:t>
            </m:r>
          </m:e>
          <m:sub>
            <m:r>
              <m:t xml:space="preserve">z</m:t>
            </m:r>
          </m:sub>
        </m:sSub>
        <m:sSup>
          <m:e>
            <m:r>
              <m:t xml:space="preserve">x</m:t>
            </m:r>
          </m:e>
          <m:sup>
            <m:sSub>
              <m:e>
                <m:r>
                  <m:t xml:space="preserve">b</m:t>
                </m:r>
              </m:e>
              <m:sub>
                <m:r>
                  <m:t xml:space="preserve">z</m:t>
                </m:r>
              </m:sub>
            </m:sSub>
          </m:sup>
        </m:sSup>
        <m:r>
          <m:t xml:space="preserve">, 5000)</m:t>
        </m:r>
      </m:oMath>
    </w:p>
    <w:p>
      <w:pPr>
        <w:pStyle w:val="C9Normal"/>
        <w:pageBreakBefore w:val="0"/>
        <w:widowControl/>
        <w:spacing w:after="180"/>
        <w:jc w:val="center"/>
      </w:pPr>
      <m:oMath>
        <m:r>
          <m:t xml:space="preserve">χ/Q = </m:t>
        </m:r>
        <m:f>
          <m:num>
            <m:r>
              <m:t xml:space="preserve">exp[−</m:t>
            </m:r>
            <m:f>
              <m:num>
                <m:sSup>
                  <m:e>
                    <m:r>
                      <m:t xml:space="preserve">H</m:t>
                    </m:r>
                  </m:e>
                  <m:sup>
                    <m:r>
                      <m:t xml:space="preserve">2</m:t>
                    </m:r>
                  </m:sup>
                </m:sSup>
              </m:num>
              <m:den>
                <m:r>
                  <m:t xml:space="preserve">2</m:t>
                </m:r>
                <m:sSup>
                  <m:e>
                    <m:sSub>
                      <m:e>
                        <m:r>
                          <m:t xml:space="preserve">σ</m:t>
                        </m:r>
                      </m:e>
                      <m:sub>
                        <m:r>
                          <m:t xml:space="preserve">z</m:t>
                        </m:r>
                      </m:sub>
                    </m:sSub>
                  </m:e>
                  <m:sup>
                    <m:r>
                      <m:t xml:space="preserve">2</m:t>
                    </m:r>
                  </m:sup>
                </m:sSup>
              </m:den>
            </m:f>
            <m:r>
              <m:t xml:space="preserve">]</m:t>
            </m:r>
          </m:num>
          <m:den>
            <m:r>
              <m:t xml:space="preserve">2π </m:t>
            </m:r>
            <m:sSub>
              <m:e>
                <m:r>
                  <m:t xml:space="preserve">σ</m:t>
                </m:r>
              </m:e>
              <m:sub>
                <m:r>
                  <m:t xml:space="preserve">y</m:t>
                </m:r>
              </m:sub>
            </m:sSub>
            <m:r>
              <m:t xml:space="preserve"> </m:t>
            </m:r>
            <m:sSub>
              <m:e>
                <m:r>
                  <m:t xml:space="preserve">σ</m:t>
                </m:r>
              </m:e>
              <m:sub>
                <m:r>
                  <m:t xml:space="preserve">z</m:t>
                </m:r>
              </m:sub>
            </m:sSub>
            <m:r>
              <m:t xml:space="preserve"> u</m:t>
            </m:r>
          </m:den>
        </m:f>
      </m:oMath>
    </w:p>
    <w:p>
      <w:pPr>
        <w:pStyle w:val="C9Normal"/>
        <w:keepNext/>
        <w:pageBreakBefore w:val="0"/>
      </w:pPr>
      <w:r>
        <w:rPr>
          <w:b/>
          <w:sz w:val="20"/>
        </w:rPr>
        <w:t>Table 9-11</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trPr>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Stability</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a y</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b y</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a z</w:t>
            </w:r>
          </w:p>
        </w:tc>
        <w:tc>
          <w:tcPr>
            <w:tcW w:type="dxa" w:w="201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b z</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.22</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.20</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.890</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B</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.12</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.890</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.11</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.890</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D</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.08</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.890</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E</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.03</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.890</w:t>
            </w:r>
          </w:p>
        </w:tc>
      </w:tr>
      <w:tr>
        <w:trPr>
          <w:cantSplit/>
        </w:trPr>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.04</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.016</w:t>
            </w:r>
          </w:p>
        </w:tc>
        <w:tc>
          <w:tcPr>
            <w:tcW w:type="dxa" w:w="201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.890</w:t>
            </w:r>
          </w:p>
        </w:tc>
      </w:tr>
    </w:tbl>
    <w:p>
      <w:pPr>
        <w:pStyle w:val="C9Normal"/>
        <w:pageBreakBefore w:val="0"/>
        <w:widowControl/>
      </w:pPr>
      <w:r>
        <w:rPr>
          <w:color w:val="000000"/>
        </w:rPr>
        <w:t>Defaults are wind u = 1 m/s, stability F and release height H = 0, with receptor distances 914 m EAB, 4800 m LPZ and 100 m CR intake. These are fixed FLARE screening assumptions. The formula is documented as implemented, including its 2π denominator; it should not be silently replaced by a different reflected-plume convention during a benchmark comparison.</w:t>
      </w:r>
    </w:p>
    <w:p>
      <w:pPr>
        <w:pStyle w:val="C9Normal"/>
        <w:pageBreakBefore w:val="0"/>
        <w:widowControl/>
      </w:pPr>
      <w:r>
        <w:rPr>
          <w:color w:val="000000"/>
        </w:rPr>
        <w:t>At very short distance, the Gaussian estimate is an extrapolation and should not be treated as an undiluted RCS concentration or a resolved near-field plume. That distinction is material for SOLO’s inherited 5 m receptor.</w:t>
      </w:r>
    </w:p>
    <w:p>
      <w:pPr>
        <w:pStyle w:val="C9Normal"/>
        <w:pageBreakBefore w:val="0"/>
        <w:widowControl/>
      </w:pPr>
      <w:r>
        <w:rPr>
          <w:color w:val="000000"/>
        </w:rPr>
        <w:t>At fixed ground-level distance, changing D stability/3 m/s wind to F/1 m/s increases the implemented χ/Q by 3×2×3.75=22.5. This exact algebraic ratio does not validate its near-field physical sensitivity. LPZ distance and dose duration are independent. A single LPZ χ/Q is not a period-dependent PAVAN schedule; match the reference basis rather than choosing an averaging value simply to obtain a target dose.</w:t>
      </w:r>
    </w:p>
    <w:p>
      <w:pPr>
        <w:pStyle w:val="C9Normal"/>
        <w:pageBreakBefore w:val="0"/>
        <w:widowControl/>
      </w:pPr>
      <w:r>
        <w:t>The receptor override inputs are nbt_chi_q_eab, nbt_chi_q_lpz and nbt_chi_q_cr. Distances are nbt_distance_eab_m, nbt_distance_lpz_m and nbt_distance_cr_intake_m. Meteorology is set by nbt_wind_speed_m_s, nbt_stability_class and nbt_release_height_m. A site-derived χ/Q must already represent its release mode, receptor and averaging-period assumptions. The built-in Gaussian estimate does not model terrain, building wakes or changing weather.</w:t>
      </w:r>
    </w:p>
    <w:p>
      <w:pPr>
        <w:pStyle w:val="Heading2"/>
        <w:pageBreakBefore w:val="0"/>
        <w:widowControl/>
      </w:pPr>
      <w:r>
        <w:t>9.10 Dose Calculation</w:t>
      </w:r>
    </w:p>
    <w:p>
      <w:pPr>
        <w:pStyle w:val="C9Normal"/>
        <w:pageBreakBefore w:val="0"/>
        <w:widowControl/>
        <w:spacing w:after="180"/>
        <w:jc w:val="center"/>
      </w:pPr>
      <m:oMath>
        <m:sSub>
          <m:e>
            <m:r>
              <m:t xml:space="preserve">D</m:t>
            </m:r>
          </m:e>
          <m:sub>
            <m:r>
              <m:t xml:space="preserve">EAB or LPZ</m:t>
            </m:r>
          </m:sub>
        </m:sSub>
        <m:r>
          <m:t xml:space="preserve"> = C </m:t>
        </m:r>
        <m:sSub>
          <m:e>
            <m:r>
              <m:t xml:space="preserve">Σ</m:t>
            </m:r>
          </m:e>
          <m:sub>
            <m:r>
              <m:t xml:space="preserve">g</m:t>
            </m:r>
          </m:sub>
        </m:sSub>
        <m:r>
          <m:t xml:space="preserve"> ∫ </m:t>
        </m:r>
        <m:sSub>
          <m:e>
            <m:r>
              <m:t xml:space="preserve">Q</m:t>
            </m:r>
          </m:e>
          <m:sub>
            <m:r>
              <m:t xml:space="preserve">env g</m:t>
            </m:r>
          </m:sub>
        </m:sSub>
        <m:r>
          <m:t xml:space="preserve"> (t) (χ/Q) [BR </m:t>
        </m:r>
        <m:sSub>
          <m:e>
            <m:r>
              <m:t xml:space="preserve">DCF</m:t>
            </m:r>
          </m:e>
          <m:sub>
            <m:r>
              <m:t xml:space="preserve">g inh</m:t>
            </m:r>
          </m:sub>
        </m:sSub>
        <m:r>
          <m:t xml:space="preserve"> + </m:t>
        </m:r>
        <m:sSub>
          <m:e>
            <m:r>
              <m:t xml:space="preserve">DCF</m:t>
            </m:r>
          </m:e>
          <m:sub>
            <m:r>
              <m:t xml:space="preserve">g cloud</m:t>
            </m:r>
          </m:sub>
        </m:sSub>
        <m:r>
          <m:t xml:space="preserve">] dt</m:t>
        </m:r>
      </m:oMath>
    </w:p>
    <w:p>
      <w:pPr>
        <w:pStyle w:val="C9Normal"/>
        <w:pageBreakBefore w:val="0"/>
        <w:widowControl/>
      </w:pPr>
      <w:r>
        <w:rPr>
          <w:color w:val="000000"/>
        </w:rPr>
        <w:t>C is nbt_calibrate, applied once to each dose and its components. BR is m³/s, default 3.47 × 10⁻⁴. With Q in Ci/s and χ/Q in s/m³, inhalation and cloud terms yield rem. The EAB and LPZ terms include cloud dose without a CR building shield. This update does not add finite-plume geometry or outdoor groundshine to those endpoints.</w:t>
      </w:r>
    </w:p>
    <w:p>
      <w:pPr>
        <w:pStyle w:val="Heading3"/>
        <w:pageBreakBefore w:val="0"/>
        <w:widowControl/>
      </w:pPr>
      <w:r>
        <w:rPr>
          <w:color w:val="000000"/>
        </w:rPr>
        <w:t>Interpretation of calibration and deposition</w:t>
      </w:r>
    </w:p>
    <w:p>
      <w:pPr>
        <w:pStyle w:val="C9Normal"/>
        <w:pageBreakBefore w:val="0"/>
        <w:widowControl/>
      </w:pPr>
      <w:r>
        <w:rPr>
          <w:color w:val="000000"/>
        </w:rPr>
        <w:t>A documented calibration may bracket omitted effects but is not a physical roughness model. One global multiplier scales inhalation and cloud pathways together, whereas ground roughness would act on a deposited-source pathway. Natural containment deposition reduces airborne activity; it does not itself calculate external dose from the material removed. No radiation from deposits or filters is added by the current NBT shine implementation.</w:t>
      </w:r>
    </w:p>
    <w:p>
      <w:pPr>
        <w:pStyle w:val="C9Normal"/>
        <w:pageBreakBefore w:val="0"/>
        <w:widowControl/>
      </w:pPr>
      <w:r>
        <w:rPr>
          <w:color w:val="000000"/>
        </w:rPr>
        <w:t>The inhalation/cloud equation reports the implemented effective-dose endpoint. An organ-specific calculation requires appropriate organ-specific data and a supported endpoint implementation; relabeling TEDE as thyroid dose is not sufficient.</w:t>
      </w:r>
    </w:p>
    <w:p>
      <w:pPr>
        <w:pStyle w:val="C9Normal"/>
        <w:pageBreakBefore w:val="0"/>
        <w:widowControl/>
      </w:pPr>
      <w:r>
        <w:rPr>
          <w:color w:val="000000"/>
        </w:rPr>
        <w:t>nbt_calibrate is a uniform proportional multiplier, default 1. It is applied once to all modeled group/receptor doses and the distance outputs, without rewriting inventories, fractions or nominal released Ci. A declared failed-fuel screening factor, benchmark calibration or other uniform adjustment is an intended use when its basis and any factors already applied by the source branch are recorded. It is not a mechanistic surface-roughness or pathway-specific shielding model.</w:t>
      </w:r>
    </w:p>
    <w:p>
      <w:pPr>
        <w:pStyle w:val="Heading3"/>
        <w:pageBreakBefore w:val="0"/>
        <w:widowControl/>
      </w:pPr>
      <w:r>
        <w:t>Activity-weighted dose conversion factors</w:t>
      </w:r>
    </w:p>
    <w:p>
      <w:pPr>
        <w:pStyle w:val="C9Normal"/>
        <w:pageBreakBefore w:val="0"/>
        <w:widowControl/>
        <w:spacing w:after="180"/>
        <w:jc w:val="center"/>
      </w:pPr>
      <m:oMath>
        <m:sSub>
          <m:e>
            <m:r>
              <m:t xml:space="preserve">DCF</m:t>
            </m:r>
          </m:e>
          <m:sub>
            <m:r>
              <m:t xml:space="preserve">g inh</m:t>
            </m:r>
          </m:sub>
        </m:sSub>
        <m:r>
          <m:t xml:space="preserve"> = </m:t>
        </m:r>
        <m:sSub>
          <m:e>
            <m:r>
              <m:t xml:space="preserve">Σ</m:t>
            </m:r>
          </m:e>
          <m:sub>
            <m:r>
              <m:t xml:space="preserve">i</m:t>
            </m:r>
          </m:sub>
        </m:sSub>
        <m:r>
          <m:t xml:space="preserve"> </m:t>
        </m:r>
        <m:sSub>
          <m:e>
            <m:r>
              <m:t xml:space="preserve">w</m:t>
            </m:r>
          </m:e>
          <m:sub>
            <m:r>
              <m:t xml:space="preserve">i</m:t>
            </m:r>
          </m:sub>
        </m:sSub>
        <m:sSub>
          <m:e>
            <m:r>
              <m:t xml:space="preserve">DCF</m:t>
            </m:r>
          </m:e>
          <m:sub>
            <m:r>
              <m:t xml:space="preserve">i inh</m:t>
            </m:r>
          </m:sub>
        </m:sSub>
        <m:r>
          <m:t xml:space="preserve">;    </m:t>
        </m:r>
        <m:sSub>
          <m:e>
            <m:r>
              <m:t xml:space="preserve">DCF</m:t>
            </m:r>
          </m:e>
          <m:sub>
            <m:r>
              <m:t xml:space="preserve">g cloud</m:t>
            </m:r>
          </m:sub>
        </m:sSub>
        <m:r>
          <m:t xml:space="preserve"> = </m:t>
        </m:r>
        <m:sSub>
          <m:e>
            <m:r>
              <m:t xml:space="preserve">Σ</m:t>
            </m:r>
          </m:e>
          <m:sub>
            <m:r>
              <m:t xml:space="preserve">i</m:t>
            </m:r>
          </m:sub>
        </m:sSub>
        <m:r>
          <m:t xml:space="preserve"> </m:t>
        </m:r>
        <m:sSub>
          <m:e>
            <m:r>
              <m:t xml:space="preserve">w</m:t>
            </m:r>
          </m:e>
          <m:sub>
            <m:r>
              <m:t xml:space="preserve">i</m:t>
            </m:r>
          </m:sub>
        </m:sSub>
        <m:sSub>
          <m:e>
            <m:r>
              <m:t xml:space="preserve">DCF</m:t>
            </m:r>
          </m:e>
          <m:sub>
            <m:r>
              <m:t xml:space="preserve">i cloud</m:t>
            </m:r>
          </m:sub>
        </m:sSub>
      </m:oMath>
    </w:p>
    <w:p>
      <w:pPr>
        <w:pStyle w:val="C9Normal"/>
        <w:pageBreakBefore w:val="0"/>
        <w:widowControl/>
      </w:pPr>
      <w:r>
        <w:rPr>
          <w:color w:val="000000"/>
        </w:rPr>
        <w:t>Inhalation coefficients are the FGR-11 Table 2.1 effective committed coefficients, taking the maximum represented inhalation-class entry for each isotope before weighting [2]. The nominal aerosol size is 1 µm AMAD. Cloud coefficients are the direct-radionuclide FGR-12 Table III.1 effective dose equivalent values, using its 1.2 kg/m³ air convention [3]. The two pathways are kept separate. Multiplying Sv/Bq by 3.7 × 10¹² converts inhalation to rem/Ci and the corresponding concentration-rate coefficient to rem m³/(Ci s).</w:t>
      </w:r>
    </w:p>
    <w:p>
      <w:pPr>
        <w:pStyle w:val="C9Normal"/>
        <w:pageBreakBefore w:val="0"/>
        <w:widowControl/>
      </w:pPr>
      <w:r>
        <w:rPr>
          <w:color w:val="000000"/>
        </w:rPr>
        <w:t>Noble-gas inhalation is set to zero as a screening convention; external noble-gas dose is retained. No general daughter ingrowth or environmental Cs-137/Ba-137m equilibrium correction is added to the direct cloud factors. These conventions should not be mistaken for a reconstruction of every undocumented choice behind the earliest FLARE factors.</w:t>
      </w:r>
    </w:p>
    <w:p>
      <w:pPr>
        <w:pStyle w:val="C9Normal"/>
        <w:pageBreakBefore w:val="0"/>
        <w:widowControl/>
      </w:pPr>
      <w:r>
        <w:t>Total receptor dose is the sum of the group contributions over the same receptor interval. The inhalation term contains the breathing rate; the cloud coefficient already has the concentration-time conversion units. These two coefficients must not be interchanged or multiplied by the breathing rate twice. Reweighting is performed from the selected shutdown inventory; accident-time isotope mixtures and DCFs are not subsequently evolved.</w:t>
      </w:r>
    </w:p>
    <w:p>
      <w:pPr>
        <w:pStyle w:val="Heading3"/>
        <w:pageBreakBefore w:val="0"/>
        <w:widowControl/>
      </w:pPr>
      <w:r>
        <w:t>Receptor intervals</w:t>
      </w:r>
    </w:p>
    <w:p>
      <w:pPr>
        <w:pStyle w:val="C9Normal"/>
        <w:pageBreakBefore w:val="0"/>
        <w:widowControl/>
      </w:pPr>
      <w:r>
        <w:rPr>
          <w:color w:val="000000"/>
        </w:rPr>
        <w:t>EAB is a fixed interval from time zero, normally 2 h. LPZ normally defaults to 720 h; CR normally defaults to 24 h. Case inputs can override each. The Dose sheet and GUI add EAB (worst 2 hr), its timing, and enabled CR component doses. Long TH arrays and plotting can dominate post-processing; the NBT photon response is cached by data contents, geometry and room volume and is not recomputed at each TH step.</w:t>
      </w:r>
    </w:p>
    <w:p>
      <w:pPr>
        <w:pStyle w:val="C9Normal"/>
        <w:keepNext/>
        <w:pageBreakBefore w:val="0"/>
      </w:pPr>
      <w:r>
        <w:rPr>
          <w:b/>
          <w:sz w:val="20"/>
        </w:rPr>
        <w:t>Table 9-12</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Time input in hours</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Default or interpretation</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nbt_gap_release_duration_hr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0.5; gap begins at shutdown for the prescribed LOCA source.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nbt_early_iv_duration_hr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1.3; follows the gap phase.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nbt_eab_integration_hr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 fixed EAB dose from time zero.</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nbt_lpz_integration_hr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720; fixed LPZ interval unless overridden.</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nbt_end_time_hr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24; control-room integration interval.</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nbt_eab_search_end_hr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At least 24 by default and at least two hours beyond source end.</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nbt_eab_search_step_hr</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0.01; derivative-search bracketing resolution, not a TH timestep.</w:t>
            </w:r>
          </w:p>
        </w:tc>
      </w:tr>
    </w:tbl>
    <w:p>
      <w:pPr>
        <w:pStyle w:val="C9Normal"/>
        <w:pageBreakBefore w:val="0"/>
        <w:widowControl/>
      </w:pPr>
      <w:r>
        <w:t>The EAB first-two-hour result integrates from shutdown time zero. It is distinct from the maximum movable two-hour result described in Section 9.13. LPZ and CR have their own intervals and transport integrals; they are not generally fixed multiples of the EAB result.</w:t>
      </w:r>
    </w:p>
    <w:p>
      <w:pPr>
        <w:pStyle w:val="Heading2"/>
        <w:pageBreakBefore w:val="0"/>
        <w:widowControl/>
      </w:pPr>
      <w:r>
        <w:t>9.11 Control-Room Dose Approximation</w:t>
      </w:r>
    </w:p>
    <w:p>
      <w:pPr>
        <w:pStyle w:val="C9Normal"/>
        <w:pageBreakBefore w:val="0"/>
        <w:widowControl/>
      </w:pPr>
      <w:r>
        <w:rPr>
          <w:color w:val="000000"/>
        </w:rPr>
        <w:t>The previous direct intake-DF dose approximation is replaced by an initially clean, well-mixed room. Filtered outdoor makeup and unfiltered ingress displace room air; filtered recirculation removes contamination without increasing outdoor-air exchange. Flows remain constant throughout the calculation. Ventilation isolation, occupancy changes and time-dependent flow schedules are not implemented.</w:t>
      </w:r>
    </w:p>
    <w:p>
      <w:pPr>
        <w:pStyle w:val="C9Normal"/>
        <w:pageBreakBefore w:val="0"/>
        <w:widowControl/>
        <w:spacing w:after="180"/>
        <w:jc w:val="center"/>
      </w:pPr>
      <m:oMath>
        <m:f>
          <m:num>
            <m:r>
              <m:t xml:space="preserve">d</m:t>
            </m:r>
            <m:sSub>
              <m:e>
                <m:r>
                  <m:t xml:space="preserve">C</m:t>
                </m:r>
              </m:e>
              <m:sub>
                <m:r>
                  <m:t xml:space="preserve">r g</m:t>
                </m:r>
              </m:sub>
            </m:sSub>
          </m:num>
          <m:den>
            <m:r>
              <m:t xml:space="preserve">dt</m:t>
            </m:r>
          </m:den>
        </m:f>
        <m:r>
          <m:t xml:space="preserve"> = (</m:t>
        </m:r>
        <m:f>
          <m:num>
            <m:sSub>
              <m:e>
                <m:r>
                  <m:t xml:space="preserve">q</m:t>
                </m:r>
              </m:e>
              <m:sub>
                <m:r>
                  <m:t xml:space="preserve">m</m:t>
                </m:r>
              </m:sub>
            </m:sSub>
          </m:num>
          <m:den>
            <m:sSub>
              <m:e>
                <m:r>
                  <m:t xml:space="preserve">DF</m:t>
                </m:r>
              </m:e>
              <m:sub>
                <m:r>
                  <m:t xml:space="preserve">g</m:t>
                </m:r>
              </m:sub>
            </m:sSub>
          </m:den>
        </m:f>
        <m:r>
          <m:t xml:space="preserve"> + </m:t>
        </m:r>
        <m:sSub>
          <m:e>
            <m:r>
              <m:t xml:space="preserve">q</m:t>
            </m:r>
          </m:e>
          <m:sub>
            <m:r>
              <m:t xml:space="preserve">u</m:t>
            </m:r>
          </m:sub>
        </m:sSub>
        <m:r>
          <m:t xml:space="preserve">)</m:t>
        </m:r>
        <m:sSub>
          <m:e>
            <m:r>
              <m:t xml:space="preserve">C</m:t>
            </m:r>
          </m:e>
          <m:sub>
            <m:r>
              <m:t xml:space="preserve">out g</m:t>
            </m:r>
          </m:sub>
        </m:sSub>
        <m:r>
          <m:t xml:space="preserve"> − </m:t>
        </m:r>
        <m:sSub>
          <m:e>
            <m:r>
              <m:t xml:space="preserve">K</m:t>
            </m:r>
          </m:e>
          <m:sub>
            <m:r>
              <m:t xml:space="preserve">r g</m:t>
            </m:r>
          </m:sub>
        </m:sSub>
        <m:sSub>
          <m:e>
            <m:r>
              <m:t xml:space="preserve">C</m:t>
            </m:r>
          </m:e>
          <m:sub>
            <m:r>
              <m:t xml:space="preserve">r g</m:t>
            </m:r>
          </m:sub>
        </m:sSub>
      </m:oMath>
    </w:p>
    <w:p>
      <w:pPr>
        <w:pStyle w:val="C9Normal"/>
        <w:pageBreakBefore w:val="0"/>
        <w:widowControl/>
        <w:spacing w:after="180"/>
        <w:jc w:val="center"/>
      </w:pPr>
      <m:oMath>
        <m:sSub>
          <m:e>
            <m:r>
              <m:t xml:space="preserve">K</m:t>
            </m:r>
          </m:e>
          <m:sub>
            <m:r>
              <m:t xml:space="preserve">r g</m:t>
            </m:r>
          </m:sub>
        </m:sSub>
        <m:r>
          <m:t xml:space="preserve"> = </m:t>
        </m:r>
        <m:sSub>
          <m:e>
            <m:r>
              <m:t xml:space="preserve">λ</m:t>
            </m:r>
          </m:e>
          <m:sub>
            <m:r>
              <m:t xml:space="preserve">g</m:t>
            </m:r>
          </m:sub>
        </m:sSub>
        <m:r>
          <m:t xml:space="preserve"> + </m:t>
        </m:r>
        <m:sSub>
          <m:e>
            <m:r>
              <m:t xml:space="preserve">q</m:t>
            </m:r>
          </m:e>
          <m:sub>
            <m:r>
              <m:t xml:space="preserve">m</m:t>
            </m:r>
          </m:sub>
        </m:sSub>
        <m:r>
          <m:t xml:space="preserve"> + </m:t>
        </m:r>
        <m:sSub>
          <m:e>
            <m:r>
              <m:t xml:space="preserve">q</m:t>
            </m:r>
          </m:e>
          <m:sub>
            <m:r>
              <m:t xml:space="preserve">u</m:t>
            </m:r>
          </m:sub>
        </m:sSub>
        <m:r>
          <m:t xml:space="preserve"> + </m:t>
        </m:r>
        <m:sSub>
          <m:e>
            <m:r>
              <m:t xml:space="preserve">q</m:t>
            </m:r>
          </m:e>
          <m:sub>
            <m:r>
              <m:t xml:space="preserve">r</m:t>
            </m:r>
          </m:sub>
        </m:sSub>
        <m:r>
          <m:t xml:space="preserve"> (1 − </m:t>
        </m:r>
        <m:f>
          <m:num>
            <m:r>
              <m:t xml:space="preserve">1</m:t>
            </m:r>
          </m:num>
          <m:den>
            <m:sSub>
              <m:e>
                <m:r>
                  <m:t xml:space="preserve">DF</m:t>
                </m:r>
              </m:e>
              <m:sub>
                <m:r>
                  <m:t xml:space="preserve">g</m:t>
                </m:r>
              </m:sub>
            </m:sSub>
          </m:den>
        </m:f>
        <m:r>
          <m:t xml:space="preserve">)</m:t>
        </m:r>
      </m:oMath>
    </w:p>
    <w:p>
      <w:pPr>
        <w:pStyle w:val="C9Normal"/>
        <w:pageBreakBefore w:val="0"/>
        <w:widowControl/>
        <w:spacing w:after="180"/>
        <w:jc w:val="center"/>
      </w:pPr>
      <m:oMath>
        <m:sSub>
          <m:e>
            <m:r>
              <m:t xml:space="preserve">q</m:t>
            </m:r>
          </m:e>
          <m:sub>
            <m:r>
              <m:t xml:space="preserve">m u r</m:t>
            </m:r>
          </m:sub>
        </m:sSub>
        <m:r>
          <m:t xml:space="preserve"> = </m:t>
        </m:r>
        <m:f>
          <m:num>
            <m:r>
              <m:t xml:space="preserve">flow cfm</m:t>
            </m:r>
          </m:num>
          <m:den>
            <m:r>
              <m:t xml:space="preserve">60 × volume ft³</m:t>
            </m:r>
          </m:den>
        </m:f>
        <m:r>
          <m:t xml:space="preserve">;    </m:t>
        </m:r>
        <m:sSub>
          <m:e>
            <m:r>
              <m:t xml:space="preserve">C</m:t>
            </m:r>
          </m:e>
          <m:sub>
            <m:r>
              <m:t xml:space="preserve">out g</m:t>
            </m:r>
          </m:sub>
        </m:sSub>
        <m:r>
          <m:t xml:space="preserve"> = (χ/Q)</m:t>
        </m:r>
        <m:sSub>
          <m:e>
            <m:r>
              <m:t xml:space="preserve">Q</m:t>
            </m:r>
          </m:e>
          <m:sub>
            <m:r>
              <m:t xml:space="preserve">env g</m:t>
            </m:r>
          </m:sub>
        </m:sSub>
      </m:oMath>
    </w:p>
    <w:p>
      <w:pPr>
        <w:pStyle w:val="C9Normal"/>
        <w:pageBreakBefore w:val="0"/>
        <w:widowControl/>
      </w:pPr>
      <w:r>
        <w:rPr>
          <w:color w:val="000000"/>
        </w:rPr>
        <w:t>Cr,g and Cout,g are Ci/m³, while q values are s⁻¹. nbt_cr_flow_cfm is filtered makeup, nbt_cr_unfiltered_inleak_cfm is unfiltered ingress, and nbt_cr_recirc_cfm is filtered recirculation. Volume must be positive and all flows finite and nonnegative. Decay in the room follows nbt_credit_decay; natural containment deposition is not treated as room deposition.</w:t>
      </w:r>
    </w:p>
    <w:p>
      <w:pPr>
        <w:pStyle w:val="C9Normal"/>
        <w:pageBreakBefore w:val="0"/>
        <w:widowControl/>
      </w:pPr>
      <w:r>
        <w:rPr>
          <w:color w:val="000000"/>
        </w:rPr>
        <w:t>With nbt_cr_filter_on True, the current DFs are 1 for NG, 92 for Halogens and 100 for other groups. Makeup penetration is 1/DF; recirculation efficiency is 1 − 1/DF. With filtering disabled, DF = 1 and recirculation provides no removal. Filtration is applied once at each physically distinct process.</w:t>
      </w:r>
    </w:p>
    <w:p>
      <w:pPr>
        <w:pStyle w:val="C9Normal"/>
        <w:pageBreakBefore w:val="0"/>
        <w:widowControl/>
        <w:spacing w:after="180"/>
        <w:jc w:val="center"/>
      </w:pPr>
      <m:oMath>
        <m:sSub>
          <m:e>
            <m:r>
              <m:t xml:space="preserve">D</m:t>
            </m:r>
          </m:e>
          <m:sub>
            <m:r>
              <m:t xml:space="preserve">CR inh</m:t>
            </m:r>
          </m:sub>
        </m:sSub>
        <m:r>
          <m:t xml:space="preserve"> = C BR </m:t>
        </m:r>
        <m:sSub>
          <m:e>
            <m:r>
              <m:t xml:space="preserve">Σ</m:t>
            </m:r>
          </m:e>
          <m:sub>
            <m:r>
              <m:t xml:space="preserve">g</m:t>
            </m:r>
          </m:sub>
        </m:sSub>
        <m:r>
          <m:t xml:space="preserve"> </m:t>
        </m:r>
        <m:sSub>
          <m:e>
            <m:r>
              <m:t xml:space="preserve">DCF</m:t>
            </m:r>
          </m:e>
          <m:sub>
            <m:r>
              <m:t xml:space="preserve">g inh</m:t>
            </m:r>
          </m:sub>
        </m:sSub>
        <m:r>
          <m:t xml:space="preserve"> ∫ </m:t>
        </m:r>
        <m:sSub>
          <m:e>
            <m:r>
              <m:t xml:space="preserve">C</m:t>
            </m:r>
          </m:e>
          <m:sub>
            <m:r>
              <m:t xml:space="preserve">r g</m:t>
            </m:r>
          </m:sub>
        </m:sSub>
        <m:r>
          <m:t xml:space="preserve"> (t) dt</m:t>
        </m:r>
      </m:oMath>
    </w:p>
    <w:p>
      <w:pPr>
        <w:pStyle w:val="Heading3"/>
        <w:pageBreakBefore w:val="0"/>
        <w:widowControl/>
      </w:pPr>
      <w:r>
        <w:rPr>
          <w:color w:val="000000"/>
        </w:rPr>
        <w:t>Shutdown based CR dispersion schedule</w:t>
      </w:r>
    </w:p>
    <w:p>
      <w:pPr>
        <w:pStyle w:val="C9Normal"/>
        <w:pageBreakBefore w:val="0"/>
        <w:widowControl/>
      </w:pPr>
      <w:r>
        <w:rPr>
          <w:color w:val="000000"/>
        </w:rPr>
        <w:t>nbt_chi_q_cr accepts a nonnegative scalar or an ordered sequence [start_hr, χ/Q]. The first time is zero, times strictly increase, each value holds to the next, and the final value persists. The solver splits at schedule changes and does not restart the clock for a new source phase.</w:t>
      </w:r>
    </w:p>
    <w:p>
      <w:pPr>
        <w:pStyle w:val="C9Normal"/>
        <w:keepNext/>
        <w:pageBreakBefore w:val="0"/>
      </w:pPr>
      <w:r>
        <w:rPr>
          <w:b/>
          <w:sz w:val="20"/>
        </w:rPr>
        <w:t>Table 9-13</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Interval beginning h</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ANO CR χ/Q s/m³</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0.00446</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0.00305</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8</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0.00136</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24</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0.00087</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96</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0.000736</w:t>
            </w:r>
          </w:p>
        </w:tc>
      </w:tr>
    </w:tbl>
    <w:p>
      <w:pPr>
        <w:pStyle w:val="C9Normal"/>
        <w:pageBreakBefore w:val="0"/>
        <w:widowControl/>
      </w:pPr>
      <w:r>
        <w:rPr>
          <w:color w:val="000000"/>
        </w:rPr>
        <w:t>This is the implemented ANO schedule from NRC evaluation ML092740035 [7]. Applying it does not reproduce the report’s full ventilation sequence. The current ANO example retains 600 cfm makeup, zero recirculation and unfiltered ingress, 80000 ft³, and continuous 24 h presence. A change in room volume changes exchange time and, when shine is enabled, the finite-cloud correction; its net dose effect must be evaluated for the selected flows and duration.</w:t>
      </w:r>
    </w:p>
    <w:p>
      <w:pPr>
        <w:pStyle w:val="C9Normal"/>
        <w:keepNext/>
        <w:pageBreakBefore w:val="0"/>
      </w:pPr>
      <w:r>
        <w:rPr>
          <w:b/>
          <w:sz w:val="20"/>
        </w:rPr>
        <w:t>Table 9-14</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Control room input</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Use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nbt_cr_flow_cfm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Filtered outdoor makeup flow in cfm, balanced by exhaust; default 100.</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nbt_cr_volume_ft3</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Well-mixed room volume; default 20000 ft³.</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nbt_cr_filter_on</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Applies the group filter DFs when True; default True.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nbt_cr_recirc_cfm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Filtered recirculation; default 0. Removes contamination without adding outdoor air.</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nbt_cr_unfiltered_inleak_cfm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Unfiltered outside-air ingress; default 0. Adds contamination and displaces room air.</w:t>
            </w:r>
          </w:p>
        </w:tc>
      </w:tr>
    </w:tbl>
    <w:p>
      <w:pPr>
        <w:pStyle w:val="C9Normal"/>
        <w:pageBreakBefore w:val="0"/>
        <w:widowControl/>
      </w:pPr>
      <w:r>
        <w:rPr>
          <w:color w:val="000000"/>
        </w:rPr>
        <w:t>This dynamic room balance supersedes the old direct outdoor-concentration/DF dose approximation and the older halogen DF=94 description. Current DF is 92. Flow, room volume and time-dependent concentration matter; the current model has constant flows and continuous presence, not a scheduled ventilation/occupancy sequence.</w:t>
      </w:r>
    </w:p>
    <w:p>
      <w:pPr>
        <w:pStyle w:val="Heading3"/>
        <w:pageBreakBefore w:val="0"/>
        <w:widowControl/>
      </w:pPr>
      <w:r>
        <w:t>Optional photon response and shielding</w:t>
      </w:r>
    </w:p>
    <w:p>
      <w:pPr>
        <w:pStyle w:val="C9Normal"/>
        <w:pageBreakBefore w:val="0"/>
        <w:widowControl/>
      </w:pPr>
      <w:r>
        <w:rPr>
          <w:color w:val="000000"/>
        </w:rPr>
        <w:t>All five geometry inputs must be supplied to enable shine: wall-to-receptor distance, CR concrete thickness, containment concrete thickness, inner containment radius, and cylindrical source height. They are nbt_cr_containment_distance_m, nbt_cr_shield_thickness_m, nbt_containment_shield_thickness_m, nbt_containment_radius_m and nbt_containment_height_m. Geometry must be finite and nonnegative, with positive radius and height and distance greater than the CR wall thickness.</w:t>
      </w:r>
    </w:p>
    <w:p>
      <w:pPr>
        <w:pStyle w:val="C9Normal"/>
        <w:pageBreakBefore w:val="0"/>
        <w:widowControl/>
      </w:pPr>
      <w:r>
        <w:rPr>
          <w:color w:val="000000"/>
        </w:rPr>
        <w:t>With no geometry supplied the model retains mixed-room inhalation only. Partial geometry, missing requested data, mismatched photon-energy grids or invalid material data fail explicitly. All functions are integrated in flare_sim.py. Runtime/nbt_shine.json supplies photon and material response data; no network request or companion shine module is needed during a run.</w:t>
      </w:r>
    </w:p>
    <w:p>
      <w:pPr>
        <w:pStyle w:val="Heading3"/>
        <w:pageBreakBefore w:val="0"/>
        <w:widowControl/>
      </w:pPr>
      <w:r>
        <w:rPr>
          <w:color w:val="000000"/>
        </w:rPr>
        <w:t>Photon source and response data</w:t>
      </w:r>
    </w:p>
    <w:p>
      <w:pPr>
        <w:pStyle w:val="C9Normal"/>
        <w:pageBreakBefore w:val="0"/>
        <w:widowControl/>
      </w:pPr>
      <w:r>
        <w:rPr>
          <w:color w:val="000000"/>
        </w:rPr>
        <w:t>Gamma-line energies and numerical intensities were compiled from IAEA LiveChart ENSDF data [8] and binned on 160 logarithmic energies from 0.015 to 10 MeV. Lines below 15 keV and lines lacking numerical intensity were excluded and counted in provenance. No general daughter ingrowth or bremsstrahlung is added. New inventory options reweight the isotope spectra at shutdown; the empirical option retains the reference group spectra.</w:t>
      </w:r>
    </w:p>
    <w:p>
      <w:pPr>
        <w:pStyle w:val="C9Normal"/>
        <w:pageBreakBefore w:val="0"/>
        <w:widowControl/>
      </w:pPr>
      <w:r>
        <w:rPr>
          <w:color w:val="000000"/>
        </w:rPr>
        <w:t>Ordinary concrete density is 2.3 g/cm³. Energy-dependent attenuation and ANSI/ANS 6.4.3 geometric-progression buildup data were transcribed from the ZapMeNot material library, which identifies ANSI/ANS 6.4.3-1991, PNNL-15870 and SCALE/QADS/DLC-129 sources [9]. Photon fluence-to-effective-dose response is ICRP-74 ROT geometry from the OpenMC tabulation [10]. It improves the earlier air-kerma proxy but is not the same historical dosimetry basis as the retained FGR-12 cloud coefficient.</w:t>
      </w:r>
    </w:p>
    <w:p>
      <w:pPr>
        <w:pStyle w:val="Heading3"/>
        <w:pageBreakBefore w:val="0"/>
        <w:widowControl/>
      </w:pPr>
      <w:r>
        <w:rPr>
          <w:color w:val="000000"/>
        </w:rPr>
        <w:t>Concrete transmission with buildup</w:t>
      </w:r>
    </w:p>
    <w:p>
      <w:pPr>
        <w:pStyle w:val="C9Normal"/>
        <w:pageBreakBefore w:val="0"/>
        <w:widowControl/>
        <w:spacing w:after="180"/>
        <w:jc w:val="center"/>
      </w:pPr>
      <m:oMath>
        <m:r>
          <m:t xml:space="preserve">K(x) = c </m:t>
        </m:r>
        <m:sSup>
          <m:e>
            <m:r>
              <m:t xml:space="preserve">x</m:t>
            </m:r>
          </m:e>
          <m:sup>
            <m:r>
              <m:t xml:space="preserve">a</m:t>
            </m:r>
          </m:sup>
        </m:sSup>
        <m:r>
          <m:t xml:space="preserve"> + d </m:t>
        </m:r>
        <m:f>
          <m:num>
            <m:r>
              <m:t xml:space="preserve">tanh(x/X − 2) − tanh(−2)</m:t>
            </m:r>
          </m:num>
          <m:den>
            <m:r>
              <m:t xml:space="preserve">1 − tanh(−2)</m:t>
            </m:r>
          </m:den>
        </m:f>
      </m:oMath>
    </w:p>
    <w:p>
      <w:pPr>
        <w:pStyle w:val="C9Normal"/>
        <w:pageBreakBefore w:val="0"/>
        <w:widowControl/>
        <w:spacing w:after="180"/>
        <w:jc w:val="center"/>
      </w:pPr>
      <m:oMath>
        <m:r>
          <m:t xml:space="preserve">B(x) = 1 + (b − 1)</m:t>
        </m:r>
        <m:f>
          <m:num>
            <m:sSup>
              <m:e>
                <m:r>
                  <m:t xml:space="preserve">K</m:t>
                </m:r>
              </m:e>
              <m:sup>
                <m:r>
                  <m:t xml:space="preserve">x</m:t>
                </m:r>
              </m:sup>
            </m:sSup>
            <m:r>
              <m:t xml:space="preserve"> − 1</m:t>
            </m:r>
          </m:num>
          <m:den>
            <m:r>
              <m:t xml:space="preserve">K − 1</m:t>
            </m:r>
          </m:den>
        </m:f>
        <m:r>
          <m:t xml:space="preserve">;    T(x) = min[1, B(x) exp(−x)]</m:t>
        </m:r>
      </m:oMath>
    </w:p>
    <w:p>
      <w:pPr>
        <w:pStyle w:val="C9Normal"/>
        <w:pageBreakBefore w:val="0"/>
        <w:widowControl/>
      </w:pPr>
      <w:r>
        <w:rPr>
          <w:color w:val="000000"/>
        </w:rPr>
        <w:t>x is optical thickness in mean free paths. For K = 1, the continuous limit is B = 1 + (b − 1)x; at zero thickness T = 1. GP parameters are interpolated linearly in log energy; positive attenuation and fluence coefficients use log–log interpolation. Above 40 mean free paths, buildup is held at its 40-mfp value while exponential attenuation uses actual depth. GP exposure buildup approximates effective-dose buildup; the deep-ray treatment is an explicit screening approximation.</w:t>
      </w:r>
    </w:p>
    <w:p>
      <w:pPr>
        <w:pStyle w:val="C9Normal"/>
        <w:keepNext/>
        <w:pageBreakBefore w:val="0"/>
      </w:pPr>
      <w:r>
        <w:rPr>
          <w:b/>
          <w:sz w:val="20"/>
        </w:rPr>
        <w:t>Table 9-15</w:t>
      </w:r>
    </w:p>
    <w:tbl>
      <w:tblPr>
        <w:tblW w:type="auto" w:w="0"/>
        <w:jc w:val="center"/>
        <w:tblLayout w:type="fixed"/>
        <w:tblLook w:firstColumn="1" w:firstRow="1" w:lastColumn="0" w:lastRow="0" w:noHBand="0" w:noVBand="1" w:val="04A0"/>
      </w:tblPr>
      <w:tblGrid>
        <w:gridCol w:w="3744"/>
        <w:gridCol w:w="6336"/>
      </w:tblGrid>
      <w:tr>
        <w:trPr>
          <w:cantSplit/>
          <w:tblHeader/>
        </w:trPr>
        <w:tc>
          <w:tcPr>
            <w:tcW w:type="dxa" w:w="374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Geometry input in metres</w:t>
            </w:r>
          </w:p>
        </w:tc>
        <w:tc>
          <w:tcPr>
            <w:tcW w:type="dxa" w:w="6336"/>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Definition and ANO example</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nbt_cr_containment_distance_m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Outside containment wall to CR receptor; example 20 m is assumed, not a verified ANO separation.</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nbt_cr_shield_thickness_m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CR front-wall concrete thickness; example 0.4572 m.</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nbt_containment_shield_thickness_m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Containment concrete thickness; example 1.143 m.</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nbt_containment_radius_m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Inner cylindrical shielding radius; example 17.6784 m.</w:t>
            </w:r>
          </w:p>
        </w:tc>
      </w:tr>
      <w:tr>
        <w:trPr>
          <w:cantSplit/>
        </w:trPr>
        <w:tc>
          <w:tcPr>
            <w:tcW w:type="dxa" w:w="374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nbt_containment_height_m</w:t>
            </w:r>
          </w:p>
        </w:tc>
        <w:tc>
          <w:tcPr>
            <w:tcW w:type="dxa" w:w="6336"/>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Cylindrical airborne source height; example 54.5592 m.</w:t>
            </w:r>
          </w:p>
        </w:tc>
      </w:tr>
    </w:tbl>
    <w:p>
      <w:pPr>
        <w:pStyle w:val="Heading3"/>
        <w:pageBreakBefore w:val="0"/>
        <w:widowControl/>
      </w:pPr>
      <w:r>
        <w:t>Control-room shine components</w:t>
      </w:r>
    </w:p>
    <w:p>
      <w:pPr>
        <w:pStyle w:val="Heading3"/>
        <w:pageBreakBefore w:val="0"/>
        <w:widowControl/>
      </w:pPr>
      <w:r>
        <w:rPr>
          <w:color w:val="000000"/>
        </w:rPr>
        <w:t>Airborne containment shine</w:t>
      </w:r>
    </w:p>
    <w:p>
      <w:pPr>
        <w:pStyle w:val="C9Normal"/>
        <w:pageBreakBefore w:val="0"/>
        <w:widowControl/>
      </w:pPr>
      <w:r>
        <w:rPr>
          <w:color w:val="000000"/>
        </w:rPr>
        <w:t>A uniform airborne cylindrical source is integrated over volume; the CR receptor lies at containment mid-height. The radius describes the inner shielding surface, and distance starts at the outside containment wall. Rays retain their inverse-square distance, air path, cylindrical-shell concrete crossing, and oblique CR front-wall path. The two concrete optical depths are summed for buildup rather than multiplying two independent buildup factors.</w:t>
      </w:r>
    </w:p>
    <w:p>
      <w:pPr>
        <w:pStyle w:val="C9Normal"/>
        <w:pageBreakBefore w:val="0"/>
        <w:widowControl/>
        <w:spacing w:after="180"/>
        <w:jc w:val="center"/>
      </w:pPr>
      <m:oMath>
        <m:sSub>
          <m:e>
            <m:r>
              <m:t xml:space="preserve">R</m:t>
            </m:r>
          </m:e>
          <m:sub>
            <m:r>
              <m:t xml:space="preserve">g</m:t>
            </m:r>
          </m:sub>
        </m:sSub>
        <m:r>
          <m:t xml:space="preserve"> = 3.7 × </m:t>
        </m:r>
        <m:sSup>
          <m:e>
            <m:r>
              <m:t xml:space="preserve">10</m:t>
            </m:r>
          </m:e>
          <m:sup>
            <m:r>
              <m:t xml:space="preserve">−4</m:t>
            </m:r>
          </m:sup>
        </m:sSup>
        <m:r>
          <m:t xml:space="preserve"> </m:t>
        </m:r>
        <m:sSub>
          <m:e>
            <m:r>
              <m:t xml:space="preserve">Σ</m:t>
            </m:r>
          </m:e>
          <m:sub>
            <m:r>
              <m:t xml:space="preserve">E</m:t>
            </m:r>
          </m:sub>
        </m:sSub>
        <m:r>
          <m:t xml:space="preserve"> </m:t>
        </m:r>
        <m:sSub>
          <m:e>
            <m:r>
              <m:t xml:space="preserve">y</m:t>
            </m:r>
          </m:e>
          <m:sub>
            <m:r>
              <m:t xml:space="preserve">g E</m:t>
            </m:r>
          </m:sub>
        </m:sSub>
        <m:sSub>
          <m:e>
            <m:r>
              <m:t xml:space="preserve">h</m:t>
            </m:r>
          </m:e>
          <m:sub>
            <m:r>
              <m:t xml:space="preserve">ROT E</m:t>
            </m:r>
          </m:sub>
        </m:sSub>
        <m:r>
          <m:t xml:space="preserve"> ⟨</m:t>
        </m:r>
        <m:f>
          <m:num>
            <m:sSub>
              <m:e>
                <m:r>
                  <m:t xml:space="preserve">T</m:t>
                </m:r>
              </m:e>
              <m:sub>
                <m:r>
                  <m:t xml:space="preserve">c</m:t>
                </m:r>
              </m:sub>
            </m:sSub>
            <m:r>
              <m:t xml:space="preserve"> exp(−</m:t>
            </m:r>
            <m:sSub>
              <m:e>
                <m:r>
                  <m:t xml:space="preserve">μ</m:t>
                </m:r>
              </m:e>
              <m:sub>
                <m:r>
                  <m:t xml:space="preserve">a</m:t>
                </m:r>
              </m:sub>
            </m:sSub>
            <m:sSub>
              <m:e>
                <m:r>
                  <m:t xml:space="preserve">L</m:t>
                </m:r>
              </m:e>
              <m:sub>
                <m:r>
                  <m:t xml:space="preserve">a</m:t>
                </m:r>
              </m:sub>
            </m:sSub>
            <m:r>
              <m:t xml:space="preserve">)</m:t>
            </m:r>
          </m:num>
          <m:den>
            <m:r>
              <m:t xml:space="preserve">4π </m:t>
            </m:r>
            <m:sSup>
              <m:e>
                <m:r>
                  <m:t xml:space="preserve">r</m:t>
                </m:r>
              </m:e>
              <m:sup>
                <m:r>
                  <m:t xml:space="preserve">2</m:t>
                </m:r>
              </m:sup>
            </m:sSup>
          </m:den>
        </m:f>
        <m:r>
          <m:t xml:space="preserve">⟩</m:t>
        </m:r>
        <m:sSub>
          <m:e>
            <m:r>
              <m:t xml:space="preserve"> </m:t>
            </m:r>
          </m:e>
          <m:sub>
            <m:r>
              <m:t xml:space="preserve">V</m:t>
            </m:r>
          </m:sub>
        </m:sSub>
      </m:oMath>
    </w:p>
    <w:p>
      <w:pPr>
        <w:pStyle w:val="C9Normal"/>
        <w:pageBreakBefore w:val="0"/>
        <w:widowControl/>
        <w:spacing w:after="180"/>
        <w:jc w:val="center"/>
      </w:pPr>
      <m:oMath>
        <m:sSub>
          <m:e>
            <m:r>
              <m:t xml:space="preserve">D</m:t>
            </m:r>
          </m:e>
          <m:sub>
            <m:r>
              <m:t xml:space="preserve">containment</m:t>
            </m:r>
          </m:sub>
        </m:sSub>
        <m:r>
          <m:t xml:space="preserve"> = C Σᵍ </m:t>
        </m:r>
        <m:sSub>
          <m:e>
            <m:r>
              <m:t xml:space="preserve">R</m:t>
            </m:r>
          </m:e>
          <m:sub>
            <m:r>
              <m:t xml:space="preserve">g</m:t>
            </m:r>
          </m:sub>
        </m:sSub>
        <m:r>
          <m:t xml:space="preserve"> ∫ </m:t>
        </m:r>
        <m:sSub>
          <m:e>
            <m:r>
              <m:t xml:space="preserve">A</m:t>
            </m:r>
          </m:e>
          <m:sub>
            <m:r>
              <m:t xml:space="preserve">c g</m:t>
            </m:r>
          </m:sub>
        </m:sSub>
        <m:r>
          <m:t xml:space="preserve"> (t) dt</m:t>
        </m:r>
      </m:oMath>
    </w:p>
    <w:p>
      <w:pPr>
        <w:pStyle w:val="C9Normal"/>
        <w:pageBreakBefore w:val="0"/>
        <w:widowControl/>
      </w:pPr>
      <w:r>
        <w:rPr>
          <w:color w:val="000000"/>
        </w:rPr>
        <w:t>R is rem/(Ci s); hROT is pSv cm² per photon. The factor 10⁻¹⁴ converts pSv cm² to rem m²; together with Ci-to-Bq conversion it gives 3.7 × 10⁻⁴. The brackets denote a normalized volume average. Default quadrature is 16 radial, 24 axial and 64 azimuthal nodes. This is a cylindrical airborne-source estimate, excluding dome geometry and radiation from material removed to surfaces, sump, filters or fuel.</w:t>
      </w:r>
    </w:p>
    <w:p>
      <w:pPr>
        <w:pStyle w:val="Heading3"/>
        <w:pageBreakBefore w:val="0"/>
        <w:widowControl/>
      </w:pPr>
      <w:r>
        <w:rPr>
          <w:color w:val="000000"/>
        </w:rPr>
        <w:t>Shielded outdoor plume shine</w:t>
      </w:r>
    </w:p>
    <w:p>
      <w:pPr>
        <w:pStyle w:val="C9Normal"/>
        <w:pageBreakBefore w:val="0"/>
        <w:widowControl/>
      </w:pPr>
      <w:r>
        <w:rPr>
          <w:color w:val="000000"/>
        </w:rPr>
        <w:t>Outdoor integrated concentration is multiplied by the existing group cloud DCF and a normal-incidence CR slab transmission averaged over photon response. Photon weights are proportional to photons per decay times hROT divided by the air mass energy-absorption coefficient. These weights approximate relative equilibrium-cloud photon contributions; they do not replace the unshielded FGR-12 group cloud coefficient.</w:t>
      </w:r>
    </w:p>
    <w:p>
      <w:pPr>
        <w:pStyle w:val="C9Normal"/>
        <w:pageBreakBefore w:val="0"/>
        <w:widowControl/>
        <w:spacing w:after="180"/>
        <w:jc w:val="center"/>
      </w:pPr>
      <m:oMath>
        <m:sSub>
          <m:e>
            <m:r>
              <m:t xml:space="preserve">D</m:t>
            </m:r>
          </m:e>
          <m:sub>
            <m:r>
              <m:t xml:space="preserve">plume</m:t>
            </m:r>
          </m:sub>
        </m:sSub>
        <m:r>
          <m:t xml:space="preserve"> = C Σᵍ </m:t>
        </m:r>
        <m:sSub>
          <m:e>
            <m:r>
              <m:t xml:space="preserve">DCF</m:t>
            </m:r>
          </m:e>
          <m:sub>
            <m:r>
              <m:t xml:space="preserve">g cloud</m:t>
            </m:r>
          </m:sub>
        </m:sSub>
        <m:sSub>
          <m:e>
            <m:r>
              <m:t xml:space="preserve">T</m:t>
            </m:r>
          </m:e>
          <m:sub>
            <m:r>
              <m:t xml:space="preserve">slab g</m:t>
            </m:r>
          </m:sub>
        </m:sSub>
        <m:r>
          <m:t xml:space="preserve"> ∫ </m:t>
        </m:r>
        <m:sSub>
          <m:e>
            <m:r>
              <m:t xml:space="preserve">C</m:t>
            </m:r>
          </m:e>
          <m:sub>
            <m:r>
              <m:t xml:space="preserve">out g</m:t>
            </m:r>
          </m:sub>
        </m:sSub>
        <m:r>
          <m:t xml:space="preserve"> (t) dt</m:t>
        </m:r>
      </m:oMath>
    </w:p>
    <w:p>
      <w:pPr>
        <w:pStyle w:val="C9Normal"/>
        <w:pageBreakBefore w:val="0"/>
        <w:widowControl/>
      </w:pPr>
      <w:r>
        <w:rPr>
          <w:color w:val="000000"/>
        </w:rPr>
        <w:t>Finite plume size, actual angular incidence, streaming, roof and wall differences and separate beta transmission are not resolved. The slab approximation can therefore differ from a plant-specific external-cloud calculation.</w:t>
      </w:r>
    </w:p>
    <w:p>
      <w:pPr>
        <w:pStyle w:val="Heading3"/>
        <w:pageBreakBefore w:val="0"/>
        <w:widowControl/>
      </w:pPr>
      <w:r>
        <w:rPr>
          <w:color w:val="000000"/>
        </w:rPr>
        <w:t>Finite indoor cloud shine</w:t>
      </w:r>
    </w:p>
    <w:p>
      <w:pPr>
        <w:pStyle w:val="C9Normal"/>
        <w:pageBreakBefore w:val="0"/>
        <w:widowControl/>
        <w:spacing w:after="180"/>
        <w:jc w:val="center"/>
      </w:pPr>
      <m:oMath>
        <m:sSub>
          <m:e>
            <m:r>
              <m:t xml:space="preserve">f</m:t>
            </m:r>
          </m:e>
          <m:sub>
            <m:r>
              <m:t xml:space="preserve">room</m:t>
            </m:r>
          </m:sub>
        </m:sSub>
        <m:r>
          <m:t xml:space="preserve"> = min[1, </m:t>
        </m:r>
        <m:f>
          <m:num>
            <m:sSup>
              <m:e>
                <m:sSub>
                  <m:e>
                    <m:r>
                      <m:t xml:space="preserve">V</m:t>
                    </m:r>
                  </m:e>
                  <m:sub>
                    <m:r>
                      <m:t xml:space="preserve">ft³</m:t>
                    </m:r>
                  </m:sub>
                </m:sSub>
              </m:e>
              <m:sup>
                <m:r>
                  <m:t xml:space="preserve">0.338</m:t>
                </m:r>
              </m:sup>
            </m:sSup>
          </m:num>
          <m:den>
            <m:r>
              <m:t xml:space="preserve">1173</m:t>
            </m:r>
          </m:den>
        </m:f>
        <m:r>
          <m:t xml:space="preserve">]</m:t>
        </m:r>
      </m:oMath>
    </w:p>
    <w:p>
      <w:pPr>
        <w:pStyle w:val="C9Normal"/>
        <w:pageBreakBefore w:val="0"/>
        <w:widowControl/>
        <w:spacing w:after="180"/>
        <w:jc w:val="center"/>
      </w:pPr>
      <m:oMath>
        <m:sSub>
          <m:e>
            <m:r>
              <m:t xml:space="preserve">D</m:t>
            </m:r>
          </m:e>
          <m:sub>
            <m:r>
              <m:t xml:space="preserve">room</m:t>
            </m:r>
          </m:sub>
        </m:sSub>
        <m:r>
          <m:t xml:space="preserve"> = C </m:t>
        </m:r>
        <m:sSub>
          <m:e>
            <m:r>
              <m:t xml:space="preserve">f</m:t>
            </m:r>
          </m:e>
          <m:sub>
            <m:r>
              <m:t xml:space="preserve">room</m:t>
            </m:r>
          </m:sub>
        </m:sSub>
        <m:r>
          <m:t xml:space="preserve"> </m:t>
        </m:r>
        <m:sSub>
          <m:e>
            <m:r>
              <m:t xml:space="preserve">Σ</m:t>
            </m:r>
          </m:e>
          <m:sub>
            <m:r>
              <m:t xml:space="preserve">g</m:t>
            </m:r>
          </m:sub>
        </m:sSub>
        <m:r>
          <m:t xml:space="preserve"> </m:t>
        </m:r>
        <m:sSub>
          <m:e>
            <m:r>
              <m:t xml:space="preserve">DCF</m:t>
            </m:r>
          </m:e>
          <m:sub>
            <m:r>
              <m:t xml:space="preserve">g cloud</m:t>
            </m:r>
          </m:sub>
        </m:sSub>
        <m:r>
          <m:t xml:space="preserve"> ∫ </m:t>
        </m:r>
        <m:sSub>
          <m:e>
            <m:r>
              <m:t xml:space="preserve">C</m:t>
            </m:r>
          </m:e>
          <m:sub>
            <m:r>
              <m:t xml:space="preserve">r g</m:t>
            </m:r>
          </m:sub>
        </m:sSub>
        <m:r>
          <m:t xml:space="preserve"> (t) dt</m:t>
        </m:r>
      </m:oMath>
    </w:p>
    <w:p>
      <w:pPr>
        <w:pStyle w:val="C9Normal"/>
        <w:pageBreakBefore w:val="0"/>
        <w:widowControl/>
      </w:pPr>
      <w:r>
        <w:rPr>
          <w:color w:val="000000"/>
        </w:rPr>
        <w:t>The finite-room factor follows RG 1.183 Rev 0 Section 4.2.7 [11]. At 80000 ft³ it is 0.03872099. No external-wall attenuation is applied to activity already indoors. Room concentration is affected by the ventilation balance. Total CR dose is the sum of inhalation, plume, airborne-containment and indoor-cloud components, each scaled once by nbt_calibrate.</w:t>
      </w:r>
    </w:p>
    <w:p>
      <w:pPr>
        <w:pStyle w:val="C9Normal"/>
        <w:pageBreakBefore w:val="0"/>
        <w:widowControl/>
      </w:pPr>
      <w:r>
        <w:t>Total CR dose is inhalation plus the enabled containment-shine, shielded outdoor-plume and finite indoor-cloud contributions. Without the required shine geometry, only mixed-room inhalation is retained. The current model assumes continuous presence and constant ventilation flows; there is no user occupancy or ventilation switching schedule in this implementation.</w:t>
      </w:r>
    </w:p>
    <w:p>
      <w:pPr>
        <w:pStyle w:val="Heading2"/>
        <w:pageBreakBefore w:val="0"/>
        <w:widowControl/>
      </w:pPr>
      <w:r>
        <w:t>9.12 Iodine Spike and Coolant-Activity Contributions</w:t>
      </w:r>
    </w:p>
    <w:p>
      <w:pPr>
        <w:pStyle w:val="C9Normal"/>
        <w:pageBreakBefore w:val="0"/>
        <w:widowControl/>
      </w:pPr>
      <w:r>
        <w:rPr>
          <w:color w:val="000000"/>
        </w:rPr>
        <w:t>Coolant iodine or an assumed iodine spike can contribute separately from high-temperature fuel damage. Conceptually the released activity is coolant concentration times relevant coolant mass times the released fraction, with units converted consistently and any selected spike multiplier applied. The iodine/spike source is not a fission-product core inventory.</w:t>
      </w:r>
    </w:p>
    <w:p>
      <w:pPr>
        <w:pStyle w:val="C9Normal"/>
        <w:pageBreakBefore w:val="0"/>
        <w:widowControl/>
        <w:jc w:val="center"/>
      </w:pPr>
      <m:oMath>
        <m:r>
          <m:t>Ispike = Ccoolant Mcoolant frelease × selected spike multiplier</m:t>
        </m:r>
      </m:oMath>
    </w:p>
    <w:p>
      <w:pPr>
        <w:pStyle w:val="C9Normal"/>
        <w:pageBreakBefore w:val="0"/>
        <w:widowControl/>
      </w:pPr>
      <w:r>
        <w:rPr>
          <w:color w:val="000000"/>
        </w:rPr>
        <w:t>Inspect the Iodine Spike worksheet’s source, trigger, concentration, inventory and timing. The main coupled source can already include the selected coolant contribution. A downstream definition Dtotal=Daccident+Dspike is valid only for distinct non-overlapping contributions with compatible endpoints. The update does not by itself change every Risk/Map extractor. Adding two separately maximized two-hour values does not find the maximum of their combined history.</w:t>
      </w:r>
    </w:p>
    <w:p>
      <w:pPr>
        <w:pStyle w:val="C9Normal"/>
        <w:pageBreakBefore w:val="0"/>
        <w:widowControl/>
      </w:pPr>
      <w:r>
        <w:t>This separation allows coolant activity to be considered for events with little or no high-temperature fuel damage. It does not establish that an iodine-spike diagnostic is independent of the main source. For Risk or other downstream use, add accident and spike doses only after confirming distinct sources, compatible receptors and the same exposure definition. A separately maximized spike dose cannot automatically be added to a separately maximized accident dose.</w:t>
      </w:r>
    </w:p>
    <w:p>
      <w:pPr>
        <w:pStyle w:val="Heading2"/>
        <w:pageBreakBefore w:val="0"/>
        <w:widowControl/>
      </w:pPr>
      <w:r>
        <w:t>9.13 Numerical Integration</w:t>
      </w:r>
    </w:p>
    <w:p>
      <w:pPr>
        <w:pStyle w:val="C9Normal"/>
        <w:pageBreakBefore w:val="0"/>
        <w:widowControl/>
      </w:pPr>
      <w:r>
        <w:rPr>
          <w:color w:val="000000"/>
        </w:rPr>
        <w:t>The containment balance is propagated analytically over piecewise-constant loss intervals. Breakpoints include source start and stop, spray start and stop, and the spray depletion transition. With constant loss k and an exponentially falling source S0 exp(−λt), the segment solution is:</w:t>
      </w:r>
    </w:p>
    <w:p>
      <w:pPr>
        <w:pStyle w:val="C9Normal"/>
        <w:pageBreakBefore w:val="0"/>
        <w:widowControl/>
        <w:spacing w:after="180"/>
        <w:jc w:val="center"/>
      </w:pPr>
      <m:oMath>
        <m:r>
          <m:t xml:space="preserve">A(t + Δ) = A(t) exp(−kΔ) + </m:t>
        </m:r>
        <m:f>
          <m:num>
            <m:r>
              <m:t xml:space="preserve">S(t) [exp(−λΔ) − exp(−kΔ)]</m:t>
            </m:r>
          </m:num>
          <m:den>
            <m:r>
              <m:t xml:space="preserve">k − λ</m:t>
            </m:r>
          </m:den>
        </m:f>
      </m:oMath>
    </w:p>
    <w:p>
      <w:pPr>
        <w:pStyle w:val="C9Normal"/>
        <w:pageBreakBefore w:val="0"/>
        <w:widowControl/>
      </w:pPr>
      <w:r>
        <w:rPr>
          <w:color w:val="000000"/>
        </w:rPr>
        <w:t>Stable limiting expressions cover equal rates, zero rates and small arguments. Integrating the same solution yields leaked activity. The fixed-dose calculation may subdivide intervals, but source and switch boundaries are honored and propagation within each segment is analytical. The CR system uses a small matrix exponential over its source, spray and χ/Q breakpoints, accumulating indoor concentration and, when requested, containment and outdoor concentration integrals.</w:t>
      </w:r>
    </w:p>
    <w:p>
      <w:pPr>
        <w:pStyle w:val="Heading3"/>
        <w:pageBreakBefore w:val="0"/>
        <w:widowControl/>
      </w:pPr>
      <w:r>
        <w:rPr>
          <w:color w:val="000000"/>
        </w:rPr>
        <w:t>One common EAB window</w:t>
      </w:r>
    </w:p>
    <w:p>
      <w:pPr>
        <w:pStyle w:val="C9Normal"/>
        <w:pageBreakBefore w:val="0"/>
        <w:widowControl/>
        <w:spacing w:after="180"/>
        <w:jc w:val="center"/>
      </w:pPr>
      <m:oMath>
        <m:sSub>
          <m:e>
            <m:r>
              <m:t xml:space="preserve">D</m:t>
            </m:r>
          </m:e>
          <m:sub>
            <m:r>
              <m:t xml:space="preserve">2 h</m:t>
            </m:r>
          </m:sub>
        </m:sSub>
        <m:r>
          <m:t xml:space="preserve"> (τ) = </m:t>
        </m:r>
        <m:nary>
          <m:naryPr>
            <m:chr m:val="∫"/>
            <m:limLoc m:val="subSup"/>
          </m:naryPr>
          <m:sub>
            <m:r>
              <m:t xml:space="preserve">τ</m:t>
            </m:r>
          </m:sub>
          <m:sup>
            <m:r>
              <m:t xml:space="preserve">τ + 7200 s</m:t>
            </m:r>
          </m:sup>
          <m:e>
            <m:sSub>
              <m:e>
                <m:r>
                  <m:t xml:space="preserve">D</m:t>
                </m:r>
              </m:e>
              <m:sub>
                <m:r>
                  <m:t xml:space="preserve">rate</m:t>
                </m:r>
              </m:sub>
            </m:sSub>
            <m:r>
              <m:t xml:space="preserve"> (t) dt</m:t>
            </m:r>
          </m:e>
        </m:nary>
      </m:oMath>
    </w:p>
    <w:p>
      <w:pPr>
        <w:pStyle w:val="C9Normal"/>
        <w:pageBreakBefore w:val="0"/>
        <w:widowControl/>
        <w:spacing w:after="180"/>
        <w:jc w:val="center"/>
      </w:pPr>
      <m:oMath>
        <m:f>
          <m:num>
            <m:r>
              <m:t xml:space="preserve">d</m:t>
            </m:r>
            <m:sSub>
              <m:e>
                <m:r>
                  <m:t xml:space="preserve">D</m:t>
                </m:r>
              </m:e>
              <m:sub>
                <m:r>
                  <m:t xml:space="preserve">2 h</m:t>
                </m:r>
              </m:sub>
            </m:sSub>
          </m:num>
          <m:den>
            <m:r>
              <m:t xml:space="preserve">dτ</m:t>
            </m:r>
          </m:den>
        </m:f>
        <m:r>
          <m:t xml:space="preserve"> = </m:t>
        </m:r>
        <m:sSub>
          <m:e>
            <m:r>
              <m:t xml:space="preserve">D</m:t>
            </m:r>
          </m:e>
          <m:sub>
            <m:r>
              <m:t xml:space="preserve">rate</m:t>
            </m:r>
          </m:sub>
        </m:sSub>
        <m:r>
          <m:t xml:space="preserve"> (τ + 7200 s) − </m:t>
        </m:r>
        <m:sSub>
          <m:e>
            <m:r>
              <m:t xml:space="preserve">D</m:t>
            </m:r>
          </m:e>
          <m:sub>
            <m:r>
              <m:t xml:space="preserve">rate</m:t>
            </m:r>
          </m:sub>
        </m:sSub>
        <m:r>
          <m:t xml:space="preserve"> (τ)</m:t>
        </m:r>
      </m:oMath>
    </w:p>
    <w:p>
      <w:pPr>
        <w:pStyle w:val="C9Normal"/>
        <w:pageBreakBefore w:val="0"/>
        <w:widowControl/>
      </w:pPr>
      <w:r>
        <w:rPr>
          <w:color w:val="000000"/>
        </w:rPr>
        <w:t>All groups and phases are summed before maximizing. The solver evaluates boundaries and candidate windows and brackets stationary points with nbt_eab_search_step_hr, default 0.01 h. A root solver refines timing; the step is not a TH timestep or the final timing precision. Separately maximized group contributions cannot be added to obtain this result.</w:t>
      </w:r>
    </w:p>
    <w:p>
      <w:pPr>
        <w:pStyle w:val="C9Normal"/>
        <w:pageBreakBefore w:val="0"/>
        <w:widowControl/>
      </w:pPr>
      <w:r>
        <w:rPr>
          <w:color w:val="000000"/>
        </w:rPr>
        <w:t>nbt_eab_search_end_hr defaults to max(24, source end + 2) h. It must be finite and at least 2 h; the step must be finite and positive. The output records start, end, search horizon and whether the search extends two hours beyond release. An explicit 2 h horizon searches only 0–2 h, as in the delivered Case 7 deck.</w:t>
      </w:r>
    </w:p>
    <w:p>
      <w:pPr>
        <w:pStyle w:val="C9Normal"/>
        <w:pageBreakBefore w:val="0"/>
        <w:widowControl/>
      </w:pPr>
      <w:r>
        <w:rPr>
          <w:color w:val="000000"/>
        </w:rPr>
        <w:t>For the present nonnegative source and constant environmental χ/Q, each group’s airborne inventory decreases after the final source, limiting where a later window can maximize. Time-varying environmental meteorology, delayed pathways or daughter ingrowth would require revisiting this basis. The CR χ/Q schedule is not an EAB moving-window meteorological schedule.</w:t>
      </w:r>
    </w:p>
    <w:p>
      <w:pPr>
        <w:pStyle w:val="Heading3"/>
        <w:pageBreakBefore w:val="0"/>
        <w:widowControl/>
      </w:pPr>
      <w:r>
        <w:rPr>
          <w:color w:val="000000"/>
        </w:rPr>
        <w:t>Output intervals and workload</w:t>
      </w:r>
    </w:p>
    <w:p>
      <w:pPr>
        <w:pStyle w:val="C9Normal"/>
        <w:pageBreakBefore w:val="0"/>
        <w:widowControl/>
      </w:pPr>
      <w:r>
        <w:rPr>
          <w:color w:val="000000"/>
        </w:rPr>
        <w:t>The earlier explicit-Euler equation is a conceptual discretization, not the current NBT execution method. Piecewise propagation and the common-window calculation replace the idea of simply using the TH grid. Do not sum independently maximized phase or group doses; the limiting interval belongs to their combined history.</w:t>
      </w:r>
    </w:p>
    <w:p>
      <w:pPr>
        <w:pStyle w:val="C9Normal"/>
        <w:pageBreakBefore w:val="0"/>
        <w:widowControl/>
      </w:pPr>
      <w:r>
        <w:t>The original explicit-Euler discretization is retained as a conceptual explanation of a balance equation, not as the current algorithm. For a constant source and total loss k, the exponential limit is A(t+Δ) = A(t) exp(−kΔ) + (S/k)[1−exp(−kΔ)]. The current implementation also handles the exponentially decaying source shown above and propagates the room response across its applicable breakpoints. This avoids making the NBT solution depend on an unnecessarily long thermal-hydraulic output grid.</w:t>
      </w:r>
    </w:p>
    <w:p>
      <w:pPr>
        <w:pStyle w:val="C9Normal"/>
        <w:keepNext/>
        <w:pageBreakBefore w:val="0"/>
      </w:pPr>
      <w:r>
        <w:rPr>
          <w:b/>
          <w:sz w:val="20"/>
        </w:rPr>
        <w:t>Table 9-16</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Analysis clock</w:t>
            </w:r>
          </w:p>
        </w:tc>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Purpose</w:t>
            </w:r>
          </w:p>
        </w:tc>
        <w:tc>
          <w:tcPr>
            <w:tcW w:type="dxa" w:w="3360"/>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Control</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Thermal hydraulics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Resolve the initiating event and relevant source triggers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endtime in seconds</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Operating irradiation</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Establish the isotope inventory before the accident</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Power, fuel mass, burnup and inventory option</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Fixed dose interval</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EAB, LPZ and control-room exposures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 interval inputs in hours</w:t>
            </w:r>
          </w:p>
        </w:tc>
      </w:tr>
      <w:tr>
        <w:trPr>
          <w:cantSplit/>
        </w:trPr>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Limiting two hours</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Find the maximum common EAB window</w:t>
            </w:r>
          </w:p>
        </w:tc>
        <w:tc>
          <w:tcPr>
            <w:tcW w:type="dxa" w:w="3360"/>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NBT search horizon and resolution</w:t>
            </w:r>
          </w:p>
        </w:tc>
      </w:tr>
    </w:tbl>
    <w:p>
      <w:pPr>
        <w:pStyle w:val="C9Normal"/>
        <w:pageBreakBefore w:val="0"/>
        <w:widowControl/>
      </w:pPr>
      <w:r>
        <w:rPr>
          <w:color w:val="000000"/>
        </w:rPr>
        <w:t>These clocks are independent in purpose. A 300 s TH transient can support a prescribed 1.8 h radiological source and later dose integration. Continue TH long enough to assess the event and end state; do not extend it to many hours solely to produce a longer dose interval.</w:t>
      </w:r>
    </w:p>
    <w:p>
      <w:pPr>
        <w:pStyle w:val="Heading2"/>
        <w:pageBreakBefore w:val="0"/>
        <w:widowControl/>
      </w:pPr>
      <w:r>
        <w:t>9.14 Output Quantities</w:t>
      </w:r>
    </w:p>
    <w:p>
      <w:pPr>
        <w:pStyle w:val="Heading3"/>
        <w:pageBreakBefore w:val="0"/>
        <w:widowControl/>
      </w:pPr>
      <w:r>
        <w:rPr>
          <w:color w:val="000000"/>
        </w:rPr>
        <w:t>Isotope Inventory worksheet</w:t>
      </w:r>
    </w:p>
    <w:p>
      <w:pPr>
        <w:pStyle w:val="C9Normal"/>
        <w:pageBreakBefore w:val="0"/>
        <w:widowControl/>
      </w:pPr>
      <w:r>
        <w:rPr>
          <w:color w:val="000000"/>
        </w:rPr>
        <w:t>The sheet records model, uranium mass, burnup interpretation, batch irradiation and data hash. Nuclide rows give group, actual activity after overrides, half-life, both DCFs and basis. Only new analytical selections generate this isotope calculation.</w:t>
      </w:r>
    </w:p>
    <w:p>
      <w:pPr>
        <w:pStyle w:val="Heading3"/>
        <w:pageBreakBefore w:val="0"/>
        <w:widowControl/>
      </w:pPr>
      <w:r>
        <w:rPr>
          <w:color w:val="000000"/>
        </w:rPr>
        <w:t>Activity reporting and downstream endpoints</w:t>
      </w:r>
    </w:p>
    <w:p>
      <w:pPr>
        <w:pStyle w:val="C9Normal"/>
        <w:pageBreakBefore w:val="0"/>
        <w:widowControl/>
      </w:pPr>
      <w:r>
        <w:rPr>
          <w:color w:val="000000"/>
        </w:rPr>
        <w:t>Source Term and Dose retain group inventories, nominal releases and receptor doses. Distinguish shutdown-equivalent activity, actual release and inhaled activity. nbt_calibrate alters dose, not source inventories.</w:t>
      </w:r>
    </w:p>
    <w:p>
      <w:pPr>
        <w:pStyle w:val="C9Normal"/>
        <w:pageBreakBefore w:val="0"/>
        <w:widowControl/>
      </w:pPr>
      <w:r>
        <w:rPr>
          <w:color w:val="000000"/>
        </w:rPr>
        <w:t>IodineSpike remains a separate coolant diagnostic whose source can overlap prescribed LOCA iodine. Its maximum is not established as additive to the main LOCA maximum. This update does not redesign downstream Risk or Dose Map endpoint selection; check their intervals and source bases separately.</w:t>
      </w:r>
    </w:p>
    <w:p>
      <w:pPr>
        <w:pStyle w:val="C9Normal"/>
        <w:pageBreakBefore w:val="0"/>
        <w:widowControl/>
      </w:pPr>
      <w:r>
        <w:rPr>
          <w:color w:val="000000"/>
        </w:rPr>
        <w:t>In Group contributions, click a group name to open the current run’s individual activities. The fast UI prepares all group tables when results load; opening and closing them is browser-side. Core activity, nominal released activity, group share, calculation basis and totals are selectable text. Nominal isotope release is allocated proportionally to core isotope activity within each group and is before nbt_calibrate and downstream removal/transport. Outputs without an Isotope Inventory sheet show an explanation rather than a newly reconstructed mixture. CSV export is retained for the fast group table; its native dataframe sorting/fullscreen toolbar is replaced.</w:t>
      </w:r>
    </w:p>
    <w:p>
      <w:pPr>
        <w:pStyle w:val="C9Normal"/>
        <w:pageBreakBefore w:val="0"/>
        <w:widowControl/>
      </w:pPr>
      <w:r>
        <w:rPr>
          <w:color w:val="000000"/>
        </w:rPr>
        <w:t>The distance table uses the built-in Gaussian χ/Q at standard distances and the selected rounded EAB/LPZ distances, scaling fixed-interval EAB and LPZ doses separately. A receptor override does not replace this Gaussian numerator; the distance-table value at the EAB distance can therefore differ from the main EAB row. The zero fit error is algebraic, not physical validation. Do not label every distance/map result as a limiting-two-hour calculation.</w:t>
      </w:r>
    </w:p>
    <w:p>
      <w:pPr>
        <w:pStyle w:val="C9Normal"/>
        <w:pageBreakBefore w:val="0"/>
        <w:widowControl/>
        <w:jc w:val="center"/>
      </w:pPr>
      <m:oMath>
        <m:r>
          <m:t>Dtable,r(d) = Dfixed,r (χ/Q)Gaussian(d) / (χ/Q)used,r</m:t>
        </m:r>
      </m:oMath>
    </w:p>
    <w:p>
      <w:pPr>
        <w:pStyle w:val="C9Normal"/>
        <w:pageBreakBefore w:val="0"/>
        <w:widowControl/>
      </w:pPr>
      <w:r>
        <w:t>The Dose Screening Table includes both the fixed EAB interval and EAB (worst 2 hr), with its selected window. Group contributions to a limiting result must belong to that one common window. The batch report extraction retains the worst-two-hour label in both narrative and summary output. Inspect the saved output workbook for source basis, units and isotope provenance when comparing separate installations.</w:t>
      </w:r>
    </w:p>
    <w:p>
      <w:pPr>
        <w:pStyle w:val="Heading3"/>
        <w:pageBreakBefore w:val="0"/>
        <w:widowControl/>
      </w:pPr>
      <w:r>
        <w:t>Integrated verification cases</w:t>
      </w:r>
    </w:p>
    <w:p>
      <w:pPr>
        <w:pStyle w:val="C9Normal"/>
        <w:pageBreakBefore w:val="0"/>
        <w:widowControl/>
      </w:pPr>
      <w:r>
        <w:rPr>
          <w:color w:val="000000"/>
        </w:rPr>
        <w:t>The delivered PWR and SMR decks select yield_buildup at B = 33 GWd/MTU. SOLO selects yield_uniform at B = 13. The numbers below come from integrated runs of those saved workbooks. They replace the earlier empirical-inventory results for these specific inputs; they are not new published benchmark values.</w:t>
      </w:r>
    </w:p>
    <w:p>
      <w:pPr>
        <w:pStyle w:val="C9Normal"/>
        <w:keepNext/>
        <w:pageBreakBefore w:val="0"/>
      </w:pPr>
      <w:r>
        <w:rPr>
          <w:b/>
          <w:sz w:val="20"/>
        </w:rPr>
        <w:t>Table 9-17</w:t>
      </w:r>
    </w:p>
    <w:tbl>
      <w:tblPr>
        <w:tblW w:type="auto" w:w="0"/>
        <w:jc w:val="center"/>
        <w:tblLayout w:type="fixed"/>
        <w:tblLook w:firstColumn="1" w:firstRow="1" w:lastColumn="0" w:lastRow="0" w:noHBand="0" w:noVBand="1" w:val="04A0"/>
      </w:tblPr>
      <w:tblGrid>
        <w:gridCol w:w="2304"/>
        <w:gridCol w:w="2592"/>
        <w:gridCol w:w="2592"/>
        <w:gridCol w:w="2592"/>
      </w:tblGrid>
      <w:tr>
        <w:trPr>
          <w:cantSplit/>
          <w:tblHeader/>
        </w:trPr>
        <w:tc>
          <w:tcPr>
            <w:tcW w:type="dxa" w:w="2304"/>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Case</w:t>
            </w:r>
          </w:p>
        </w:tc>
        <w:tc>
          <w:tcPr>
            <w:tcW w:type="dxa" w:w="2592"/>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Cs 137 Ci</w:t>
            </w:r>
          </w:p>
        </w:tc>
        <w:tc>
          <w:tcPr>
            <w:tcW w:type="dxa" w:w="2592"/>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EAB first 2 h rem</w:t>
            </w:r>
          </w:p>
        </w:tc>
        <w:tc>
          <w:tcPr>
            <w:tcW w:type="dxa" w:w="2592"/>
            <w:vAlign w:val="center"/>
            <w:tcBorders>
              <w:top w:val="single" w:sz="4" w:color="D9D9D9"/>
              <w:left w:val="single" w:sz="4" w:color="D9D9D9"/>
              <w:bottom w:val="single" w:sz="4" w:color="D9D9D9"/>
              <w:right w:val="single" w:sz="4" w:color="D9D9D9"/>
            </w:tcBorders>
            <w:shd w:fill="DCE6F1"/>
            <w:tcBorders>
              <w:top w:val="single" w:sz="4" w:color="D9D9D9"/>
              <w:left w:val="single" w:sz="4" w:color="D9D9D9"/>
              <w:bottom w:val="single" w:sz="4" w:color="D9D9D9"/>
              <w:right w:val="single" w:sz="4" w:color="D9D9D9"/>
            </w:tcBorders>
            <w:shd w:fill="DCE6F1"/>
          </w:tcPr>
          <w:p>
            <w:pPr>
              <w:pStyle w:val="C9Normal"/>
              <w:pageBreakBefore w:val="0"/>
              <w:spacing w:before="60" w:after="60"/>
            </w:pPr>
            <w:r>
              <w:rPr>
                <w:b/>
                <w:color w:val="000000"/>
                <w:sz w:val="19"/>
              </w:rPr>
              <w:t>EAB worst 2 h rem</w:t>
            </w:r>
          </w:p>
        </w:tc>
      </w:tr>
      <w:tr>
        <w:trPr>
          <w:cantSplit/>
        </w:trPr>
        <w:tc>
          <w:tcPr>
            <w:tcW w:type="dxa" w:w="230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ANO 1</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6.06736 × 10⁶</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7.68752</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10.99244</w:t>
            </w:r>
          </w:p>
        </w:tc>
      </w:tr>
      <w:tr>
        <w:trPr>
          <w:cantSplit/>
        </w:trPr>
        <w:tc>
          <w:tcPr>
            <w:tcW w:type="dxa" w:w="230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CR 6604 Case 7</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6.80637 × 10⁶</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28.00268</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28.00268</w:t>
            </w:r>
          </w:p>
        </w:tc>
      </w:tr>
      <w:tr>
        <w:trPr>
          <w:cantSplit/>
        </w:trPr>
        <w:tc>
          <w:tcPr>
            <w:tcW w:type="dxa" w:w="230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Generic SMR 575 MWt</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1.51505 × 10⁶</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4.91755</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10.45200</w:t>
            </w:r>
          </w:p>
        </w:tc>
      </w:tr>
      <w:tr>
        <w:trPr>
          <w:cantSplit/>
        </w:trPr>
        <w:tc>
          <w:tcPr>
            <w:tcW w:type="dxa" w:w="2304"/>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SOLO 5 MWt</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7.65923 × 10⁴</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69396.60204</w:t>
            </w:r>
          </w:p>
        </w:tc>
        <w:tc>
          <w:tcPr>
            <w:tcW w:type="dxa" w:w="2592"/>
            <w:vAlign w:val="center"/>
            <w:tcBorders>
              <w:top w:val="single" w:sz="4" w:color="D9D9D9"/>
              <w:left w:val="single" w:sz="4" w:color="D9D9D9"/>
              <w:bottom w:val="single" w:sz="4" w:color="D9D9D9"/>
              <w:right w:val="single" w:sz="4" w:color="D9D9D9"/>
            </w:tcBorders>
            <w:tcBorders>
              <w:top w:val="single" w:sz="4" w:color="D9D9D9"/>
              <w:left w:val="single" w:sz="4" w:color="D9D9D9"/>
              <w:bottom w:val="single" w:sz="4" w:color="D9D9D9"/>
              <w:right w:val="single" w:sz="4" w:color="D9D9D9"/>
            </w:tcBorders>
          </w:tcPr>
          <w:p>
            <w:pPr>
              <w:pStyle w:val="C9Normal"/>
              <w:pageBreakBefore w:val="0"/>
              <w:spacing w:before="60" w:after="60"/>
            </w:pPr>
            <w:r>
              <w:rPr>
                <w:b w:val="0"/>
                <w:color w:val="000000"/>
                <w:sz w:val="19"/>
              </w:rPr>
              <w:t>69396.60204</w:t>
            </w:r>
          </w:p>
        </w:tc>
      </w:tr>
    </w:tbl>
    <w:p>
      <w:pPr>
        <w:pStyle w:val="C9Normal"/>
        <w:pageBreakBefore w:val="0"/>
        <w:widowControl/>
      </w:pPr>
      <w:r>
        <w:rPr>
          <w:color w:val="000000"/>
        </w:rPr>
        <w:t>ANO uses b_and_w_177 at 2619.36 MWt, 0.002/day leakage, EAB χ/Q = 6.8 × 10⁻⁴ s/m³, sprays beginning at 300 s, an initial aerosol rate of 2.6 h⁻¹, radioactive-decay credit, and penetration filtration for half the leakage path. Its CR result is 4.69532 rem over 24 h, including shine with the assumed 20 m separation and constant 600 cfm makeup into 80000 ft³. This is not the full published ANO ventilation or occupancy sequence.</w:t>
      </w:r>
    </w:p>
    <w:p>
      <w:pPr>
        <w:pStyle w:val="C9Normal"/>
        <w:pageBreakBefore w:val="0"/>
        <w:widowControl/>
      </w:pPr>
      <w:r>
        <w:rPr>
          <w:color w:val="000000"/>
        </w:rPr>
        <w:t>Case 7 uses 1932 MWt and the inherited Westinghouse four-loop fuel-geometry proxy, 0.0012/day leakage, EAB χ/Q = 0.001 s/m³, and no decay or removal credit. Its search horizon is explicitly 2 h, so the reported window is 0–2 h. Verify its physical fuel loading before interpreting the new inventory against the report’s 25.3 rem comparator. The updated result is about 10.7% higher.</w:t>
      </w:r>
    </w:p>
    <w:p>
      <w:pPr>
        <w:pStyle w:val="C9Normal"/>
        <w:pageBreakBefore w:val="0"/>
        <w:widowControl/>
      </w:pPr>
      <w:r>
        <w:rPr>
          <w:color w:val="000000"/>
        </w:rPr>
        <w:t>The SMR deck uses generic_smr, 575 MWt, and 0.002/day leakage without spray or decay credit. The displayed leakage cell was corrected to agree with that executable value. Approximately 5 rem describes its first two hours; the limiting two-hour result is about 10.45 rem. Changing leakage to 0.001/day requires changing the executable assignment as well as the display cell.</w:t>
      </w:r>
    </w:p>
    <w:p>
      <w:pPr>
        <w:pStyle w:val="Heading3"/>
        <w:pageBreakBefore w:val="0"/>
        <w:widowControl/>
      </w:pPr>
      <w:r>
        <w:rPr>
          <w:color w:val="000000"/>
        </w:rPr>
        <w:t>SOLO inventory and release approximation</w:t>
      </w:r>
    </w:p>
    <w:p>
      <w:pPr>
        <w:pStyle w:val="C9Normal"/>
        <w:pageBreakBefore w:val="0"/>
        <w:widowControl/>
      </w:pPr>
      <w:r>
        <w:rPr>
          <w:color w:val="000000"/>
        </w:rPr>
        <w:t>The provisional NBT loading is 1216 rods, 7.90 mm pellet diameter, 3.858947 m rod-weighted active length, and UO2 density 10400 kg/m³. It gives 2.108594 MTU and about 15.01 effective full-power years at 5 MWt and 13 GWd/MTU. Cs-137 agrees within 0.2% with the independent approximately 76700 Ci production–decay estimate; pellet dimensions and density still require design confirmation.</w:t>
      </w:r>
    </w:p>
    <w:p>
      <w:pPr>
        <w:pStyle w:val="C9Normal"/>
        <w:pageBreakBefore w:val="0"/>
        <w:widowControl/>
      </w:pPr>
      <w:r>
        <w:rPr>
          <w:color w:val="000000"/>
        </w:rPr>
        <w:t>The delivered deck retains a water/PWR thermal-hydraulic surrogate, rapid numerical escape, prescribed PWR release fractions, and nbt_calibrate = 0.01. This is a dose-only availability approximation, not a uniform 1% core release: for cesium the combined source-fraction and dose scaling is 0.30 × 0.01 = 0.003. Source tables remain unscaled. Its 5 m EAB receptor is a near-field Gaussian extrapolation; its 100 m, two-hour second-receptor dose is 329.38107 rem. These do not represent undiluted RCS-concentration exposures.</w:t>
      </w:r>
    </w:p>
    <w:p>
      <w:pPr>
        <w:pStyle w:val="C9Normal"/>
        <w:pageBreakBefore w:val="0"/>
        <w:widowControl/>
      </w:pPr>
      <w:r>
        <w:rPr>
          <w:color w:val="000000"/>
        </w:rPr>
        <w:t>For the final shared-data SOLO interpretation, 1% of fuel participates and the shared PWR AST fractions apply to it. Thus Cs has a dose-equivalent source fraction 0.01×(0.05+0.25)=0.003; this does not mean uniform 1% environmental release of every group. This is an explicit screening assumption for the gas reactor. The one-second escape, no sprays/deposition/accident decay, F stability, 1 m/s wind and ground source reproduce 69396.602 rem at 5 m and 329.381 rem at 100 m over two hours. No SOLO-specific runtime data are used.</w:t>
      </w:r>
    </w:p>
    <w:p>
      <w:pPr>
        <w:pStyle w:val="C9Normal"/>
        <w:pageBreakBefore w:val="0"/>
        <w:widowControl/>
      </w:pPr>
      <w:r>
        <w:rPr>
          <w:color w:val="000000"/>
        </w:rPr>
        <w:t>For that case, the alkali core inventory is 86168.72 Ci and nominal AST released inventory 25850.62 Ci. Its isotope core activities are Rb-86 27.77, Cs-134 7286.27, Cs-136 2262.33 and Cs-137 76592.34 Ci. nbt_calibrate=0.01 scales dose afterward. Cs-137 alone contributes about 8149 rem at 5 m; its small cloud term is included. The three non-Cs-137 isotope inventories remain reference fallbacks.</w:t>
      </w:r>
    </w:p>
    <w:p>
      <w:pPr>
        <w:pStyle w:val="C9Normal"/>
        <w:pageBreakBefore w:val="0"/>
        <w:widowControl/>
      </w:pPr>
      <w:r>
        <w:rPr>
          <w:color w:val="000000"/>
        </w:rPr>
        <w:t>Fifteen years at 5 MWt is approximately 27.4 GWd total energy; dividing by about 2.1 MTU gives approximately 13 GWd/MTU. The earlier hand check instead used 85580 Ci Cs-137, fraction 0.002, constant concentration in 206.76 m³, BR=3.5×10⁻⁴ m³/s, DCF=8.63×10⁻⁹ Sv/Bq and 1200 s, giving about 11102 rem. It is an arithmetic/inhalation check, not an equivalent outdoor plume benchmark. Holding that fixed concentration for 7200 s would multiply that hand dose by six, not establish the same scaling for a passing plume.</w:t>
      </w:r>
    </w:p>
    <w:p>
      <w:pPr>
        <w:pStyle w:val="Heading2"/>
        <w:pageBreakBefore w:val="0"/>
        <w:widowControl/>
      </w:pPr>
      <w:r>
        <w:t>9.15 Principal Assumptions and Limitations</w:t>
      </w:r>
    </w:p>
    <w:p w14:paraId="784F858F" w14:textId="77777777" w:rsidR="00C51312" w:rsidRDefault="00C51312" w:rsidP="00C51312">
      <w:pPr>
        <w:pStyle w:val="C9Normal"/>
        <w:pageBreakBefore w:val="0"/>
        <w:widowControl/>
      </w:pPr>
      <w:r>
        <w:rPr>
          <w:color w:val="000000"/>
        </w:rPr>
        <w:t>NOTBADTRAD is based on the following principal assumptions.</w:t>
      </w:r>
    </w:p>
    <w:p w14:paraId="1DC3C107" w14:textId="77777777" w:rsidR="00C51312" w:rsidRDefault="00C51312" w:rsidP="00C51312">
      <w:pPr>
        <w:pStyle w:val="BodyText"/>
        <w:pageBreakBefore w:val="0"/>
        <w:widowControl/>
      </w:pPr>
      <w:r>
        <w:rPr>
          <w:color w:val="000000"/>
        </w:rPr>
        <w:t>First, accident transport uses group inventories and effective decay/removal parameters. Analytical methods improve the shutdown mixture by calculating represented isotope activities first, but detailed daughter ingrowth, accident-time isotope redistribution and evolving spectra remain outside the group treatment.</w:t>
      </w:r>
    </w:p>
    <w:p w14:paraId="79D0E99A" w14:textId="77777777" w:rsidR="00C51312" w:rsidRDefault="00C51312" w:rsidP="00C51312">
      <w:pPr>
        <w:pStyle w:val="BodyText"/>
        <w:pageBreakBefore w:val="0"/>
        <w:widowControl/>
      </w:pPr>
      <w:r>
        <w:rPr>
          <w:color w:val="000000"/>
        </w:rPr>
        <w:t>Second, source-term release fractions are represented using compact group tables. The DBA table is aligned with RG 1.183 / NUREG-1465 alternate source term practice; the severe-event table is an original FLARE screening construct. The severe-event table should be used for event comparison and consequence screening, not as a substitute for an NRC-approved severe-accident source term.</w:t>
      </w:r>
    </w:p>
    <w:p w14:paraId="5E9EC4C3" w14:textId="77777777" w:rsidR="00C51312" w:rsidRDefault="00C51312" w:rsidP="00C51312">
      <w:pPr>
        <w:pStyle w:val="BodyText"/>
        <w:pageBreakBefore w:val="0"/>
        <w:widowControl/>
      </w:pPr>
      <w:r>
        <w:rPr>
          <w:color w:val="000000"/>
        </w:rPr>
        <w:t>Third, NBT uses a well-mixed containment/source compartment and a separate mixed control room. It does not resolve a general multizone network, pathway holdup compartments or detailed engineered-system sequencing.</w:t>
      </w:r>
    </w:p>
    <w:p w14:paraId="0BEF4496" w14:textId="77777777" w:rsidR="00C51312" w:rsidRDefault="00C51312" w:rsidP="00C51312">
      <w:pPr>
        <w:pStyle w:val="BodyText"/>
        <w:pageBreakBefore w:val="0"/>
        <w:widowControl/>
      </w:pPr>
      <w:r>
        <w:rPr>
          <w:color w:val="000000"/>
        </w:rPr>
        <w:t>Fourth, removal mechanisms are represented by effective first-order constants. Aerosol deposition, spray removal, filtration, and plateout are not mechanistically resolved unless represented externally through selected effective parameters.</w:t>
      </w:r>
    </w:p>
    <w:p w14:paraId="7526D680" w14:textId="77777777" w:rsidR="00C51312" w:rsidRDefault="00C51312" w:rsidP="00C51312">
      <w:pPr>
        <w:pStyle w:val="BodyText"/>
        <w:pageBreakBefore w:val="0"/>
        <w:widowControl/>
      </w:pPr>
      <w:r>
        <w:rPr>
          <w:color w:val="000000"/>
        </w:rPr>
        <w:t>Fifth, atmospheric dispersion is represented by receptor-specific chi-over-Q values or by a simple Gaussian plume approximation. Site-specific meteorology, terrain effects, building-wake effects, and time-varying meteorological conditions are not modeled internally.</w:t>
      </w:r>
    </w:p>
    <w:p w14:paraId="6DFFEC8D" w14:textId="77777777" w:rsidR="00C51312" w:rsidRDefault="00C51312" w:rsidP="00C51312">
      <w:pPr>
        <w:pStyle w:val="BodyText"/>
        <w:pageBreakBefore w:val="0"/>
        <w:widowControl/>
      </w:pPr>
      <w:r>
        <w:rPr>
          <w:color w:val="000000"/>
        </w:rPr>
        <w:t>Sixth, dose conversion is performed at the group level. The resulting dose is appropriate for screening comparisons but should not be interpreted as a substitute for isotope-specific licensing dose calculations.</w:t>
      </w:r>
    </w:p>
    <w:p w14:paraId="0E22C766" w14:textId="77777777" w:rsidR="00C51312" w:rsidRDefault="00C51312" w:rsidP="00C51312">
      <w:pPr>
        <w:pStyle w:val="BodyText"/>
        <w:pageBreakBefore w:val="0"/>
        <w:widowControl/>
      </w:pPr>
      <w:r>
        <w:rPr>
          <w:color w:val="000000"/>
        </w:rPr>
        <w:t>Finally, NOTBADTRAD is one-way coupled to the FLARE thermal-hydraulic and fuel-response calculations. The radiological release does not feed back into thermal-hydraulic behavior, containment pressure, operator actions, or equipment performance.</w:t>
      </w:r>
    </w:p>
    <w:p w14:paraId="6748565D" w14:textId="77777777" w:rsidR="00C51312" w:rsidRDefault="00C51312" w:rsidP="00C51312">
      <w:pPr>
        <w:pStyle w:val="BodyText"/>
        <w:pageBreakBefore w:val="0"/>
        <w:widowControl/>
      </w:pPr>
      <w:r>
        <w:rPr>
          <w:color w:val="000000"/>
        </w:rPr>
        <w:t>These limitations are consistent with the purpose of the module. NOTBADTRAD provides a transparent consequence estimate that can be applied rapidly and consistently across many FLARE cases. For licensing applications, its results should be treated as screening information unless supported by a separate validation, benchmarking, and uncertainty basis appropriate to the regulatory decision being made.</w:t>
      </w:r>
    </w:p>
    <w:p>
      <w:pPr>
        <w:pStyle w:val="C9Normal"/>
        <w:pageBreakBefore w:val="0"/>
        <w:widowControl/>
      </w:pPr>
      <w:r>
        <w:rPr>
          <w:color w:val="000000"/>
        </w:rPr>
        <w:t>Interpret the original group-model limitations with the updated division of work: analytical shutdown inventory resolves 60 isotope records, with 13 reference-scaled fallbacks, before group transport. Detailed accident-time isotope decay chains and daughter ingrowth remain absent. The dynamic CR model improves on a direct-DF approximation but still has constant flows and continuous presence. Optional shine represents airborne containment/outdoor/room sources, not deposits, filters, fuel, streaming or skyshine. Near-field dispersion and non-PWR capture/actinide inventories remain provisional.</w:t>
      </w:r>
    </w:p>
    <w:p>
      <w:pPr>
        <w:pStyle w:val="C9Normal"/>
        <w:pageBreakBefore w:val="0"/>
        <w:widowControl/>
      </w:pPr>
      <w:r>
        <w:t>The updated model retains the original reduced-order purpose. The additional inventory, room-balance and photon calculations improve selected physical approximations while remaining distinct from a depletion code or a general radionuclide transport network. Agreement with a reference dose at one endpoint does not establish plant thermal-hydraulic validation or licensing adequacy.</w:t>
      </w:r>
    </w:p>
    <w:p>
      <w:pPr>
        <w:pStyle w:val="C9Normal"/>
        <w:pageBreakBefore w:val="0"/>
        <w:widowControl/>
      </w:pPr>
      <w:r>
        <w:t>For a benchmark comparison, match power, fuel mass, burnup interpretation, source category and timing, removal credit, leakage, receptor χ/Q, breathing rate, dose convention and integration interval. Report the chosen calibration and the fixed or limiting window explicitly.</w:t>
      </w:r>
    </w:p>
    <w:p>
      <w:pPr>
        <w:pStyle w:val="Heading3"/>
        <w:pageBreakBefore w:val="0"/>
        <w:widowControl/>
      </w:pPr>
      <w:r>
        <w:t>References</w:t>
      </w:r>
    </w:p>
    <w:p>
      <w:pPr>
        <w:pStyle w:val="C9Normal"/>
        <w:pageBreakBefore w:val="0"/>
        <w:widowControl/>
      </w:pPr>
      <w:r>
        <w:rPr>
          <w:color w:val="000000"/>
        </w:rPr>
        <w:t>[1] US NRC. NUREG/CR-4467, Relative Importance of Individual Elements to Reactor Accident Consequences Assuming Equal Release Fractions, 1986. Inventory basis on printed page 15 and Table A.1 on pages 16–17. https://www.osti.gov/servlets/purl/5854735</w:t>
      </w:r>
    </w:p>
    <w:p>
      <w:pPr>
        <w:pStyle w:val="C9Normal"/>
        <w:pageBreakBefore w:val="0"/>
        <w:widowControl/>
      </w:pPr>
      <w:r>
        <w:rPr>
          <w:color w:val="000000"/>
        </w:rPr>
        <w:t>[2] US EPA. Federal Guidance Report No. 11, Limiting Values of Radionuclide Intake and Air Concentration and Dose Conversion Factors for Inhalation, Submersion, and Ingestion. EPA-520/1-88-020, 1988. Table 2.1.</w:t>
      </w:r>
    </w:p>
    <w:p>
      <w:pPr>
        <w:pStyle w:val="C9Normal"/>
        <w:pageBreakBefore w:val="0"/>
        <w:widowControl/>
      </w:pPr>
      <w:r>
        <w:rPr>
          <w:color w:val="000000"/>
        </w:rPr>
        <w:t>[3] US EPA. Federal Guidance Report No. 12, External Exposure to Radionuclides in Air, Water, and Soil. EPA-402-R-93-081, 1993. Table III.1.</w:t>
      </w:r>
    </w:p>
    <w:p>
      <w:pPr>
        <w:pStyle w:val="C9Normal"/>
        <w:pageBreakBefore w:val="0"/>
        <w:widowControl/>
      </w:pPr>
      <w:r>
        <w:rPr>
          <w:color w:val="000000"/>
        </w:rPr>
        <w:t>[4] US NRC. NUREG-1465, Accident Source Terms for Light-Water Nuclear Power Plants, 1995. Section 5.1 and SRP 6.5.2 spray-removal discussion. https://www.nrc.gov/docs/ml0410/ml041040063.pdf</w:t>
      </w:r>
    </w:p>
    <w:p>
      <w:pPr>
        <w:pStyle w:val="C9Normal"/>
        <w:pageBreakBefore w:val="0"/>
        <w:widowControl/>
      </w:pPr>
      <w:r>
        <w:rPr>
          <w:color w:val="000000"/>
        </w:rPr>
        <w:t>[5] US NRC. NUREG/CR-6604, RADTRAD A Simplified Model for RADionuclide Transport and Removal And Dose Estimation, 1998. Case 7, printed pages 319–320.</w:t>
      </w:r>
    </w:p>
    <w:p>
      <w:pPr>
        <w:pStyle w:val="C9Normal"/>
        <w:pageBreakBefore w:val="0"/>
        <w:widowControl/>
      </w:pPr>
      <w:r>
        <w:rPr>
          <w:color w:val="000000"/>
        </w:rPr>
        <w:t>[6] Entergy. ANO-1 alternative source term amendment submittal, letter 1CAN100703, 2007. Supporting assumptions and submitted EAB dose comparator. NRC accession ML073030537. https://www.nrc.gov/docs/ML0730/ML073030537.pdf</w:t>
      </w:r>
    </w:p>
    <w:p>
      <w:pPr>
        <w:pStyle w:val="C9Normal"/>
        <w:pageBreakBefore w:val="0"/>
        <w:widowControl/>
      </w:pPr>
      <w:r>
        <w:rPr>
          <w:color w:val="000000"/>
        </w:rPr>
        <w:t>[7] US NRC. ANO-1 alternative source term evaluation, accession ML092740035. CR atmospheric dispersion schedule, ventilation discussion, shielding geometry and reported CR comparison. https://www.nrc.gov/docs/ML0927/ML092740035.pdf</w:t>
      </w:r>
    </w:p>
    <w:p>
      <w:pPr>
        <w:pStyle w:val="C9Normal"/>
        <w:pageBreakBefore w:val="0"/>
        <w:widowControl/>
      </w:pPr>
      <w:r>
        <w:rPr>
          <w:color w:val="000000"/>
        </w:rPr>
        <w:t>[8] IAEA Nuclear Data Services. LiveChart API, evaluated cumulative U-235 thermal fission yields and ENSDF gamma decay data. https://iaea-nds.github.io/lc_api_notebook/ ; yield query https://nds.iaea.org/relnsd/v1/data?fields=cumulative_fy&amp;parents=235u</w:t>
      </w:r>
    </w:p>
    <w:p>
      <w:pPr>
        <w:pStyle w:val="C9Normal"/>
        <w:pageBreakBefore w:val="0"/>
        <w:widowControl/>
      </w:pPr>
      <w:r>
        <w:rPr>
          <w:color w:val="000000"/>
        </w:rPr>
        <w:t>[9] ZapMeNot material-library transcription of attenuation and GP buildup data. Stated underlying sources include ANSI/ANS 6.4.3-1991, PNNL-15870 and SCALE/QADS/DLC-129. https://github.com/AlanFord/ZapMeNot/blob/master/src/zapmenot/materialLibrary.yml</w:t>
      </w:r>
    </w:p>
    <w:p>
      <w:pPr>
        <w:pStyle w:val="C9Normal"/>
        <w:pageBreakBefore w:val="0"/>
        <w:widowControl/>
      </w:pPr>
      <w:r>
        <w:rPr>
          <w:color w:val="000000"/>
        </w:rPr>
        <w:t>[10] OpenMC data documentation and ICRP-74 ROT fluence-to-effective-dose tabulation. ICRP-74 Tables A.1 and A.17. https://docs.openmc.org/en/stable/pythonapi/generated/openmc.data.dose_coefficients.html</w:t>
      </w:r>
    </w:p>
    <w:p>
      <w:pPr>
        <w:pStyle w:val="C9Normal"/>
        <w:pageBreakBefore w:val="0"/>
        <w:widowControl/>
      </w:pPr>
      <w:r>
        <w:rPr>
          <w:color w:val="000000"/>
        </w:rPr>
        <w:t>[11] US NRC. Regulatory Guide 1.183, Alternative Radiological Source Terms for Evaluating Design Basis Accidents at Nuclear Power Reactors, Revision 0, Section 4.2.7 finite-room cloud correction. https://www.nrc.gov/docs/ml0037/ml003716792.pdf</w:t>
      </w:r>
    </w:p>
    <w:p>
      <w:pPr>
        <w:pStyle w:val="C9Normal"/>
        <w:pageBreakBefore w:val="0"/>
        <w:widowControl/>
      </w:pPr>
      <w:r>
        <w:t>[12] FLARE implementation records. Delivered inventory-update source, shared runtime data, integrated benchmark verification records and the 24 October GUI/reporting updates. Code and data provenance are retained in the case output worksheets and accompanying delivery records.</w:t>
      </w:r>
    </w:p>
    <w:p w14:paraId="219006AD" w14:textId="77777777" w:rsidR="000F504F" w:rsidRDefault="00406E9C">
      <w:pPr>
        <w:pStyle w:val="Heading1"/>
        <w:keepNext/>
      </w:pPr>
      <w:bookmarkStart w:id="91" w:name="_Toc231232935"/>
      <w:r>
        <w:lastRenderedPageBreak/>
        <w:t>Chapter 10 — Risk Assessment Tool Theory</w:t>
      </w:r>
      <w:bookmarkEnd w:id="91"/>
    </w:p>
    <w:p w14:paraId="2D5CE9C0" w14:textId="77777777" w:rsidR="000F504F" w:rsidRDefault="00406E9C">
      <w:pPr>
        <w:pStyle w:val="Heading2"/>
        <w:keepNext/>
      </w:pPr>
      <w:bookmarkStart w:id="92" w:name="_Toc231232936"/>
      <w:r>
        <w:t>10.1 Purpose and Scope</w:t>
      </w:r>
      <w:bookmarkEnd w:id="92"/>
    </w:p>
    <w:p w14:paraId="6080287D" w14:textId="77777777" w:rsidR="000F504F" w:rsidRDefault="00406E9C">
      <w:pPr>
        <w:pStyle w:val="FirstParagraph"/>
      </w:pPr>
      <w:r>
        <w:t>The FLARE Risk Tool provides a frequency-consequence screening framework for organizing accident-analysis results in a risk-informed format. The tool is not a plant probabilistic risk assessment (PRA), and it does not calculate initiating-event frequencies from fault trees, event trees, common-cause models, or human-reliability models. Instead, it allows the analyst to assign representative event frequencies to FLARE cases, import the calculated consequences from the thermal-hydraulic and radiological modul</w:t>
      </w:r>
      <w:r>
        <w:t>es, and display the resulting event points on a frequency-consequence (F-C) chart.</w:t>
      </w:r>
    </w:p>
    <w:p w14:paraId="2F9E3707" w14:textId="77777777" w:rsidR="000F504F" w:rsidRDefault="00406E9C">
      <w:pPr>
        <w:pStyle w:val="BodyText"/>
      </w:pPr>
      <w:r>
        <w:t>The conceptual basis is the Farmer Curve and its modern descendants. A Farmer Curve expresses a risk acceptance or design-objective boundary in terms of accident frequency and accident consequence. In a simple form, events with larger consequences are expected to have lower frequencies. This is the same organizing principle used in frequency-consequence diagrams in risk-informed licensing frameworks. NEI 18-04 Rev. 1 applies this concept in the Licensing Modernization Project (LMP) methodology for selection</w:t>
      </w:r>
      <w:r>
        <w:t xml:space="preserve"> of licensing-basis events, classification of structures, systems, and components, and assessment of defense-in-depth adequacy for non-light-water reactors. FLARE adapts the same style of presentation as a screening and communication tool for light-water-reactor accident sequences.</w:t>
      </w:r>
    </w:p>
    <w:p w14:paraId="63B1C56F" w14:textId="77777777" w:rsidR="000F504F" w:rsidRDefault="00406E9C">
      <w:pPr>
        <w:pStyle w:val="Heading2"/>
        <w:keepNext/>
      </w:pPr>
      <w:bookmarkStart w:id="93" w:name="_Toc231232937"/>
      <w:r>
        <w:t>10.2 Farmer Curve Concept</w:t>
      </w:r>
      <w:bookmarkEnd w:id="93"/>
    </w:p>
    <w:p w14:paraId="35F00E83" w14:textId="77777777" w:rsidR="000F504F" w:rsidRDefault="00406E9C">
      <w:pPr>
        <w:pStyle w:val="FirstParagraph"/>
      </w:pPr>
      <w:r>
        <w:t xml:space="preserve">Let </w:t>
      </w:r>
      <m:oMath>
        <m:r>
          <w:rPr>
            <w:rFonts w:ascii="Cambria Math" w:hAnsi="Cambria Math"/>
          </w:rPr>
          <m:t>C</m:t>
        </m:r>
      </m:oMath>
      <w:r>
        <w:t xml:space="preserve"> denote an accident consequence measure and </w:t>
      </w:r>
      <m:oMath>
        <m:r>
          <w:rPr>
            <w:rFonts w:ascii="Cambria Math" w:hAnsi="Cambria Math"/>
          </w:rPr>
          <m:t>F</m:t>
        </m:r>
      </m:oMath>
      <w:r>
        <w:t xml:space="preserve"> denote the mean frequency of the event or event sequence. A generic Farmer-type criterion can be written as</w:t>
      </w:r>
    </w:p>
    <w:p w14:paraId="5569939A" w14:textId="77777777" w:rsidR="000F504F" w:rsidRDefault="00406E9C">
      <w:pPr>
        <w:pStyle w:val="BodyText"/>
      </w:pPr>
      <m:oMathPara>
        <m:oMathParaPr>
          <m:jc m:val="center"/>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m:t>
              </m:r>
            </m:e>
          </m:d>
        </m:oMath>
      </m:oMathPara>
    </w:p>
    <w:p w14:paraId="4E5056E2" w14:textId="77777777" w:rsidR="000F504F" w:rsidRDefault="00406E9C">
      <w:pPr>
        <w:pStyle w:val="FirstParagraph"/>
      </w:pPr>
      <w:r>
        <w:t xml:space="preserve">The limiting curve </w:t>
      </w:r>
      <m:oMath>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r>
              <w:rPr>
                <w:rFonts w:ascii="Cambria Math" w:hAnsi="Cambria Math"/>
              </w:rPr>
              <m:t>C</m:t>
            </m:r>
          </m:e>
        </m:d>
      </m:oMath>
      <w:r>
        <w:t xml:space="preserve"> is a decreasing function of consequence. In its simplest power-law representation,</w:t>
      </w:r>
    </w:p>
    <w:p w14:paraId="7B21F111"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K</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p</m:t>
              </m:r>
            </m:sup>
          </m:sSup>
          <m:r>
            <m:rPr>
              <m:sty m:val="p"/>
            </m:rPr>
            <w:rPr>
              <w:rFonts w:ascii="Cambria Math" w:hAnsi="Cambria Math"/>
            </w:rPr>
            <m:t>,</m:t>
          </m:r>
          <m:r>
            <w:rPr>
              <w:rFonts w:ascii="Cambria Math" w:hAnsi="Cambria Math"/>
            </w:rPr>
            <m:t>  </m:t>
          </m:r>
          <m:r>
            <w:rPr>
              <w:rFonts w:ascii="Cambria Math" w:hAnsi="Cambria Math"/>
            </w:rPr>
            <m:t>p</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10.2</m:t>
              </m:r>
            </m:e>
          </m:d>
        </m:oMath>
      </m:oMathPara>
    </w:p>
    <w:p w14:paraId="602A18A1" w14:textId="77777777" w:rsidR="000F504F" w:rsidRDefault="00406E9C">
      <w:pPr>
        <w:pStyle w:val="FirstParagraph"/>
      </w:pPr>
      <w:r>
        <w:t xml:space="preserve">where </w:t>
      </w:r>
      <m:oMath>
        <m:r>
          <w:rPr>
            <w:rFonts w:ascii="Cambria Math" w:hAnsi="Cambria Math"/>
          </w:rPr>
          <m:t>K</m:t>
        </m:r>
      </m:oMath>
      <w:r>
        <w:t xml:space="preserve"> is a normalization constant and </w:t>
      </w:r>
      <m:oMath>
        <m:r>
          <w:rPr>
            <w:rFonts w:ascii="Cambria Math" w:hAnsi="Cambria Math"/>
          </w:rPr>
          <m:t>p</m:t>
        </m:r>
      </m:oMath>
      <w:r>
        <w:t xml:space="preserve"> is the slope parameter. Taking common logarithms gives a straight-line representation on a log-log plot:</w:t>
      </w:r>
    </w:p>
    <w:p w14:paraId="49FFB147" w14:textId="77777777" w:rsidR="000F504F" w:rsidRDefault="00406E9C">
      <w:pPr>
        <w:pStyle w:val="BodyText"/>
      </w:pPr>
      <m:oMathPara>
        <m:oMathParaPr>
          <m:jc m:val="center"/>
        </m:oMathParaP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F</m:t>
              </m:r>
            </m:e>
            <m:sub>
              <m:r>
                <w:rPr>
                  <w:rFonts w:ascii="Cambria Math" w:hAnsi="Cambria Math"/>
                </w:rPr>
                <m:t>lim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K</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C</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10.3</m:t>
              </m:r>
            </m:e>
          </m:d>
        </m:oMath>
      </m:oMathPara>
    </w:p>
    <w:p w14:paraId="7140D3FF" w14:textId="77777777" w:rsidR="000F504F" w:rsidRDefault="00406E9C">
      <w:pPr>
        <w:pStyle w:val="FirstParagraph"/>
      </w:pPr>
      <w:r>
        <w:t xml:space="preserve">This form captures the central intuition of the Farmer Curve: higher-consequence events require lower allowable frequencies. If </w:t>
      </w:r>
      <m:oMath>
        <m:r>
          <w:rPr>
            <w:rFonts w:ascii="Cambria Math" w:hAnsi="Cambria Math"/>
          </w:rPr>
          <m:t>p</m:t>
        </m:r>
        <m:r>
          <m:rPr>
            <m:sty m:val="p"/>
          </m:rPr>
          <w:rPr>
            <w:rFonts w:ascii="Cambria Math" w:hAnsi="Cambria Math"/>
          </w:rPr>
          <m:t>=</m:t>
        </m:r>
        <m:r>
          <w:rPr>
            <w:rFonts w:ascii="Cambria Math" w:hAnsi="Cambria Math"/>
          </w:rPr>
          <m:t>1</m:t>
        </m:r>
      </m:oMath>
      <w:r>
        <w:t>, the curve corresponds to approximately constant frequency-consequence product,</w:t>
      </w:r>
    </w:p>
    <w:p w14:paraId="5F11CA5B" w14:textId="77777777" w:rsidR="000F504F" w:rsidRDefault="00406E9C">
      <w:pPr>
        <w:pStyle w:val="BodyText"/>
      </w:pPr>
      <m:oMathPara>
        <m:oMathParaPr>
          <m:jc m:val="center"/>
        </m:oMathParaPr>
        <m:oMath>
          <m:r>
            <w:rPr>
              <w:rFonts w:ascii="Cambria Math" w:hAnsi="Cambria Math"/>
            </w:rPr>
            <m:t>FC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10.4</m:t>
              </m:r>
            </m:e>
          </m:d>
        </m:oMath>
      </m:oMathPara>
    </w:p>
    <w:p w14:paraId="488CF47A" w14:textId="77777777" w:rsidR="000F504F" w:rsidRDefault="00406E9C">
      <w:pPr>
        <w:pStyle w:val="FirstParagraph"/>
      </w:pPr>
      <w:r>
        <w:t>More generally, the integrated risk associated with a discrete set of event sequences can be approximated by</w:t>
      </w:r>
    </w:p>
    <w:p w14:paraId="628BC9FB" w14:textId="77777777" w:rsidR="000F504F" w:rsidRDefault="00406E9C">
      <w:pPr>
        <w:pStyle w:val="BodyText"/>
      </w:pPr>
      <m:oMathPara>
        <m:oMathParaPr>
          <m:jc m:val="center"/>
        </m:oMathParaPr>
        <m:oMath>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m:t>
                  </m:r>
                </m:sub>
              </m:sSub>
            </m:e>
          </m:nary>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10.5</m:t>
              </m:r>
            </m:e>
          </m:d>
        </m:oMath>
      </m:oMathPara>
    </w:p>
    <w:p w14:paraId="27D07DF9" w14:textId="77777777" w:rsidR="000F504F" w:rsidRDefault="00406E9C">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the mean frequency of event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consequence measure for that event. FLARE’s F-C chart is primarily an event-by-event screening display, not a full integrated-risk calculation. Equation (10.5), however, provides the interpretive basis for understanding why frequency and consequence should be considered together.</w:t>
      </w:r>
    </w:p>
    <w:p w14:paraId="047D807E" w14:textId="77777777" w:rsidR="000F504F" w:rsidRDefault="00406E9C">
      <w:pPr>
        <w:pStyle w:val="Heading2"/>
        <w:keepNext/>
      </w:pPr>
      <w:bookmarkStart w:id="94" w:name="_Toc231232938"/>
      <w:r>
        <w:t>10.3 Consequence Metric Used in FLARE</w:t>
      </w:r>
      <w:bookmarkEnd w:id="94"/>
    </w:p>
    <w:p w14:paraId="5DB71CBE" w14:textId="77777777" w:rsidR="000F504F" w:rsidRDefault="00406E9C">
      <w:pPr>
        <w:pStyle w:val="FirstParagraph"/>
      </w:pPr>
      <w:r>
        <w:t xml:space="preserve">The consequence axis in the FLARE Risk Tool is based on radiological dose. For each simulated case, the source-term and dose module calculates accident dose at selected receptor locations. For the </w:t>
      </w:r>
      <w:r>
        <w:lastRenderedPageBreak/>
        <w:t>frequency-consequence chart, FLARE uses the exclusion area boundary (EAB) total dose unless otherwise specified by the user:</w:t>
      </w:r>
    </w:p>
    <w:p w14:paraId="54D67CFD"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EAB</m:t>
              </m:r>
              <m:r>
                <m:rPr>
                  <m:sty m:val="p"/>
                </m:rPr>
                <w:rPr>
                  <w:rFonts w:ascii="Cambria Math" w:hAnsi="Cambria Math"/>
                </w:rPr>
                <m:t>,</m:t>
              </m:r>
              <m:r>
                <w:rPr>
                  <w:rFonts w:ascii="Cambria Math" w:hAnsi="Cambria Math"/>
                </w:rPr>
                <m:t>i</m:t>
              </m:r>
            </m:sub>
            <m:sup>
              <m:r>
                <w:rPr>
                  <w:rFonts w:ascii="Cambria Math" w:hAnsi="Cambria Math"/>
                </w:rPr>
                <m:t>tot</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10.6</m:t>
              </m:r>
            </m:e>
          </m:d>
        </m:oMath>
      </m:oMathPara>
    </w:p>
    <w:p w14:paraId="4385D931" w14:textId="77777777" w:rsidR="000F504F" w:rsidRDefault="00406E9C">
      <w:pPr>
        <w:pStyle w:val="FirstParagraph"/>
      </w:pPr>
      <w:r>
        <w:t>The total plotted EAB dose is calculated as</w:t>
      </w:r>
    </w:p>
    <w:p w14:paraId="00E9FA22"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EAB</m:t>
              </m:r>
              <m:r>
                <m:rPr>
                  <m:sty m:val="p"/>
                </m:rPr>
                <w:rPr>
                  <w:rFonts w:ascii="Cambria Math" w:hAnsi="Cambria Math"/>
                </w:rPr>
                <m:t>,</m:t>
              </m:r>
              <m:r>
                <w:rPr>
                  <w:rFonts w:ascii="Cambria Math" w:hAnsi="Cambria Math"/>
                </w:rPr>
                <m:t>i</m:t>
              </m:r>
            </m:sub>
            <m:sup>
              <m:r>
                <w:rPr>
                  <w:rFonts w:ascii="Cambria Math" w:hAnsi="Cambria Math"/>
                </w:rPr>
                <m:t>tot</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EAB</m:t>
              </m:r>
              <m:r>
                <m:rPr>
                  <m:sty m:val="p"/>
                </m:rPr>
                <w:rPr>
                  <w:rFonts w:ascii="Cambria Math" w:hAnsi="Cambria Math"/>
                </w:rPr>
                <m:t>,</m:t>
              </m:r>
              <m:r>
                <w:rPr>
                  <w:rFonts w:ascii="Cambria Math" w:hAnsi="Cambria Math"/>
                </w:rPr>
                <m:t>i</m:t>
              </m:r>
            </m:sub>
            <m:sup>
              <m:r>
                <w:rPr>
                  <w:rFonts w:ascii="Cambria Math" w:hAnsi="Cambria Math"/>
                </w:rPr>
                <m:t>acc</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EAB</m:t>
              </m:r>
              <m:r>
                <m:rPr>
                  <m:sty m:val="p"/>
                </m:rPr>
                <w:rPr>
                  <w:rFonts w:ascii="Cambria Math" w:hAnsi="Cambria Math"/>
                </w:rPr>
                <m:t>,</m:t>
              </m:r>
              <m:r>
                <w:rPr>
                  <w:rFonts w:ascii="Cambria Math" w:hAnsi="Cambria Math"/>
                </w:rPr>
                <m:t>i</m:t>
              </m:r>
            </m:sub>
            <m:sup>
              <m:r>
                <w:rPr>
                  <w:rFonts w:ascii="Cambria Math" w:hAnsi="Cambria Math"/>
                </w:rPr>
                <m:t>IS</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10.7</m:t>
              </m:r>
            </m:e>
          </m:d>
        </m:oMath>
      </m:oMathPara>
    </w:p>
    <w:p w14:paraId="2B2D88D9" w14:textId="77777777" w:rsidR="000F504F" w:rsidRDefault="00406E9C">
      <w:pPr>
        <w:pStyle w:val="FirstParagraph"/>
      </w:pPr>
      <w:r>
        <w:t xml:space="preserve">where </w:t>
      </w:r>
      <m:oMath>
        <m:sSubSup>
          <m:sSubSupPr>
            <m:ctrlPr>
              <w:rPr>
                <w:rFonts w:ascii="Cambria Math" w:hAnsi="Cambria Math"/>
              </w:rPr>
            </m:ctrlPr>
          </m:sSubSupPr>
          <m:e>
            <m:r>
              <w:rPr>
                <w:rFonts w:ascii="Cambria Math" w:hAnsi="Cambria Math"/>
              </w:rPr>
              <m:t>D</m:t>
            </m:r>
          </m:e>
          <m:sub>
            <m:r>
              <w:rPr>
                <w:rFonts w:ascii="Cambria Math" w:hAnsi="Cambria Math"/>
              </w:rPr>
              <m:t>EAB</m:t>
            </m:r>
            <m:r>
              <m:rPr>
                <m:sty m:val="p"/>
              </m:rPr>
              <w:rPr>
                <w:rFonts w:ascii="Cambria Math" w:hAnsi="Cambria Math"/>
              </w:rPr>
              <m:t>,</m:t>
            </m:r>
            <m:r>
              <w:rPr>
                <w:rFonts w:ascii="Cambria Math" w:hAnsi="Cambria Math"/>
              </w:rPr>
              <m:t>i</m:t>
            </m:r>
          </m:sub>
          <m:sup>
            <m:r>
              <w:rPr>
                <w:rFonts w:ascii="Cambria Math" w:hAnsi="Cambria Math"/>
              </w:rPr>
              <m:t>acc</m:t>
            </m:r>
          </m:sup>
        </m:sSubSup>
      </m:oMath>
      <w:r>
        <w:t xml:space="preserve"> is the dose associated with the event source term and </w:t>
      </w:r>
      <m:oMath>
        <m:sSubSup>
          <m:sSubSupPr>
            <m:ctrlPr>
              <w:rPr>
                <w:rFonts w:ascii="Cambria Math" w:hAnsi="Cambria Math"/>
              </w:rPr>
            </m:ctrlPr>
          </m:sSubSupPr>
          <m:e>
            <m:r>
              <w:rPr>
                <w:rFonts w:ascii="Cambria Math" w:hAnsi="Cambria Math"/>
              </w:rPr>
              <m:t>D</m:t>
            </m:r>
          </m:e>
          <m:sub>
            <m:r>
              <w:rPr>
                <w:rFonts w:ascii="Cambria Math" w:hAnsi="Cambria Math"/>
              </w:rPr>
              <m:t>EAB</m:t>
            </m:r>
            <m:r>
              <m:rPr>
                <m:sty m:val="p"/>
              </m:rPr>
              <w:rPr>
                <w:rFonts w:ascii="Cambria Math" w:hAnsi="Cambria Math"/>
              </w:rPr>
              <m:t>,</m:t>
            </m:r>
            <m:r>
              <w:rPr>
                <w:rFonts w:ascii="Cambria Math" w:hAnsi="Cambria Math"/>
              </w:rPr>
              <m:t>i</m:t>
            </m:r>
          </m:sub>
          <m:sup>
            <m:r>
              <w:rPr>
                <w:rFonts w:ascii="Cambria Math" w:hAnsi="Cambria Math"/>
              </w:rPr>
              <m:t>IS</m:t>
            </m:r>
          </m:sup>
        </m:sSubSup>
      </m:oMath>
      <w:r>
        <w:t xml:space="preserve"> is the added iodine-spike contribution when that option is active. The dose may be expressed in rem TEDE or another consistent dose unit, provided that the F-C boundary is defined in the same unit.</w:t>
      </w:r>
    </w:p>
    <w:p w14:paraId="0CE7C3E7" w14:textId="77777777" w:rsidR="000F504F" w:rsidRDefault="00406E9C">
      <w:pPr>
        <w:pStyle w:val="BodyText"/>
      </w:pPr>
      <w:r>
        <w:t>The use of EAB dose is a screening convention. It does not imply that EAB dose is the only relevant consequence metric for risk-informed decision-making. Other consequence measures could be used, including LPZ dose, control-room dose, early-fatality risk, latent-cancer risk, release fraction, or conditional containment failure probability. In all cases, the consequence measure and the F-C boundary must be defined consistently.</w:t>
      </w:r>
    </w:p>
    <w:p w14:paraId="32533672" w14:textId="77777777" w:rsidR="000F504F" w:rsidRDefault="00406E9C">
      <w:pPr>
        <w:pStyle w:val="Heading2"/>
        <w:keepNext/>
      </w:pPr>
      <w:bookmarkStart w:id="95" w:name="_Toc231232939"/>
      <w:r>
        <w:t>10.4 Event Frequency Assignment</w:t>
      </w:r>
      <w:bookmarkEnd w:id="95"/>
    </w:p>
    <w:p w14:paraId="3D5C741D" w14:textId="77777777" w:rsidR="000F504F" w:rsidRDefault="00406E9C">
      <w:pPr>
        <w:pStyle w:val="FirstParagraph"/>
      </w:pPr>
      <w:r>
        <w:t>FLARE does not infer the event frequency from the transient calculation. The user assigns or imports a representative mean frequency for each case:</w:t>
      </w:r>
    </w:p>
    <w:p w14:paraId="1EDF63AD"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assigned</m:t>
              </m:r>
            </m:sup>
          </m:sSub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10.8</m:t>
              </m:r>
            </m:e>
          </m:d>
        </m:oMath>
      </m:oMathPara>
    </w:p>
    <w:p w14:paraId="7AFFABA0" w14:textId="77777777" w:rsidR="000F504F" w:rsidRDefault="00406E9C">
      <w:pPr>
        <w:pStyle w:val="FirstParagraph"/>
      </w:pPr>
      <w:r>
        <w:t>The assigned frequency should correspond to the complete event sequence represented by the FLARE input case. If the case represents a bounding deterministic transient rather than a specific PRA sequence, the analyst should state the mapping basis explicitly. For example, a small-break LOCA case may represent a break-size family rather than a single pipe rupture. An ATWS case may represent a class of anticipated transients with common scram failure. A loss-of-heat-sink case may represent a family of secondar</w:t>
      </w:r>
      <w:r>
        <w:t>y-side failures, not a unique initiating event.</w:t>
      </w:r>
    </w:p>
    <w:p w14:paraId="3D6819C7" w14:textId="77777777" w:rsidR="000F504F" w:rsidRDefault="00406E9C">
      <w:pPr>
        <w:pStyle w:val="BodyText"/>
      </w:pPr>
      <w:r>
        <w:t>When a frequency is derived from multiple contributing sequences, the appropriate combined frequency is</w:t>
      </w:r>
    </w:p>
    <w:p w14:paraId="5DB1BC7C"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ij</m:t>
                  </m:r>
                </m:sub>
              </m:sSub>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10.9</m:t>
              </m:r>
            </m:e>
          </m:d>
        </m:oMath>
      </m:oMathPara>
    </w:p>
    <w:p w14:paraId="0698CF0C" w14:textId="77777777" w:rsidR="000F504F" w:rsidRDefault="00406E9C">
      <w:pPr>
        <w:pStyle w:val="FirstParagraph"/>
      </w:pPr>
      <w:r>
        <w:t xml:space="preserve">where </w:t>
      </w:r>
      <m:oMath>
        <m:sSub>
          <m:sSubPr>
            <m:ctrlPr>
              <w:rPr>
                <w:rFonts w:ascii="Cambria Math" w:hAnsi="Cambria Math"/>
              </w:rPr>
            </m:ctrlPr>
          </m:sSubPr>
          <m:e>
            <m:r>
              <w:rPr>
                <w:rFonts w:ascii="Cambria Math" w:hAnsi="Cambria Math"/>
              </w:rPr>
              <m:t>Ω</m:t>
            </m:r>
          </m:e>
          <m:sub>
            <m:r>
              <w:rPr>
                <w:rFonts w:ascii="Cambria Math" w:hAnsi="Cambria Math"/>
              </w:rPr>
              <m:t>i</m:t>
            </m:r>
          </m:sub>
        </m:sSub>
      </m:oMath>
      <w:r>
        <w:t xml:space="preserve"> is the set of PRA sequences or event classes mapped to FLARE case </w:t>
      </w:r>
      <m:oMath>
        <m:r>
          <w:rPr>
            <w:rFonts w:ascii="Cambria Math" w:hAnsi="Cambria Math"/>
          </w:rPr>
          <m:t>i</m:t>
        </m:r>
      </m:oMath>
      <w:r>
        <w:t>. If the FLARE case is instead intended to represent one sequence selected from a family, then Equation (10.9) should not be applied unless the consequence is demonstrably bounding for the full family.</w:t>
      </w:r>
    </w:p>
    <w:p w14:paraId="2F4BA559" w14:textId="77777777" w:rsidR="000F504F" w:rsidRDefault="00406E9C">
      <w:pPr>
        <w:pStyle w:val="Heading2"/>
        <w:keepNext/>
      </w:pPr>
      <w:bookmarkStart w:id="96" w:name="_Toc231232940"/>
      <w:r>
        <w:t>10.5 Frequency-Consequence Boundary Representation</w:t>
      </w:r>
      <w:bookmarkEnd w:id="96"/>
    </w:p>
    <w:p w14:paraId="041324B2" w14:textId="77777777" w:rsidR="000F504F" w:rsidRDefault="00406E9C">
      <w:pPr>
        <w:pStyle w:val="FirstParagraph"/>
      </w:pPr>
      <w:r>
        <w:t>The FLARE Risk Tool represents the design-objective boundary as a set of ordered points in log-frequency/log-consequence space:</w:t>
      </w:r>
    </w:p>
    <w:p w14:paraId="6D738093" w14:textId="77777777" w:rsidR="000F504F" w:rsidRDefault="00406E9C">
      <w:pPr>
        <w:pStyle w:val="BodyText"/>
      </w:pPr>
      <m:oMathPara>
        <m:oMathParaPr>
          <m:jc m:val="center"/>
        </m:oMathParaPr>
        <m:oMath>
          <m:r>
            <m:rPr>
              <m:scr m:val="script"/>
              <m:sty m:val="p"/>
            </m:rPr>
            <w:rPr>
              <w:rFonts w:ascii="Cambria Math" w:hAnsi="Cambria Math"/>
            </w:rPr>
            <m:t>B</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10.10</m:t>
              </m:r>
            </m:e>
          </m:d>
        </m:oMath>
      </m:oMathPara>
    </w:p>
    <w:p w14:paraId="03188549" w14:textId="77777777" w:rsidR="000F504F" w:rsidRDefault="00406E9C">
      <w:pPr>
        <w:pStyle w:val="FirstParagraph"/>
      </w:pPr>
      <w:r>
        <w:t xml:space="preserve">For a consequence </w:t>
      </w:r>
      <m:oMath>
        <m:r>
          <w:rPr>
            <w:rFonts w:ascii="Cambria Math" w:hAnsi="Cambria Math"/>
          </w:rPr>
          <m:t>C</m:t>
        </m:r>
      </m:oMath>
      <w:r>
        <w:t xml:space="preserve"> between two tabulated boundary points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oMath>
      <w:r>
        <w:t>, the boundary frequency is evaluated by log-log interpolation:</w:t>
      </w:r>
    </w:p>
    <w:p w14:paraId="5EBDFAFD" w14:textId="77777777" w:rsidR="000F504F" w:rsidRDefault="00406E9C">
      <w:pPr>
        <w:pStyle w:val="BodyText"/>
      </w:pPr>
      <m:oMathPara>
        <m:oMathParaPr>
          <m:jc m:val="center"/>
        </m:oMathParaP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C</m:t>
                  </m:r>
                </m:e>
                <m:sub>
                  <m:r>
                    <w:rPr>
                      <w:rFonts w:ascii="Cambria Math" w:hAnsi="Cambria Math"/>
                    </w:rPr>
                    <m:t>j</m:t>
                  </m:r>
                </m:sub>
              </m:sSub>
            </m:num>
            <m:den>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C</m:t>
                  </m:r>
                </m:e>
                <m:sub>
                  <m:r>
                    <w:rPr>
                      <w:rFonts w:ascii="Cambria Math" w:hAnsi="Cambria Math"/>
                    </w:rPr>
                    <m:t>j</m:t>
                  </m:r>
                </m:sub>
              </m:sSub>
            </m:den>
          </m:f>
          <m:d>
            <m:dPr>
              <m:ctrlPr>
                <w:rPr>
                  <w:rFonts w:ascii="Cambria Math" w:hAnsi="Cambria Math"/>
                </w:rPr>
              </m:ctrlPr>
            </m:dPr>
            <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F</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F</m:t>
                  </m:r>
                </m:e>
                <m:sub>
                  <m:r>
                    <w:rPr>
                      <w:rFonts w:ascii="Cambria Math" w:hAnsi="Cambria Math"/>
                    </w:rPr>
                    <m:t>j</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10.11</m:t>
              </m:r>
            </m:e>
          </m:d>
        </m:oMath>
      </m:oMathPara>
    </w:p>
    <w:p w14:paraId="3952A1F7" w14:textId="77777777" w:rsidR="000F504F" w:rsidRDefault="00406E9C">
      <w:pPr>
        <w:pStyle w:val="FirstParagraph"/>
      </w:pPr>
      <w:r>
        <w:t>Equivalently,</w:t>
      </w:r>
    </w:p>
    <w:p w14:paraId="321C5A59"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10</m:t>
              </m:r>
            </m:e>
            <m:sup>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r>
                    <w:rPr>
                      <w:rFonts w:ascii="Cambria Math" w:hAnsi="Cambria Math"/>
                    </w:rPr>
                    <m:t>C</m:t>
                  </m:r>
                </m:e>
              </m:d>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10.12</m:t>
              </m:r>
            </m:e>
          </m:d>
        </m:oMath>
      </m:oMathPara>
    </w:p>
    <w:p w14:paraId="04C2C51A" w14:textId="77777777" w:rsidR="000F504F" w:rsidRDefault="00406E9C">
      <w:pPr>
        <w:pStyle w:val="FirstParagraph"/>
      </w:pPr>
      <w:r>
        <w:t>A case is below the boundary if</w:t>
      </w:r>
    </w:p>
    <w:p w14:paraId="3F1035D6"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10.13</m:t>
              </m:r>
            </m:e>
          </m:d>
        </m:oMath>
      </m:oMathPara>
    </w:p>
    <w:p w14:paraId="6BEE1FD7" w14:textId="77777777" w:rsidR="000F504F" w:rsidRDefault="00406E9C">
      <w:pPr>
        <w:pStyle w:val="FirstParagraph"/>
      </w:pPr>
      <w:r>
        <w:t>The logarithmic distance to the boundary is a useful scalar margin:</w:t>
      </w:r>
    </w:p>
    <w:p w14:paraId="294877CA" w14:textId="77777777" w:rsidR="000F504F" w:rsidRDefault="00406E9C">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num>
                <m:den>
                  <m:sSub>
                    <m:sSubPr>
                      <m:ctrlPr>
                        <w:rPr>
                          <w:rFonts w:ascii="Cambria Math" w:hAnsi="Cambria Math"/>
                        </w:rPr>
                      </m:ctrlPr>
                    </m:sSubPr>
                    <m:e>
                      <m:r>
                        <w:rPr>
                          <w:rFonts w:ascii="Cambria Math" w:hAnsi="Cambria Math"/>
                        </w:rPr>
                        <m:t>F</m:t>
                      </m:r>
                    </m:e>
                    <m:sub>
                      <m:r>
                        <w:rPr>
                          <w:rFonts w:ascii="Cambria Math" w:hAnsi="Cambria Math"/>
                        </w:rPr>
                        <m:t>i</m:t>
                      </m:r>
                    </m:sub>
                  </m:sSub>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10.14</m:t>
              </m:r>
            </m:e>
          </m:d>
        </m:oMath>
      </m:oMathPara>
    </w:p>
    <w:p w14:paraId="5C283D73" w14:textId="77777777" w:rsidR="000F504F" w:rsidRDefault="00406E9C">
      <w:pPr>
        <w:pStyle w:val="FirstParagraph"/>
      </w:pPr>
      <w:r>
        <w:t>Positive margin indicates that the plotted event is below the boundary; negative margin indicates that it is above the boundary. A multiplicative margin may also be reported:</w:t>
      </w:r>
    </w:p>
    <w:p w14:paraId="0ECA400B" w14:textId="77777777" w:rsidR="000F504F" w:rsidRDefault="00406E9C">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num>
            <m:den>
              <m:sSub>
                <m:sSubPr>
                  <m:ctrlPr>
                    <w:rPr>
                      <w:rFonts w:ascii="Cambria Math" w:hAnsi="Cambria Math"/>
                    </w:rPr>
                  </m:ctrlPr>
                </m:sSubPr>
                <m:e>
                  <m:r>
                    <w:rPr>
                      <w:rFonts w:ascii="Cambria Math" w:hAnsi="Cambria Math"/>
                    </w:rPr>
                    <m:t>F</m:t>
                  </m:r>
                </m:e>
                <m:sub>
                  <m:r>
                    <w:rPr>
                      <w:rFonts w:ascii="Cambria Math" w:hAnsi="Cambria Math"/>
                    </w:rPr>
                    <m:t>i</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10.15</m:t>
              </m:r>
            </m:e>
          </m:d>
        </m:oMath>
      </m:oMathPara>
    </w:p>
    <w:p w14:paraId="0007A29E" w14:textId="77777777" w:rsidR="000F504F" w:rsidRDefault="00406E9C">
      <w:pPr>
        <w:pStyle w:val="Heading2"/>
        <w:keepNext/>
      </w:pPr>
      <w:bookmarkStart w:id="97" w:name="_Toc231232941"/>
      <w:r>
        <w:t>10.6 NEI 18-04/LMP Interpretation</w:t>
      </w:r>
      <w:bookmarkEnd w:id="97"/>
    </w:p>
    <w:p w14:paraId="3FF638DA" w14:textId="77777777" w:rsidR="000F504F" w:rsidRDefault="00406E9C">
      <w:pPr>
        <w:pStyle w:val="FirstParagraph"/>
      </w:pPr>
      <w:r>
        <w:t xml:space="preserve">NEI 18-04 uses frequency-consequence evaluation as part of a broader risk-informed, performance-based methodology. The F-C chart is not intended to stand alone. It is used together with selection of licensing-basis events, classification of structures, systems, and components, risk-significance determinations, and evaluation of defense-in-depth. In that framework, events are grouped by frequency and consequence to support decisions about which event sequences require formal treatment in the licensing basis </w:t>
      </w:r>
      <w:r>
        <w:t>and which structures, systems, and components must be credited for prevention or mitigation.</w:t>
      </w:r>
    </w:p>
    <w:p w14:paraId="63EFD88A" w14:textId="77777777" w:rsidR="000F504F" w:rsidRDefault="00406E9C">
      <w:pPr>
        <w:pStyle w:val="BodyText"/>
      </w:pPr>
      <w:r>
        <w:t>For FLARE, the corresponding interpretation is narrower. A FLARE case plotted on the F-C chart is a screening point:</w:t>
      </w:r>
    </w:p>
    <w:p w14:paraId="03530958" w14:textId="77777777" w:rsidR="000F504F" w:rsidRDefault="00406E9C">
      <w:pPr>
        <w:pStyle w:val="BodyText"/>
      </w:pPr>
      <m:oMathPara>
        <m:oMathParaPr>
          <m:jc m:val="center"/>
        </m:oMathParaPr>
        <m:oMath>
          <m:r>
            <w:rPr>
              <w:rFonts w:ascii="Cambria Math" w:hAnsi="Cambria Math"/>
            </w:rPr>
            <m:t>i</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10.16</m:t>
              </m:r>
            </m:e>
          </m:d>
        </m:oMath>
      </m:oMathPara>
    </w:p>
    <w:p w14:paraId="239A14F7" w14:textId="77777777" w:rsidR="000F504F" w:rsidRDefault="00406E9C">
      <w:pPr>
        <w:pStyle w:val="FirstParagraph"/>
      </w:pPr>
      <w:r>
        <w:t>The point communicates whether the assigned event frequency and calculated consequence are small relative to the selected design-objective boundary. It does not, by itself, establish the licensing-basis event set, define safety-related or non-safety-related-with-special-treatment SSCs, demonstrate adequate defense-in-depth, or substitute for a PRA.</w:t>
      </w:r>
    </w:p>
    <w:p w14:paraId="692310B6" w14:textId="77777777" w:rsidR="000F504F" w:rsidRDefault="00406E9C">
      <w:pPr>
        <w:pStyle w:val="BodyText"/>
      </w:pPr>
      <w:r>
        <w:t>The risk-informed value of the tool is comparative. It allows the analyst to ask questions such as: Which cases dominate the frequency-consequence display? Which events approach the design-objective boundary? Which consequence results are sensitive to source-term assumptions? Which mitigation systems most reduce the location of a point on the F-C chart? These are screening questions, but they are useful for organizing deterministic accident calculations in a risk-informed manner.</w:t>
      </w:r>
    </w:p>
    <w:p w14:paraId="014503D1" w14:textId="77777777" w:rsidR="000F504F" w:rsidRDefault="00406E9C">
      <w:pPr>
        <w:pStyle w:val="Heading2"/>
        <w:keepNext/>
      </w:pPr>
      <w:bookmarkStart w:id="98" w:name="_Toc231232942"/>
      <w:r>
        <w:t>10.7 Treatment of Uncertainty</w:t>
      </w:r>
      <w:bookmarkEnd w:id="98"/>
    </w:p>
    <w:p w14:paraId="4FB01967" w14:textId="77777777" w:rsidR="000F504F" w:rsidRDefault="00406E9C">
      <w:pPr>
        <w:pStyle w:val="FirstParagraph"/>
      </w:pPr>
      <w:r>
        <w:t>A point on the F-C chart is uncertain in both coordinates. The consequence uncertainty arises from thermal-hydraulic model uncertainty, source-term uncertainty, dose-conversion uncertainty, meteorological assumptions, and receptor assumptions. Frequency uncertainty arises from initiating-event frequency, reliability data, human reliability, common-cause assumptions, and event-sequence modeling.</w:t>
      </w:r>
    </w:p>
    <w:p w14:paraId="31CB7244" w14:textId="77777777" w:rsidR="000F504F" w:rsidRDefault="00406E9C">
      <w:pPr>
        <w:pStyle w:val="BodyText"/>
      </w:pPr>
      <w:r>
        <w:t>A consequence uncertainty factor may be represented as</w:t>
      </w:r>
    </w:p>
    <w:p w14:paraId="64EB6495"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10.17</m:t>
              </m:r>
            </m:e>
          </m:d>
        </m:oMath>
      </m:oMathPara>
    </w:p>
    <w:p w14:paraId="357E85B7" w14:textId="77777777" w:rsidR="000F504F" w:rsidRDefault="00406E9C">
      <w:pPr>
        <w:pStyle w:val="FirstParagraph"/>
      </w:pPr>
      <w:r>
        <w:t xml:space="preserve">where </w:t>
      </w:r>
      <m:oMath>
        <m:sSub>
          <m:sSubPr>
            <m:ctrlPr>
              <w:rPr>
                <w:rFonts w:ascii="Cambria Math" w:hAnsi="Cambria Math"/>
              </w:rPr>
            </m:ctrlPr>
          </m:sSubPr>
          <m:e>
            <m:r>
              <w:rPr>
                <w:rFonts w:ascii="Cambria Math" w:hAnsi="Cambria Math"/>
              </w:rPr>
              <m:t>U</m:t>
            </m:r>
          </m:e>
          <m:sub>
            <m:r>
              <w:rPr>
                <w:rFonts w:ascii="Cambria Math" w:hAnsi="Cambria Math"/>
              </w:rPr>
              <m:t>C</m:t>
            </m:r>
            <m:r>
              <m:rPr>
                <m:sty m:val="p"/>
              </m:rPr>
              <w:rPr>
                <w:rFonts w:ascii="Cambria Math" w:hAnsi="Cambria Math"/>
              </w:rPr>
              <m:t>,</m:t>
            </m:r>
            <m:r>
              <w:rPr>
                <w:rFonts w:ascii="Cambria Math" w:hAnsi="Cambria Math"/>
              </w:rPr>
              <m:t>i</m:t>
            </m:r>
          </m:sub>
        </m:sSub>
      </m:oMath>
      <w:r>
        <w:t xml:space="preserve"> is a sampled or specified multiplicative uncertainty factor. Similarly, frequency uncertainty can be represented as</w:t>
      </w:r>
    </w:p>
    <w:p w14:paraId="51DC924C"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10.18</m:t>
              </m:r>
            </m:e>
          </m:d>
        </m:oMath>
      </m:oMathPara>
    </w:p>
    <w:p w14:paraId="15E55F21" w14:textId="77777777" w:rsidR="000F504F" w:rsidRDefault="00406E9C">
      <w:pPr>
        <w:pStyle w:val="FirstParagraph"/>
      </w:pPr>
      <w:r>
        <w:lastRenderedPageBreak/>
        <w:t>The uncertain margin becomes</w:t>
      </w:r>
    </w:p>
    <w:p w14:paraId="1B7F2F96" w14:textId="77777777" w:rsidR="000F504F" w:rsidRDefault="00406E9C">
      <w:pPr>
        <w:pStyle w:val="BodyText"/>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e>
                  </m:d>
                </m:num>
                <m:den>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10.19</m:t>
              </m:r>
            </m:e>
          </m:d>
        </m:oMath>
      </m:oMathPara>
    </w:p>
    <w:p w14:paraId="7951429D" w14:textId="77777777" w:rsidR="000F504F" w:rsidRDefault="00406E9C">
      <w:pPr>
        <w:pStyle w:val="FirstParagraph"/>
      </w:pPr>
      <w:r>
        <w:t xml:space="preserve">FLARE’s current Risk Tool primarily uses deterministic point estimates for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and calculated consequences for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When uncertainty-analysis outputs are available, the analyst may use percentile consequence values, bounding source-term assumptions, or sensitivity cases to explore how far a point could move on the F-C chart. A conservative screening application should avoid interpreting a narrowly positive point-estimate margin as robust unless the important uncertainties have been considered.</w:t>
      </w:r>
    </w:p>
    <w:p w14:paraId="3D7578EC" w14:textId="77777777" w:rsidR="000F504F" w:rsidRDefault="00406E9C">
      <w:pPr>
        <w:pStyle w:val="Heading2"/>
        <w:keepNext/>
      </w:pPr>
      <w:bookmarkStart w:id="99" w:name="_Toc231232943"/>
      <w:r>
        <w:t>10.8 Relationship to Deterministic Acceptance Criteria</w:t>
      </w:r>
      <w:bookmarkEnd w:id="99"/>
    </w:p>
    <w:p w14:paraId="5EACC130" w14:textId="77777777" w:rsidR="000F504F" w:rsidRDefault="00406E9C">
      <w:pPr>
        <w:pStyle w:val="FirstParagraph"/>
      </w:pPr>
      <w:r>
        <w:t>The F-C chart is not a replacement for deterministic acceptance criteria. A case may be acceptable on an F-C chart yet still violate a deterministic criterion that applies to the event class. Conversely, a case may satisfy deterministic acceptance limits but plot near a frequency-consequence design objective because of a high assigned frequency or a relatively large dose consequence.</w:t>
      </w:r>
    </w:p>
    <w:p w14:paraId="247C24E8" w14:textId="77777777" w:rsidR="000F504F" w:rsidRDefault="00406E9C">
      <w:pPr>
        <w:pStyle w:val="BodyText"/>
      </w:pPr>
      <w:r>
        <w:t>The deterministic and risk-informed views can be expressed as separate tests:</w:t>
      </w:r>
    </w:p>
    <w:p w14:paraId="49A0A349" w14:textId="77777777" w:rsidR="000F504F" w:rsidRDefault="00406E9C">
      <w:pPr>
        <w:pStyle w:val="BodyText"/>
      </w:pPr>
      <m:oMathPara>
        <m:oMathParaPr>
          <m:jc m:val="center"/>
        </m:oMathParaPr>
        <m:oMath>
          <m:r>
            <m:rPr>
              <m:sty m:val="p"/>
            </m:rPr>
            <w:rPr>
              <w:rFonts w:ascii="Cambria Math" w:hAnsi="Cambria Math"/>
            </w:rPr>
            <m:t>Deterministic test: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lim</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10.20</m:t>
              </m:r>
            </m:e>
          </m:d>
        </m:oMath>
      </m:oMathPara>
    </w:p>
    <w:p w14:paraId="32A4FA8B" w14:textId="77777777" w:rsidR="000F504F" w:rsidRDefault="00406E9C">
      <w:pPr>
        <w:pStyle w:val="FirstParagraph"/>
      </w:pPr>
      <m:oMathPara>
        <m:oMathParaPr>
          <m:jc m:val="center"/>
        </m:oMathParaPr>
        <m:oMath>
          <m:r>
            <m:rPr>
              <m:sty m:val="p"/>
            </m:rPr>
            <w:rPr>
              <w:rFonts w:ascii="Cambria Math" w:hAnsi="Cambria Math"/>
            </w:rPr>
            <m:t>Risk</m:t>
          </m:r>
          <m:r>
            <m:rPr>
              <m:nor/>
            </m:rPr>
            <m:t>-</m:t>
          </m:r>
          <m:r>
            <m:rPr>
              <m:sty m:val="p"/>
            </m:rPr>
            <w:rPr>
              <w:rFonts w:ascii="Cambria Math" w:hAnsi="Cambria Math"/>
            </w:rPr>
            <m:t>informed screen:</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lim</m:t>
              </m:r>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10.21</m:t>
              </m:r>
            </m:e>
          </m:d>
        </m:oMath>
      </m:oMathPara>
    </w:p>
    <w:p w14:paraId="7E2C63DC" w14:textId="77777777" w:rsidR="000F504F" w:rsidRDefault="00406E9C">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is a deterministic figure of merit such as PCT, ECR, containment pressure, or control-room dose. In a complete safety evaluation, both types of information are considered. The FLARE Risk Tool is intended to make the second test visible and traceable without obscuring the first.</w:t>
      </w:r>
    </w:p>
    <w:p w14:paraId="07FFE610" w14:textId="77777777" w:rsidR="000F504F" w:rsidRDefault="00406E9C">
      <w:pPr>
        <w:pStyle w:val="Heading2"/>
        <w:keepNext/>
      </w:pPr>
      <w:bookmarkStart w:id="100" w:name="_Toc231232944"/>
      <w:r>
        <w:t>10.9 Limitations</w:t>
      </w:r>
      <w:bookmarkEnd w:id="100"/>
    </w:p>
    <w:p w14:paraId="7F29A017" w14:textId="77777777" w:rsidR="000F504F" w:rsidRDefault="00406E9C">
      <w:pPr>
        <w:pStyle w:val="FirstParagraph"/>
      </w:pPr>
      <w:r>
        <w:t>The principal limitation of the Risk Tool is that it is only as credible as the frequency and consequence inputs. A visually favorable point on an F-C chart is not meaningful if the frequency assignment is arbitrary, if the FLARE case is not representative of the event sequence, or if the consequence calculation omits important release or transport pathways. The tool also does not calculate cumulative risk over an entire plant event set unless the user supplies a complete, non-overlapping set of event frequ</w:t>
      </w:r>
      <w:r>
        <w:t>encies and consequences.</w:t>
      </w:r>
    </w:p>
    <w:p w14:paraId="7AEF9FF7" w14:textId="77777777" w:rsidR="000F504F" w:rsidRDefault="00406E9C">
      <w:pPr>
        <w:pStyle w:val="BodyText"/>
      </w:pPr>
      <w:r>
        <w:t>A second limitation is that the plotted consequence may be a dose-screening result rather than a mechanistic offsite consequence calculation. Simplified atmospheric dispersion, simplified source-term escalation, and conservative dose-conversion assumptions can dominate the result. The user should therefore treat the F-C chart as a decision-support and communication tool, not as a final risk metric independent of the assumptions used to create it.</w:t>
      </w:r>
    </w:p>
    <w:p w14:paraId="55D8D29F" w14:textId="77777777" w:rsidR="000F504F" w:rsidRDefault="00406E9C">
      <w:pPr>
        <w:pStyle w:val="BodyText"/>
      </w:pPr>
      <w:r>
        <w:t>Finally, NEI 18-04 is a licensing-basis-development methodology, not merely a curve-drawing exercise. The F-C chart provides one important view of the event set, but the broader methodology also requires systematic event selection, SSC classification, evaluation of defense-in-depth, and documentation of the design-specific basis for credited prevention and mitigation functions.</w:t>
      </w:r>
    </w:p>
    <w:p w14:paraId="7F1BB433" w14:textId="77777777" w:rsidR="00447CE9" w:rsidRDefault="00447CE9">
      <w:pPr>
        <w:pStyle w:val="Heading1"/>
        <w:keepNext/>
      </w:pPr>
      <w:bookmarkStart w:id="101" w:name="appendix-a-nomenclature"/>
      <w:r>
        <w:br w:type="page"/>
      </w:r>
    </w:p>
    <w:p>
      <w:pPr>
        <w:pStyle w:val="Heading1"/>
        <w:keepNext/>
        <w:pageBreakBefore/>
      </w:pPr>
      <w:r>
        <w:t>Chapter 11 — PRA Model, Event Trees, and Deck Translation</w:t>
      </w:r>
    </w:p>
    <w:p>
      <w:pPr>
        <w:pStyle w:val="Heading2"/>
        <w:keepNext/>
      </w:pPr>
      <w:r>
        <w:t>11.1 Scope and model boundaries</w:t>
      </w:r>
    </w:p>
    <w:p>
      <w:r>
        <w:t>The Model Editor PRA framework is an ordered, multistate, hazard-conditioned screening PRA coupled to FLARE deck generation. It is not a plant-specific licensing PRA. It stores initiating-event partitions, top-event definitions, fault-tree/basic-event data, multistate train availability, hazard contexts, sequence rules, success-criterion assumptions, and FLARE parameter mappings. The base PRA model is read-only; analyst assumption packages are overlays.</w:t>
      </w:r>
    </w:p>
    <w:p>
      <w:r>
        <w:t>Internal and Process hazard selections use NO_HAZARD. Seismic, Internal fire, Internal flooding, External flooding, High Wind, and Tornado use corresponding conditioned contexts. Context selection precedes visible tree traversal; the EXT conditioning bridge is not a displayed first top event. Applicable tree/context combinations are declared by PRA/ui_hazard_event_tree_map.json.</w:t>
      </w:r>
    </w:p>
    <w:p>
      <w:pPr>
        <w:pStyle w:val="Heading2"/>
        <w:keepNext/>
      </w:pPr>
      <w:r>
        <w:t>11.2 Ordered event sequences and terminal rules</w:t>
      </w:r>
    </w:p>
    <w:p>
      <w:r>
        <w:t>For initiating-event frequency λ_IE and conditional branch probabilities p_j, a fully quantified path has sequence frequency λ_seq = λ_IE × ∏ p_j, with hazard partitions and conditioning accounted for once. Conditional event-tree traversal omits downstream top events after a declared terminal state. In the current LLOCA model, accumulator availability below the terminal threshold leads to early core damage and truncates subsequent safety-function branching. ATWS initiating-event frequency is already conditioned on scram failure and must not be multiplied by a second scram-failure probability.</w:t>
      </w:r>
    </w:p>
    <w:p>
      <w:r>
        <w:t>Some top events are evaluated by FLARE rather than assigned a synthetic 50/50 split. Until deterministic evidence is available, their outcomes and frequency allocation remain pending. Branch probabilities, common-cause approximations, hazard fragility data, and provisional initiating-event frequencies require review before risk interpretation.</w:t>
      </w:r>
    </w:p>
    <w:p>
      <w:pPr>
        <w:pStyle w:val="Heading2"/>
        <w:keepNext/>
      </w:pPr>
      <w:r>
        <w:t>11.3 Multistate train availability and common cause</w:t>
      </w:r>
    </w:p>
    <w:p>
      <w:r>
        <w:t>Multistate systems describe P(exactly k of n trains available) rather than only a Boolean success/failure state. Train-count success criteria are used to select branch conditions and translate system availability into input parameters. The generic screening model uses approximations for common-cause failure; shifting a CCF union entirely to the zero-available state can understate intermediate degraded configurations. The approximation is not a substitute for a fully supported alpha-factor or plant-specific CCF treatment.</w:t>
      </w:r>
    </w:p>
    <w:p>
      <w:pPr>
        <w:pStyle w:val="Heading2"/>
        <w:keepNext/>
      </w:pPr>
      <w:r>
        <w:t>11.4 Plant baseline and cumulative deck generation</w:t>
      </w:r>
    </w:p>
    <w:p>
      <w:r>
        <w:t>A generated input workbook is formed by layering (1) the initiating-event template, (2) the selected plant baseline, and (3) cumulative event-tree branch and hazard-context overrides. Power, core, and inventory geometry are assigned for catalogued designs; additional system geometry is taken from documented plant records when available. Missing geometry is identified in the workbook and JSON manifest rather than silently assumed. The branch mapping can target the RCS input worksheet or FLARECONa.</w:t>
      </w:r>
    </w:p>
    <w:p>
      <w:r>
        <w:t>Generated decks are stored by plant and event tree in PRA/Generated_Decks/FLARE_PWR_PRA_Rev0S/. A JSON manifest records the source model, sequence identity, context, branch-state vector, selected template, and overrides. A generated deck is an executable model-development artifact, not proof that a success criterion or plant-specific evaluation model is qualified.</w:t>
      </w:r>
    </w:p>
    <w:p>
      <w:pPr>
        <w:pStyle w:val="Heading2"/>
        <w:keepNext/>
      </w:pPr>
      <w:r>
        <w:t>11.5 Readiness, completeness, and excluded physics</w:t>
      </w:r>
    </w:p>
    <w:p>
      <w:r>
        <w:t>Deck Readiness checks whether a branch and its hazard effects can be translated to available FLARE inputs. PRA Completeness separately assesses acceptance criteria, success-criterion basis, provenance, unresolved probabilities, and outside-scope dispositions. They intentionally do not have identical pass/fail conditions.</w:t>
      </w:r>
    </w:p>
    <w:p>
      <w:r>
        <w:t>The SGTR template is held because FLARE lacks an explicit primary-to-secondary receiving volume for the affected steam generator. Functional recirculation is represented, but detailed sump hydraulics and associated failure mechanisms remain outside the deterministic model. External flooding retains screening hazard bins pending site-specific data; continuous correlated seismic fragility treatment and fully qualified plant-specific frequencies are not established by the generic framework.</w:t>
      </w:r>
    </w:p>
    <w:p>
      <w:pPr>
        <w:pStyle w:val="Heading1"/>
        <w:keepNext/>
        <w:pageBreakBefore/>
      </w:pPr>
      <w:r>
        <w:t>Chapter 12 — Population Map Analytical Basis</w:t>
      </w:r>
    </w:p>
    <w:p>
      <w:pPr>
        <w:pStyle w:val="Heading2"/>
        <w:keepNext/>
      </w:pPr>
      <w:r>
        <w:t>12.1 Data flow and governing assumptions</w:t>
      </w:r>
    </w:p>
    <w:p>
      <w:r>
        <w:t>The Dose Map screen reads FLARE/NOTBADTRAD output workbook sheets Input Echo and Dose, and optionally Source Term for deposition. It treats the workbook’s centerline total effective dose equivalent (TEDE) versus distance as the source consequence curve; it does not recompute NOTBADTRAD transport. The spatial calculation combines a gridded occupied-cell population database with local east/north geometry and a reduced-order crosswind spreading factor.</w:t>
      </w:r>
    </w:p>
    <w:p>
      <w:r>
        <w:t>The national database is derived from 2020 Census block populations and internal-point coordinates aggregated into a nominal 1-km grid; the synthetic Lynchburg database is for demonstration. Population at a cell is treated as concentrated at the cell representative location, not as a continuous spatial density. The local coordinate approximation is intended for local-to-regional analysis rather than a full geodesic projection.</w:t>
      </w:r>
    </w:p>
    <w:p>
      <w:pPr>
        <w:pStyle w:val="Heading2"/>
        <w:keepNext/>
      </w:pPr>
      <w:r>
        <w:t>12.2 Crosswind field and pathway objectives</w:t>
      </w:r>
    </w:p>
    <w:p>
      <w:r>
        <w:t>Horizontal spread is represented by sigma_y(x) = a x / sqrt(1 + b x), where b = 0.0001 m^-1 and the coefficient a depends on Pasquill stability class (A through F: 0.22, 0.16, 0.11, 0.08, 0.06, 0.04). A bounded low-wind meander multiplier applies below 1 m/s. The lateral multiplier is exp[-0.5(y/sigma_y)^2], applied to the existing centerline TEDE curve. The model does not independently calculate plume rise, vertical reflection, or site-specific meteorology.</w:t>
      </w:r>
    </w:p>
    <w:p>
      <w:r>
        <w:t>Candidate bearings are evaluated at one-degree intervals. The population-weighted objective sums P_i D_i over occupied cells above the selected dose threshold; the alternative objective sums P_i alone for cells above threshold. A custom bearing bypasses the search. The lower endpoint of the dose-range control sets both the displayed screening threshold and the population-above-threshold criterion.</w:t>
      </w:r>
    </w:p>
    <w:p>
      <w:pPr>
        <w:pStyle w:val="Heading2"/>
        <w:keepNext/>
      </w:pPr>
      <w:r>
        <w:t>12.3 Cumulative time evolution and deposition</w:t>
      </w:r>
    </w:p>
    <w:p>
      <w:r>
        <w:t>The time-evolving field interpolates between the EAB and LPZ cumulative dose anchors over 24 additional intervals, using F(s) = [1 - exp(-2.4s)]/[1 - exp(-2.4)] for normalized interval position s. Interval increments are accumulated, allowing synthetic directional variability to leave a spatial footprint. A constrained-variability scenario uses deterministic bounded directional, wind-speed, and stability-class changes; it is not sampled from measured meteorological records.</w:t>
      </w:r>
    </w:p>
    <w:p>
      <w:r>
        <w:t>Ground deposition is a synthetic, relative field derived from selected source-term groups, release fractions, transport and retention surrogates. The final selected scenario/group maximum is normalized to unity. The displayed deposition fraction must not be interpreted as an absolute activity per unit area or as a validated contamination prediction.</w:t>
      </w:r>
    </w:p>
    <w:p>
      <w:pPr>
        <w:pStyle w:val="Heading2"/>
        <w:keepNext/>
      </w:pPr>
      <w:r>
        <w:t>12.4 Interpretation and verification</w:t>
      </w:r>
    </w:p>
    <w:p>
      <w:r>
        <w:t>The Dose Map is a screening and communication tool. Record the source workbook, population database, site, radius, selected pathway criterion, dose threshold, meteorological scenario, interval, and radiological layer for reproducibility. Distinguish centerline NOTBADTRAD consequences from the map’s lateral spreading and synthetic deposition assumptions. The full operational controls and output descriptions are incorporated into Chapter 15 of the FLARE User’s Manual.</w:t>
      </w:r>
    </w:p>
    <w:p>
      <w:r>
        <w:t>Documentation basis: FLARE development package through PRA Rev 0S.23, functional recirculation v14, and FLARE Population Map User and Technical Manual (July 2026). The generic PRA is developmental and the Code Theory Manual remains Revision 1.</w:t>
      </w:r>
    </w:p>
    <w:p w14:paraId="7723F11F" w14:textId="5604541D" w:rsidR="000F504F" w:rsidRDefault="00406E9C">
      <w:pPr>
        <w:pStyle w:val="Heading1"/>
        <w:keepNext/>
      </w:pPr>
      <w:bookmarkStart w:id="102" w:name="_Toc231232945"/>
      <w:r>
        <w:lastRenderedPageBreak/>
        <w:t>Appendix A — Nomenclature</w:t>
      </w:r>
      <w:bookmarkEnd w:id="102"/>
    </w:p>
    <w:tbl>
      <w:tblPr>
        <w:tblStyle w:val="Table"/>
        <w:tblW w:w="5000" w:type="pct"/>
        <w:tblLayout w:type="fixed"/>
        <w:tblLook w:val="0020" w:firstRow="1" w:lastRow="0" w:firstColumn="0" w:lastColumn="0" w:noHBand="0" w:noVBand="0"/>
      </w:tblPr>
      <w:tblGrid>
        <w:gridCol w:w="3336"/>
        <w:gridCol w:w="3336"/>
        <w:gridCol w:w="3336"/>
      </w:tblGrid>
      <w:tr w:rsidR="000F504F" w14:paraId="703A324B" w14:textId="77777777" w:rsidTr="000F504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E63B75" w14:textId="77777777" w:rsidR="000F504F" w:rsidRDefault="00406E9C">
            <w:pPr>
              <w:pStyle w:val="Compact"/>
            </w:pPr>
            <w:r>
              <w:t>Symbol</w:t>
            </w:r>
          </w:p>
        </w:tc>
        <w:tc>
          <w:tcPr>
            <w:tcW w:w="2640" w:type="dxa"/>
          </w:tcPr>
          <w:p w14:paraId="7383C175" w14:textId="77777777" w:rsidR="000F504F" w:rsidRDefault="00406E9C">
            <w:pPr>
              <w:pStyle w:val="Compact"/>
            </w:pPr>
            <w:r>
              <w:t>Description</w:t>
            </w:r>
          </w:p>
        </w:tc>
        <w:tc>
          <w:tcPr>
            <w:tcW w:w="2640" w:type="dxa"/>
          </w:tcPr>
          <w:p w14:paraId="20A18A0F" w14:textId="77777777" w:rsidR="000F504F" w:rsidRDefault="00406E9C">
            <w:pPr>
              <w:pStyle w:val="Compact"/>
            </w:pPr>
            <w:r>
              <w:t>Units</w:t>
            </w:r>
          </w:p>
        </w:tc>
      </w:tr>
      <w:tr w:rsidR="000F504F" w14:paraId="6D215BC3" w14:textId="77777777">
        <w:tc>
          <w:tcPr>
            <w:tcW w:w="2640" w:type="dxa"/>
          </w:tcPr>
          <w:p w14:paraId="03A86714" w14:textId="77777777" w:rsidR="000F504F" w:rsidRDefault="00406E9C">
            <w:pPr>
              <w:pStyle w:val="Compact"/>
            </w:pPr>
            <m:oMathPara>
              <m:oMath>
                <m:r>
                  <w:rPr>
                    <w:rFonts w:ascii="Cambria Math" w:hAnsi="Cambria Math"/>
                  </w:rPr>
                  <m:t>A</m:t>
                </m:r>
              </m:oMath>
            </m:oMathPara>
          </w:p>
        </w:tc>
        <w:tc>
          <w:tcPr>
            <w:tcW w:w="2640" w:type="dxa"/>
          </w:tcPr>
          <w:p w14:paraId="6E87193E" w14:textId="77777777" w:rsidR="000F504F" w:rsidRDefault="00406E9C">
            <w:pPr>
              <w:pStyle w:val="Compact"/>
            </w:pPr>
            <w:r>
              <w:t>Area</w:t>
            </w:r>
          </w:p>
        </w:tc>
        <w:tc>
          <w:tcPr>
            <w:tcW w:w="2640" w:type="dxa"/>
          </w:tcPr>
          <w:p w14:paraId="4FE05B74" w14:textId="77777777" w:rsidR="000F504F" w:rsidRDefault="00406E9C">
            <w:pPr>
              <w:pStyle w:val="Compact"/>
            </w:pPr>
            <w:r>
              <w:t>m²</w:t>
            </w:r>
          </w:p>
        </w:tc>
      </w:tr>
      <w:tr w:rsidR="000F504F" w14:paraId="2BD6C934" w14:textId="77777777">
        <w:tc>
          <w:tcPr>
            <w:tcW w:w="2640" w:type="dxa"/>
          </w:tcPr>
          <w:p w14:paraId="33CA33E3" w14:textId="77777777" w:rsidR="000F504F" w:rsidRDefault="00406E9C">
            <w:pPr>
              <w:pStyle w:val="Compact"/>
            </w:pPr>
            <m:oMathPara>
              <m:oMath>
                <m:sSub>
                  <m:sSubPr>
                    <m:ctrlPr>
                      <w:rPr>
                        <w:rFonts w:ascii="Cambria Math" w:hAnsi="Cambria Math"/>
                      </w:rPr>
                    </m:ctrlPr>
                  </m:sSubPr>
                  <m:e>
                    <m:r>
                      <w:rPr>
                        <w:rFonts w:ascii="Cambria Math" w:hAnsi="Cambria Math"/>
                      </w:rPr>
                      <m:t>A</m:t>
                    </m:r>
                  </m:e>
                  <m:sub>
                    <m:r>
                      <w:rPr>
                        <w:rFonts w:ascii="Cambria Math" w:hAnsi="Cambria Math"/>
                      </w:rPr>
                      <m:t>b</m:t>
                    </m:r>
                  </m:sub>
                </m:sSub>
              </m:oMath>
            </m:oMathPara>
          </w:p>
        </w:tc>
        <w:tc>
          <w:tcPr>
            <w:tcW w:w="2640" w:type="dxa"/>
          </w:tcPr>
          <w:p w14:paraId="6F35629B" w14:textId="77777777" w:rsidR="000F504F" w:rsidRDefault="00406E9C">
            <w:pPr>
              <w:pStyle w:val="Compact"/>
            </w:pPr>
            <w:r>
              <w:t>Break area</w:t>
            </w:r>
          </w:p>
        </w:tc>
        <w:tc>
          <w:tcPr>
            <w:tcW w:w="2640" w:type="dxa"/>
          </w:tcPr>
          <w:p w14:paraId="6E14B7A9" w14:textId="77777777" w:rsidR="000F504F" w:rsidRDefault="00406E9C">
            <w:pPr>
              <w:pStyle w:val="Compact"/>
            </w:pPr>
            <w:r>
              <w:t>m²</w:t>
            </w:r>
          </w:p>
        </w:tc>
      </w:tr>
      <w:tr w:rsidR="000F504F" w14:paraId="75824651" w14:textId="77777777">
        <w:tc>
          <w:tcPr>
            <w:tcW w:w="2640" w:type="dxa"/>
          </w:tcPr>
          <w:p w14:paraId="69F19EA3" w14:textId="77777777" w:rsidR="000F504F" w:rsidRDefault="00406E9C">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p</m:t>
                    </m:r>
                  </m:sub>
                </m:sSub>
              </m:oMath>
            </m:oMathPara>
          </w:p>
        </w:tc>
        <w:tc>
          <w:tcPr>
            <w:tcW w:w="2640" w:type="dxa"/>
          </w:tcPr>
          <w:p w14:paraId="755FCFBE" w14:textId="77777777" w:rsidR="000F504F" w:rsidRDefault="00406E9C">
            <w:pPr>
              <w:pStyle w:val="Compact"/>
            </w:pPr>
            <w:r>
              <w:t>Specific heat at constant pressure</w:t>
            </w:r>
          </w:p>
        </w:tc>
        <w:tc>
          <w:tcPr>
            <w:tcW w:w="2640" w:type="dxa"/>
          </w:tcPr>
          <w:p w14:paraId="77B1A7E0" w14:textId="77777777" w:rsidR="000F504F" w:rsidRDefault="00406E9C">
            <w:pPr>
              <w:pStyle w:val="Compact"/>
            </w:pPr>
            <w:r>
              <w:t>J/kg-K</w:t>
            </w:r>
          </w:p>
        </w:tc>
      </w:tr>
      <w:tr w:rsidR="000F504F" w14:paraId="01C76798" w14:textId="77777777">
        <w:tc>
          <w:tcPr>
            <w:tcW w:w="2640" w:type="dxa"/>
          </w:tcPr>
          <w:p w14:paraId="21D07AB4" w14:textId="77777777" w:rsidR="000F504F" w:rsidRDefault="00406E9C">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v</m:t>
                    </m:r>
                  </m:sub>
                </m:sSub>
              </m:oMath>
            </m:oMathPara>
          </w:p>
        </w:tc>
        <w:tc>
          <w:tcPr>
            <w:tcW w:w="2640" w:type="dxa"/>
          </w:tcPr>
          <w:p w14:paraId="560006CF" w14:textId="77777777" w:rsidR="000F504F" w:rsidRDefault="00406E9C">
            <w:pPr>
              <w:pStyle w:val="Compact"/>
            </w:pPr>
            <w:r>
              <w:t>Specific heat at constant volume</w:t>
            </w:r>
          </w:p>
        </w:tc>
        <w:tc>
          <w:tcPr>
            <w:tcW w:w="2640" w:type="dxa"/>
          </w:tcPr>
          <w:p w14:paraId="5A120E9C" w14:textId="77777777" w:rsidR="000F504F" w:rsidRDefault="00406E9C">
            <w:pPr>
              <w:pStyle w:val="Compact"/>
            </w:pPr>
            <w:r>
              <w:t>J/kg-K</w:t>
            </w:r>
          </w:p>
        </w:tc>
      </w:tr>
      <w:tr w:rsidR="000F504F" w14:paraId="5C475498" w14:textId="77777777">
        <w:tc>
          <w:tcPr>
            <w:tcW w:w="2640" w:type="dxa"/>
          </w:tcPr>
          <w:p w14:paraId="59DDDB6E" w14:textId="77777777" w:rsidR="000F504F" w:rsidRDefault="00406E9C">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d</m:t>
                    </m:r>
                  </m:sub>
                </m:sSub>
              </m:oMath>
            </m:oMathPara>
          </w:p>
        </w:tc>
        <w:tc>
          <w:tcPr>
            <w:tcW w:w="2640" w:type="dxa"/>
          </w:tcPr>
          <w:p w14:paraId="2F37E10F" w14:textId="77777777" w:rsidR="000F504F" w:rsidRDefault="00406E9C">
            <w:pPr>
              <w:pStyle w:val="Compact"/>
            </w:pPr>
            <w:r>
              <w:t>Discharge coefficient</w:t>
            </w:r>
          </w:p>
        </w:tc>
        <w:tc>
          <w:tcPr>
            <w:tcW w:w="2640" w:type="dxa"/>
          </w:tcPr>
          <w:p w14:paraId="0DC1BB9E" w14:textId="77777777" w:rsidR="000F504F" w:rsidRDefault="00406E9C">
            <w:pPr>
              <w:pStyle w:val="Compact"/>
            </w:pPr>
            <w:r>
              <w:t>—</w:t>
            </w:r>
          </w:p>
        </w:tc>
      </w:tr>
      <w:tr w:rsidR="000F504F" w14:paraId="3544A4D2" w14:textId="77777777">
        <w:tc>
          <w:tcPr>
            <w:tcW w:w="2640" w:type="dxa"/>
          </w:tcPr>
          <w:p w14:paraId="37852DE6" w14:textId="77777777" w:rsidR="000F504F" w:rsidRDefault="00406E9C">
            <w:pPr>
              <w:pStyle w:val="Compact"/>
            </w:pPr>
            <m:oMathPara>
              <m:oMath>
                <m:r>
                  <w:rPr>
                    <w:rFonts w:ascii="Cambria Math" w:hAnsi="Cambria Math"/>
                  </w:rPr>
                  <m:t>C</m:t>
                </m:r>
              </m:oMath>
            </m:oMathPara>
          </w:p>
        </w:tc>
        <w:tc>
          <w:tcPr>
            <w:tcW w:w="2640" w:type="dxa"/>
          </w:tcPr>
          <w:p w14:paraId="0B3EB2DD" w14:textId="77777777" w:rsidR="000F504F" w:rsidRDefault="00406E9C">
            <w:pPr>
              <w:pStyle w:val="Compact"/>
            </w:pPr>
            <w:r>
              <w:t>Consequence metric for frequency-consequence chart</w:t>
            </w:r>
          </w:p>
        </w:tc>
        <w:tc>
          <w:tcPr>
            <w:tcW w:w="2640" w:type="dxa"/>
          </w:tcPr>
          <w:p w14:paraId="7F6087BF" w14:textId="77777777" w:rsidR="000F504F" w:rsidRDefault="00406E9C">
            <w:pPr>
              <w:pStyle w:val="Compact"/>
            </w:pPr>
            <w:r>
              <w:t>dose or consequence unit</w:t>
            </w:r>
          </w:p>
        </w:tc>
      </w:tr>
      <w:tr w:rsidR="000F504F" w14:paraId="0C9E2DF9" w14:textId="77777777">
        <w:tc>
          <w:tcPr>
            <w:tcW w:w="2640" w:type="dxa"/>
          </w:tcPr>
          <w:p w14:paraId="2573DEA3" w14:textId="77777777" w:rsidR="000F504F" w:rsidRDefault="00406E9C">
            <w:pPr>
              <w:pStyle w:val="Compact"/>
            </w:pPr>
            <m:oMathPara>
              <m:oMath>
                <m:r>
                  <w:rPr>
                    <w:rFonts w:ascii="Cambria Math" w:hAnsi="Cambria Math"/>
                  </w:rPr>
                  <m:t>F</m:t>
                </m:r>
              </m:oMath>
            </m:oMathPara>
          </w:p>
        </w:tc>
        <w:tc>
          <w:tcPr>
            <w:tcW w:w="2640" w:type="dxa"/>
          </w:tcPr>
          <w:p w14:paraId="6930DE97" w14:textId="77777777" w:rsidR="000F504F" w:rsidRDefault="00406E9C">
            <w:pPr>
              <w:pStyle w:val="Compact"/>
            </w:pPr>
            <w:r>
              <w:t>Event or sequence frequency</w:t>
            </w:r>
          </w:p>
        </w:tc>
        <w:tc>
          <w:tcPr>
            <w:tcW w:w="2640" w:type="dxa"/>
          </w:tcPr>
          <w:p w14:paraId="12D83CB9" w14:textId="77777777" w:rsidR="000F504F" w:rsidRDefault="00406E9C">
            <w:pPr>
              <w:pStyle w:val="Compact"/>
            </w:pPr>
            <w:r>
              <w:t>1/year</w:t>
            </w:r>
          </w:p>
        </w:tc>
      </w:tr>
      <w:tr w:rsidR="000F504F" w14:paraId="37D6B0CE" w14:textId="77777777">
        <w:tc>
          <w:tcPr>
            <w:tcW w:w="2640" w:type="dxa"/>
          </w:tcPr>
          <w:p w14:paraId="2B5655BE" w14:textId="77777777" w:rsidR="000F504F" w:rsidRDefault="00406E9C">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lim</m:t>
                    </m:r>
                  </m:sub>
                </m:sSub>
              </m:oMath>
            </m:oMathPara>
          </w:p>
        </w:tc>
        <w:tc>
          <w:tcPr>
            <w:tcW w:w="2640" w:type="dxa"/>
          </w:tcPr>
          <w:p w14:paraId="2A241AEA" w14:textId="77777777" w:rsidR="000F504F" w:rsidRDefault="00406E9C">
            <w:pPr>
              <w:pStyle w:val="Compact"/>
            </w:pPr>
            <w:r>
              <w:t>Frequency-consequence boundary frequency</w:t>
            </w:r>
          </w:p>
        </w:tc>
        <w:tc>
          <w:tcPr>
            <w:tcW w:w="2640" w:type="dxa"/>
          </w:tcPr>
          <w:p w14:paraId="46294206" w14:textId="77777777" w:rsidR="000F504F" w:rsidRDefault="00406E9C">
            <w:pPr>
              <w:pStyle w:val="Compact"/>
            </w:pPr>
            <w:r>
              <w:t>1/year</w:t>
            </w:r>
          </w:p>
        </w:tc>
      </w:tr>
      <w:tr w:rsidR="000F504F" w14:paraId="2752B565" w14:textId="77777777">
        <w:tc>
          <w:tcPr>
            <w:tcW w:w="2640" w:type="dxa"/>
          </w:tcPr>
          <w:p w14:paraId="42499365" w14:textId="77777777" w:rsidR="000F504F" w:rsidRDefault="00406E9C">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h</m:t>
                    </m:r>
                  </m:sub>
                </m:sSub>
              </m:oMath>
            </m:oMathPara>
          </w:p>
        </w:tc>
        <w:tc>
          <w:tcPr>
            <w:tcW w:w="2640" w:type="dxa"/>
          </w:tcPr>
          <w:p w14:paraId="1BA86B40" w14:textId="77777777" w:rsidR="000F504F" w:rsidRDefault="00406E9C">
            <w:pPr>
              <w:pStyle w:val="Compact"/>
            </w:pPr>
            <w:r>
              <w:t>Hydraulic diameter</w:t>
            </w:r>
          </w:p>
        </w:tc>
        <w:tc>
          <w:tcPr>
            <w:tcW w:w="2640" w:type="dxa"/>
          </w:tcPr>
          <w:p w14:paraId="27273CC2" w14:textId="77777777" w:rsidR="000F504F" w:rsidRDefault="00406E9C">
            <w:pPr>
              <w:pStyle w:val="Compact"/>
            </w:pPr>
            <w:r>
              <w:t>m</w:t>
            </w:r>
          </w:p>
        </w:tc>
      </w:tr>
      <w:tr w:rsidR="000F504F" w14:paraId="4B24906F" w14:textId="77777777">
        <w:tc>
          <w:tcPr>
            <w:tcW w:w="2640" w:type="dxa"/>
          </w:tcPr>
          <w:p w14:paraId="2B05B225" w14:textId="77777777" w:rsidR="000F504F" w:rsidRDefault="00406E9C">
            <w:pPr>
              <w:pStyle w:val="Compact"/>
            </w:pPr>
            <m:oMathPara>
              <m:oMath>
                <m:r>
                  <w:rPr>
                    <w:rFonts w:ascii="Cambria Math" w:hAnsi="Cambria Math"/>
                  </w:rPr>
                  <m:t>ECR</m:t>
                </m:r>
              </m:oMath>
            </m:oMathPara>
          </w:p>
        </w:tc>
        <w:tc>
          <w:tcPr>
            <w:tcW w:w="2640" w:type="dxa"/>
          </w:tcPr>
          <w:p w14:paraId="148FEFBD" w14:textId="77777777" w:rsidR="000F504F" w:rsidRDefault="00406E9C">
            <w:pPr>
              <w:pStyle w:val="Compact"/>
            </w:pPr>
            <w:r>
              <w:t>Equivalent cladding reacted</w:t>
            </w:r>
          </w:p>
        </w:tc>
        <w:tc>
          <w:tcPr>
            <w:tcW w:w="2640" w:type="dxa"/>
          </w:tcPr>
          <w:p w14:paraId="70ECE546" w14:textId="77777777" w:rsidR="000F504F" w:rsidRDefault="00406E9C">
            <w:pPr>
              <w:pStyle w:val="Compact"/>
            </w:pPr>
            <w:r>
              <w:t>%</w:t>
            </w:r>
          </w:p>
        </w:tc>
      </w:tr>
      <w:tr w:rsidR="000F504F" w14:paraId="21970541" w14:textId="77777777">
        <w:tc>
          <w:tcPr>
            <w:tcW w:w="2640" w:type="dxa"/>
          </w:tcPr>
          <w:p w14:paraId="54C5E2A4" w14:textId="77777777" w:rsidR="000F504F" w:rsidRDefault="00406E9C">
            <w:pPr>
              <w:pStyle w:val="Compact"/>
            </w:pPr>
            <m:oMathPara>
              <m:oMath>
                <m:r>
                  <w:rPr>
                    <w:rFonts w:ascii="Cambria Math" w:hAnsi="Cambria Math"/>
                  </w:rPr>
                  <m:t>G</m:t>
                </m:r>
              </m:oMath>
            </m:oMathPara>
          </w:p>
        </w:tc>
        <w:tc>
          <w:tcPr>
            <w:tcW w:w="2640" w:type="dxa"/>
          </w:tcPr>
          <w:p w14:paraId="46949222" w14:textId="77777777" w:rsidR="000F504F" w:rsidRDefault="00406E9C">
            <w:pPr>
              <w:pStyle w:val="Compact"/>
            </w:pPr>
            <w:r>
              <w:t>Mass flux</w:t>
            </w:r>
          </w:p>
        </w:tc>
        <w:tc>
          <w:tcPr>
            <w:tcW w:w="2640" w:type="dxa"/>
          </w:tcPr>
          <w:p w14:paraId="4CB6F30D" w14:textId="77777777" w:rsidR="000F504F" w:rsidRDefault="00406E9C">
            <w:pPr>
              <w:pStyle w:val="Compact"/>
            </w:pPr>
            <w:r>
              <w:t>kg/m²-s</w:t>
            </w:r>
          </w:p>
        </w:tc>
      </w:tr>
      <w:tr w:rsidR="000F504F" w14:paraId="1D8987C9" w14:textId="77777777">
        <w:tc>
          <w:tcPr>
            <w:tcW w:w="2640" w:type="dxa"/>
          </w:tcPr>
          <w:p w14:paraId="39B145B0" w14:textId="77777777" w:rsidR="000F504F" w:rsidRDefault="00406E9C">
            <w:pPr>
              <w:pStyle w:val="Compact"/>
            </w:pPr>
            <m:oMathPara>
              <m:oMath>
                <m:r>
                  <w:rPr>
                    <w:rFonts w:ascii="Cambria Math" w:hAnsi="Cambria Math"/>
                  </w:rPr>
                  <m:t>h</m:t>
                </m:r>
              </m:oMath>
            </m:oMathPara>
          </w:p>
        </w:tc>
        <w:tc>
          <w:tcPr>
            <w:tcW w:w="2640" w:type="dxa"/>
          </w:tcPr>
          <w:p w14:paraId="60CB37D1" w14:textId="77777777" w:rsidR="000F504F" w:rsidRDefault="00406E9C">
            <w:pPr>
              <w:pStyle w:val="Compact"/>
            </w:pPr>
            <w:r>
              <w:t>Specific enthalpy</w:t>
            </w:r>
          </w:p>
        </w:tc>
        <w:tc>
          <w:tcPr>
            <w:tcW w:w="2640" w:type="dxa"/>
          </w:tcPr>
          <w:p w14:paraId="6F2946AF" w14:textId="77777777" w:rsidR="000F504F" w:rsidRDefault="00406E9C">
            <w:pPr>
              <w:pStyle w:val="Compact"/>
            </w:pPr>
            <w:r>
              <w:t>J/kg</w:t>
            </w:r>
          </w:p>
        </w:tc>
      </w:tr>
      <w:tr w:rsidR="000F504F" w14:paraId="16501E9B" w14:textId="77777777">
        <w:tc>
          <w:tcPr>
            <w:tcW w:w="2640" w:type="dxa"/>
          </w:tcPr>
          <w:p w14:paraId="402AE630" w14:textId="77777777" w:rsidR="000F504F" w:rsidRDefault="00406E9C">
            <w:pPr>
              <w:pStyle w:val="Compact"/>
            </w:pPr>
            <m:oMathPara>
              <m:oMath>
                <m:sSub>
                  <m:sSubPr>
                    <m:ctrlPr>
                      <w:rPr>
                        <w:rFonts w:ascii="Cambria Math" w:hAnsi="Cambria Math"/>
                      </w:rPr>
                    </m:ctrlPr>
                  </m:sSubPr>
                  <m:e>
                    <m:r>
                      <w:rPr>
                        <w:rFonts w:ascii="Cambria Math" w:hAnsi="Cambria Math"/>
                      </w:rPr>
                      <m:t>h</m:t>
                    </m:r>
                  </m:e>
                  <m:sub>
                    <m:r>
                      <w:rPr>
                        <w:rFonts w:ascii="Cambria Math" w:hAnsi="Cambria Math"/>
                      </w:rPr>
                      <m:t>c</m:t>
                    </m:r>
                  </m:sub>
                </m:sSub>
              </m:oMath>
            </m:oMathPara>
          </w:p>
        </w:tc>
        <w:tc>
          <w:tcPr>
            <w:tcW w:w="2640" w:type="dxa"/>
          </w:tcPr>
          <w:p w14:paraId="48CD93CE" w14:textId="77777777" w:rsidR="000F504F" w:rsidRDefault="00406E9C">
            <w:pPr>
              <w:pStyle w:val="Compact"/>
            </w:pPr>
            <w:r>
              <w:t>Convective heat-transfer coefficient</w:t>
            </w:r>
          </w:p>
        </w:tc>
        <w:tc>
          <w:tcPr>
            <w:tcW w:w="2640" w:type="dxa"/>
          </w:tcPr>
          <w:p w14:paraId="11AC33E9" w14:textId="77777777" w:rsidR="000F504F" w:rsidRDefault="00406E9C">
            <w:pPr>
              <w:pStyle w:val="Compact"/>
            </w:pPr>
            <w:r>
              <w:t>W/m²-K</w:t>
            </w:r>
          </w:p>
        </w:tc>
      </w:tr>
      <w:tr w:rsidR="000F504F" w14:paraId="7168E4E7" w14:textId="77777777">
        <w:tc>
          <w:tcPr>
            <w:tcW w:w="2640" w:type="dxa"/>
          </w:tcPr>
          <w:p w14:paraId="1AB2D330" w14:textId="77777777" w:rsidR="000F504F" w:rsidRDefault="00406E9C">
            <w:pPr>
              <w:pStyle w:val="Compact"/>
            </w:pPr>
            <m:oMathPara>
              <m:oMath>
                <m:r>
                  <w:rPr>
                    <w:rFonts w:ascii="Cambria Math" w:hAnsi="Cambria Math"/>
                  </w:rPr>
                  <m:t>k</m:t>
                </m:r>
              </m:oMath>
            </m:oMathPara>
          </w:p>
        </w:tc>
        <w:tc>
          <w:tcPr>
            <w:tcW w:w="2640" w:type="dxa"/>
          </w:tcPr>
          <w:p w14:paraId="595C98BA" w14:textId="77777777" w:rsidR="000F504F" w:rsidRDefault="00406E9C">
            <w:pPr>
              <w:pStyle w:val="Compact"/>
            </w:pPr>
            <w:r>
              <w:t>Thermal conductivity</w:t>
            </w:r>
          </w:p>
        </w:tc>
        <w:tc>
          <w:tcPr>
            <w:tcW w:w="2640" w:type="dxa"/>
          </w:tcPr>
          <w:p w14:paraId="505BEB90" w14:textId="77777777" w:rsidR="000F504F" w:rsidRDefault="00406E9C">
            <w:pPr>
              <w:pStyle w:val="Compact"/>
            </w:pPr>
            <w:r>
              <w:t>W/m-K</w:t>
            </w:r>
          </w:p>
        </w:tc>
      </w:tr>
      <w:tr w:rsidR="000F504F" w14:paraId="653F9666" w14:textId="77777777">
        <w:tc>
          <w:tcPr>
            <w:tcW w:w="2640" w:type="dxa"/>
          </w:tcPr>
          <w:p w14:paraId="602259D8" w14:textId="77777777" w:rsidR="000F504F" w:rsidRDefault="00406E9C">
            <w:pPr>
              <w:pStyle w:val="Compact"/>
            </w:pPr>
            <m:oMathPara>
              <m:oMath>
                <m:r>
                  <w:rPr>
                    <w:rFonts w:ascii="Cambria Math" w:hAnsi="Cambria Math"/>
                  </w:rPr>
                  <m:t>M</m:t>
                </m:r>
              </m:oMath>
            </m:oMathPara>
          </w:p>
        </w:tc>
        <w:tc>
          <w:tcPr>
            <w:tcW w:w="2640" w:type="dxa"/>
          </w:tcPr>
          <w:p w14:paraId="20DD8AEA" w14:textId="77777777" w:rsidR="000F504F" w:rsidRDefault="00406E9C">
            <w:pPr>
              <w:pStyle w:val="Compact"/>
            </w:pPr>
            <w:r>
              <w:t>Mass</w:t>
            </w:r>
          </w:p>
        </w:tc>
        <w:tc>
          <w:tcPr>
            <w:tcW w:w="2640" w:type="dxa"/>
          </w:tcPr>
          <w:p w14:paraId="6E26E582" w14:textId="77777777" w:rsidR="000F504F" w:rsidRDefault="00406E9C">
            <w:pPr>
              <w:pStyle w:val="Compact"/>
            </w:pPr>
            <w:r>
              <w:t>kg</w:t>
            </w:r>
          </w:p>
        </w:tc>
      </w:tr>
      <w:tr w:rsidR="000F504F" w14:paraId="6305504B" w14:textId="77777777">
        <w:tc>
          <w:tcPr>
            <w:tcW w:w="2640" w:type="dxa"/>
          </w:tcPr>
          <w:p w14:paraId="5379AFBB" w14:textId="77777777" w:rsidR="000F504F" w:rsidRDefault="00406E9C">
            <w:pPr>
              <w:pStyle w:val="Compact"/>
            </w:pPr>
            <m:oMathPara>
              <m:oMath>
                <m:r>
                  <w:rPr>
                    <w:rFonts w:ascii="Cambria Math" w:hAnsi="Cambria Math"/>
                  </w:rPr>
                  <m:t>Nu</m:t>
                </m:r>
              </m:oMath>
            </m:oMathPara>
          </w:p>
        </w:tc>
        <w:tc>
          <w:tcPr>
            <w:tcW w:w="2640" w:type="dxa"/>
          </w:tcPr>
          <w:p w14:paraId="7E576941" w14:textId="77777777" w:rsidR="000F504F" w:rsidRDefault="00406E9C">
            <w:pPr>
              <w:pStyle w:val="Compact"/>
            </w:pPr>
            <w:r>
              <w:t>Nusselt number</w:t>
            </w:r>
          </w:p>
        </w:tc>
        <w:tc>
          <w:tcPr>
            <w:tcW w:w="2640" w:type="dxa"/>
          </w:tcPr>
          <w:p w14:paraId="7A6DD806" w14:textId="77777777" w:rsidR="000F504F" w:rsidRDefault="00406E9C">
            <w:pPr>
              <w:pStyle w:val="Compact"/>
            </w:pPr>
            <w:r>
              <w:t>—</w:t>
            </w:r>
          </w:p>
        </w:tc>
      </w:tr>
      <w:tr w:rsidR="000F504F" w14:paraId="731DF189" w14:textId="77777777">
        <w:tc>
          <w:tcPr>
            <w:tcW w:w="2640" w:type="dxa"/>
          </w:tcPr>
          <w:p w14:paraId="5DE63FA9" w14:textId="77777777" w:rsidR="000F504F" w:rsidRDefault="00406E9C">
            <w:pPr>
              <w:pStyle w:val="Compact"/>
            </w:pPr>
            <m:oMathPara>
              <m:oMath>
                <m:r>
                  <w:rPr>
                    <w:rFonts w:ascii="Cambria Math" w:hAnsi="Cambria Math"/>
                  </w:rPr>
                  <m:t>P</m:t>
                </m:r>
              </m:oMath>
            </m:oMathPara>
          </w:p>
        </w:tc>
        <w:tc>
          <w:tcPr>
            <w:tcW w:w="2640" w:type="dxa"/>
          </w:tcPr>
          <w:p w14:paraId="65251E3E" w14:textId="77777777" w:rsidR="000F504F" w:rsidRDefault="00406E9C">
            <w:pPr>
              <w:pStyle w:val="Compact"/>
            </w:pPr>
            <w:r>
              <w:t>Pressure</w:t>
            </w:r>
          </w:p>
        </w:tc>
        <w:tc>
          <w:tcPr>
            <w:tcW w:w="2640" w:type="dxa"/>
          </w:tcPr>
          <w:p w14:paraId="5C062749" w14:textId="77777777" w:rsidR="000F504F" w:rsidRDefault="00406E9C">
            <w:pPr>
              <w:pStyle w:val="Compact"/>
            </w:pPr>
            <w:r>
              <w:t>Pa or kPa</w:t>
            </w:r>
          </w:p>
        </w:tc>
      </w:tr>
      <w:tr w:rsidR="000F504F" w14:paraId="3F3D24E1" w14:textId="77777777">
        <w:tc>
          <w:tcPr>
            <w:tcW w:w="2640" w:type="dxa"/>
          </w:tcPr>
          <w:p w14:paraId="5EC802B0" w14:textId="77777777" w:rsidR="000F504F" w:rsidRDefault="00406E9C">
            <w:pPr>
              <w:pStyle w:val="Compact"/>
            </w:pPr>
            <m:oMathPara>
              <m:oMath>
                <m:r>
                  <w:rPr>
                    <w:rFonts w:ascii="Cambria Math" w:hAnsi="Cambria Math"/>
                  </w:rPr>
                  <m:t>Pr</m:t>
                </m:r>
              </m:oMath>
            </m:oMathPara>
          </w:p>
        </w:tc>
        <w:tc>
          <w:tcPr>
            <w:tcW w:w="2640" w:type="dxa"/>
          </w:tcPr>
          <w:p w14:paraId="3A1C05C3" w14:textId="77777777" w:rsidR="000F504F" w:rsidRDefault="00406E9C">
            <w:pPr>
              <w:pStyle w:val="Compact"/>
            </w:pPr>
            <w:r>
              <w:t>Prandtl number</w:t>
            </w:r>
          </w:p>
        </w:tc>
        <w:tc>
          <w:tcPr>
            <w:tcW w:w="2640" w:type="dxa"/>
          </w:tcPr>
          <w:p w14:paraId="6015CBED" w14:textId="77777777" w:rsidR="000F504F" w:rsidRDefault="00406E9C">
            <w:pPr>
              <w:pStyle w:val="Compact"/>
            </w:pPr>
            <w:r>
              <w:t>—</w:t>
            </w:r>
          </w:p>
        </w:tc>
      </w:tr>
      <w:tr w:rsidR="000F504F" w14:paraId="2C76ABC0" w14:textId="77777777">
        <w:tc>
          <w:tcPr>
            <w:tcW w:w="2640" w:type="dxa"/>
          </w:tcPr>
          <w:p w14:paraId="27BCA727" w14:textId="77777777" w:rsidR="000F504F" w:rsidRDefault="00406E9C">
            <w:pPr>
              <w:pStyle w:val="Compact"/>
            </w:pPr>
            <m:oMathPara>
              <m:oMath>
                <m:r>
                  <w:rPr>
                    <w:rFonts w:ascii="Cambria Math" w:hAnsi="Cambria Math"/>
                  </w:rPr>
                  <m:t>Q</m:t>
                </m:r>
              </m:oMath>
            </m:oMathPara>
          </w:p>
        </w:tc>
        <w:tc>
          <w:tcPr>
            <w:tcW w:w="2640" w:type="dxa"/>
          </w:tcPr>
          <w:p w14:paraId="0B654DBA" w14:textId="77777777" w:rsidR="000F504F" w:rsidRDefault="00406E9C">
            <w:pPr>
              <w:pStyle w:val="Compact"/>
            </w:pPr>
            <w:r>
              <w:t>Heat transfer rate or thermal power</w:t>
            </w:r>
          </w:p>
        </w:tc>
        <w:tc>
          <w:tcPr>
            <w:tcW w:w="2640" w:type="dxa"/>
          </w:tcPr>
          <w:p w14:paraId="486381C8" w14:textId="77777777" w:rsidR="000F504F" w:rsidRDefault="00406E9C">
            <w:pPr>
              <w:pStyle w:val="Compact"/>
            </w:pPr>
            <w:r>
              <w:t>W</w:t>
            </w:r>
          </w:p>
        </w:tc>
      </w:tr>
      <w:tr w:rsidR="000F504F" w14:paraId="79CB9DEE" w14:textId="77777777">
        <w:tc>
          <w:tcPr>
            <w:tcW w:w="2640" w:type="dxa"/>
          </w:tcPr>
          <w:p w14:paraId="5FA7B346" w14:textId="77777777" w:rsidR="000F504F" w:rsidRDefault="00406E9C">
            <w:pPr>
              <w:pStyle w:val="Compact"/>
            </w:pPr>
            <m:oMathPara>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m:oMathPara>
          </w:p>
        </w:tc>
        <w:tc>
          <w:tcPr>
            <w:tcW w:w="2640" w:type="dxa"/>
          </w:tcPr>
          <w:p w14:paraId="3F956C0E" w14:textId="77777777" w:rsidR="000F504F" w:rsidRDefault="00406E9C">
            <w:pPr>
              <w:pStyle w:val="Compact"/>
            </w:pPr>
            <w:r>
              <w:t>Heat flux</w:t>
            </w:r>
          </w:p>
        </w:tc>
        <w:tc>
          <w:tcPr>
            <w:tcW w:w="2640" w:type="dxa"/>
          </w:tcPr>
          <w:p w14:paraId="625F36F1" w14:textId="77777777" w:rsidR="000F504F" w:rsidRDefault="00406E9C">
            <w:pPr>
              <w:pStyle w:val="Compact"/>
            </w:pPr>
            <w:r>
              <w:t>W/m²</w:t>
            </w:r>
          </w:p>
        </w:tc>
      </w:tr>
      <w:tr w:rsidR="000F504F" w14:paraId="2AC46968" w14:textId="77777777">
        <w:tc>
          <w:tcPr>
            <w:tcW w:w="2640" w:type="dxa"/>
          </w:tcPr>
          <w:p w14:paraId="1376A043" w14:textId="77777777" w:rsidR="000F504F" w:rsidRDefault="00406E9C">
            <w:pPr>
              <w:pStyle w:val="Compact"/>
            </w:pPr>
            <m:oMathPara>
              <m:oMath>
                <m:r>
                  <w:rPr>
                    <w:rFonts w:ascii="Cambria Math" w:hAnsi="Cambria Math"/>
                  </w:rPr>
                  <m:t>Ra</m:t>
                </m:r>
              </m:oMath>
            </m:oMathPara>
          </w:p>
        </w:tc>
        <w:tc>
          <w:tcPr>
            <w:tcW w:w="2640" w:type="dxa"/>
          </w:tcPr>
          <w:p w14:paraId="48EED3ED" w14:textId="77777777" w:rsidR="000F504F" w:rsidRDefault="00406E9C">
            <w:pPr>
              <w:pStyle w:val="Compact"/>
            </w:pPr>
            <w:r>
              <w:t>Rayleigh number</w:t>
            </w:r>
          </w:p>
        </w:tc>
        <w:tc>
          <w:tcPr>
            <w:tcW w:w="2640" w:type="dxa"/>
          </w:tcPr>
          <w:p w14:paraId="0D44FDAC" w14:textId="77777777" w:rsidR="000F504F" w:rsidRDefault="00406E9C">
            <w:pPr>
              <w:pStyle w:val="Compact"/>
            </w:pPr>
            <w:r>
              <w:t>—</w:t>
            </w:r>
          </w:p>
        </w:tc>
      </w:tr>
      <w:tr w:rsidR="000F504F" w14:paraId="32426D45" w14:textId="77777777">
        <w:tc>
          <w:tcPr>
            <w:tcW w:w="2640" w:type="dxa"/>
          </w:tcPr>
          <w:p w14:paraId="4C0C7DEB" w14:textId="77777777" w:rsidR="000F504F" w:rsidRDefault="00406E9C">
            <w:pPr>
              <w:pStyle w:val="Compact"/>
            </w:pPr>
            <m:oMathPara>
              <m:oMath>
                <m:r>
                  <w:rPr>
                    <w:rFonts w:ascii="Cambria Math" w:hAnsi="Cambria Math"/>
                  </w:rPr>
                  <m:t>Re</m:t>
                </m:r>
              </m:oMath>
            </m:oMathPara>
          </w:p>
        </w:tc>
        <w:tc>
          <w:tcPr>
            <w:tcW w:w="2640" w:type="dxa"/>
          </w:tcPr>
          <w:p w14:paraId="1647709F" w14:textId="77777777" w:rsidR="000F504F" w:rsidRDefault="00406E9C">
            <w:pPr>
              <w:pStyle w:val="Compact"/>
            </w:pPr>
            <w:r>
              <w:t>Reynolds number</w:t>
            </w:r>
          </w:p>
        </w:tc>
        <w:tc>
          <w:tcPr>
            <w:tcW w:w="2640" w:type="dxa"/>
          </w:tcPr>
          <w:p w14:paraId="4DB84BD8" w14:textId="77777777" w:rsidR="000F504F" w:rsidRDefault="00406E9C">
            <w:pPr>
              <w:pStyle w:val="Compact"/>
            </w:pPr>
            <w:r>
              <w:t>—</w:t>
            </w:r>
          </w:p>
        </w:tc>
      </w:tr>
      <w:tr w:rsidR="000F504F" w14:paraId="67C7C3BF" w14:textId="77777777">
        <w:tc>
          <w:tcPr>
            <w:tcW w:w="2640" w:type="dxa"/>
          </w:tcPr>
          <w:p w14:paraId="3966B4B4" w14:textId="77777777" w:rsidR="000F504F" w:rsidRDefault="00406E9C">
            <w:pPr>
              <w:pStyle w:val="Compact"/>
            </w:pPr>
            <m:oMathPara>
              <m:oMath>
                <m:r>
                  <w:rPr>
                    <w:rFonts w:ascii="Cambria Math" w:hAnsi="Cambria Math"/>
                  </w:rPr>
                  <m:t>S</m:t>
                </m:r>
              </m:oMath>
            </m:oMathPara>
          </w:p>
        </w:tc>
        <w:tc>
          <w:tcPr>
            <w:tcW w:w="2640" w:type="dxa"/>
          </w:tcPr>
          <w:p w14:paraId="342F1F8E" w14:textId="77777777" w:rsidR="000F504F" w:rsidRDefault="00406E9C">
            <w:pPr>
              <w:pStyle w:val="Compact"/>
            </w:pPr>
            <w:r>
              <w:t>Slip ratio</w:t>
            </w:r>
          </w:p>
        </w:tc>
        <w:tc>
          <w:tcPr>
            <w:tcW w:w="2640" w:type="dxa"/>
          </w:tcPr>
          <w:p w14:paraId="0EDA4CFA" w14:textId="77777777" w:rsidR="000F504F" w:rsidRDefault="00406E9C">
            <w:pPr>
              <w:pStyle w:val="Compact"/>
            </w:pPr>
            <w:r>
              <w:t>—</w:t>
            </w:r>
          </w:p>
        </w:tc>
      </w:tr>
      <w:tr w:rsidR="000F504F" w14:paraId="695C0C11" w14:textId="77777777">
        <w:tc>
          <w:tcPr>
            <w:tcW w:w="2640" w:type="dxa"/>
          </w:tcPr>
          <w:p w14:paraId="75AD67AD" w14:textId="77777777" w:rsidR="000F504F" w:rsidRDefault="00406E9C">
            <w:pPr>
              <w:pStyle w:val="Compact"/>
            </w:pPr>
            <m:oMathPara>
              <m:oMath>
                <m:r>
                  <w:rPr>
                    <w:rFonts w:ascii="Cambria Math" w:hAnsi="Cambria Math"/>
                  </w:rPr>
                  <m:t>T</m:t>
                </m:r>
              </m:oMath>
            </m:oMathPara>
          </w:p>
        </w:tc>
        <w:tc>
          <w:tcPr>
            <w:tcW w:w="2640" w:type="dxa"/>
          </w:tcPr>
          <w:p w14:paraId="186F4A44" w14:textId="77777777" w:rsidR="000F504F" w:rsidRDefault="00406E9C">
            <w:pPr>
              <w:pStyle w:val="Compact"/>
            </w:pPr>
            <w:r>
              <w:t>Temperature</w:t>
            </w:r>
          </w:p>
        </w:tc>
        <w:tc>
          <w:tcPr>
            <w:tcW w:w="2640" w:type="dxa"/>
          </w:tcPr>
          <w:p w14:paraId="0080D445" w14:textId="77777777" w:rsidR="000F504F" w:rsidRDefault="00406E9C">
            <w:pPr>
              <w:pStyle w:val="Compact"/>
            </w:pPr>
            <w:r>
              <w:t>K or °C</w:t>
            </w:r>
          </w:p>
        </w:tc>
      </w:tr>
      <w:tr w:rsidR="000F504F" w14:paraId="5A8FA146" w14:textId="77777777">
        <w:tc>
          <w:tcPr>
            <w:tcW w:w="2640" w:type="dxa"/>
          </w:tcPr>
          <w:p w14:paraId="0B47E071" w14:textId="77777777" w:rsidR="000F504F" w:rsidRDefault="00406E9C">
            <w:pPr>
              <w:pStyle w:val="Compact"/>
            </w:pPr>
            <m:oMathPara>
              <m:oMath>
                <m:r>
                  <w:rPr>
                    <w:rFonts w:ascii="Cambria Math" w:hAnsi="Cambria Math"/>
                  </w:rPr>
                  <m:t>U</m:t>
                </m:r>
              </m:oMath>
            </m:oMathPara>
          </w:p>
        </w:tc>
        <w:tc>
          <w:tcPr>
            <w:tcW w:w="2640" w:type="dxa"/>
          </w:tcPr>
          <w:p w14:paraId="5F79FC15" w14:textId="77777777" w:rsidR="000F504F" w:rsidRDefault="00406E9C">
            <w:pPr>
              <w:pStyle w:val="Compact"/>
            </w:pPr>
            <w:r>
              <w:t>Internal energy</w:t>
            </w:r>
          </w:p>
        </w:tc>
        <w:tc>
          <w:tcPr>
            <w:tcW w:w="2640" w:type="dxa"/>
          </w:tcPr>
          <w:p w14:paraId="65C891D6" w14:textId="77777777" w:rsidR="000F504F" w:rsidRDefault="00406E9C">
            <w:pPr>
              <w:pStyle w:val="Compact"/>
            </w:pPr>
            <w:r>
              <w:t>J</w:t>
            </w:r>
          </w:p>
        </w:tc>
      </w:tr>
      <w:tr w:rsidR="000F504F" w14:paraId="2BF56A26" w14:textId="77777777">
        <w:tc>
          <w:tcPr>
            <w:tcW w:w="2640" w:type="dxa"/>
          </w:tcPr>
          <w:p w14:paraId="532ACECC" w14:textId="77777777" w:rsidR="000F504F" w:rsidRDefault="00406E9C">
            <w:pPr>
              <w:pStyle w:val="Compact"/>
            </w:pPr>
            <m:oMathPara>
              <m:oMath>
                <m:r>
                  <w:rPr>
                    <w:rFonts w:ascii="Cambria Math" w:hAnsi="Cambria Math"/>
                  </w:rPr>
                  <m:t>v</m:t>
                </m:r>
              </m:oMath>
            </m:oMathPara>
          </w:p>
        </w:tc>
        <w:tc>
          <w:tcPr>
            <w:tcW w:w="2640" w:type="dxa"/>
          </w:tcPr>
          <w:p w14:paraId="2C4C562E" w14:textId="77777777" w:rsidR="000F504F" w:rsidRDefault="00406E9C">
            <w:pPr>
              <w:pStyle w:val="Compact"/>
            </w:pPr>
            <w:r>
              <w:t>Specific volume</w:t>
            </w:r>
          </w:p>
        </w:tc>
        <w:tc>
          <w:tcPr>
            <w:tcW w:w="2640" w:type="dxa"/>
          </w:tcPr>
          <w:p w14:paraId="0792F609" w14:textId="77777777" w:rsidR="000F504F" w:rsidRDefault="00406E9C">
            <w:pPr>
              <w:pStyle w:val="Compact"/>
            </w:pPr>
            <w:r>
              <w:t>m³/kg</w:t>
            </w:r>
          </w:p>
        </w:tc>
      </w:tr>
      <w:tr w:rsidR="000F504F" w14:paraId="2BFC9E38" w14:textId="77777777">
        <w:tc>
          <w:tcPr>
            <w:tcW w:w="2640" w:type="dxa"/>
          </w:tcPr>
          <w:p w14:paraId="00F5F419" w14:textId="77777777" w:rsidR="000F504F" w:rsidRDefault="00406E9C">
            <w:pPr>
              <w:pStyle w:val="Compact"/>
            </w:pPr>
            <m:oMathPara>
              <m:oMath>
                <m:sSub>
                  <m:sSubPr>
                    <m:ctrlPr>
                      <w:rPr>
                        <w:rFonts w:ascii="Cambria Math" w:hAnsi="Cambria Math"/>
                      </w:rPr>
                    </m:ctrlPr>
                  </m:sSubPr>
                  <m:e>
                    <m:r>
                      <w:rPr>
                        <w:rFonts w:ascii="Cambria Math" w:hAnsi="Cambria Math"/>
                      </w:rPr>
                      <m:t>x</m:t>
                    </m:r>
                  </m:e>
                  <m:sub>
                    <m:r>
                      <w:rPr>
                        <w:rFonts w:ascii="Cambria Math" w:hAnsi="Cambria Math"/>
                      </w:rPr>
                      <m:t>eq</m:t>
                    </m:r>
                  </m:sub>
                </m:sSub>
              </m:oMath>
            </m:oMathPara>
          </w:p>
        </w:tc>
        <w:tc>
          <w:tcPr>
            <w:tcW w:w="2640" w:type="dxa"/>
          </w:tcPr>
          <w:p w14:paraId="76A210B6" w14:textId="77777777" w:rsidR="000F504F" w:rsidRDefault="00406E9C">
            <w:pPr>
              <w:pStyle w:val="Compact"/>
            </w:pPr>
            <w:r>
              <w:t>Equilibrium quality</w:t>
            </w:r>
          </w:p>
        </w:tc>
        <w:tc>
          <w:tcPr>
            <w:tcW w:w="2640" w:type="dxa"/>
          </w:tcPr>
          <w:p w14:paraId="426807B6" w14:textId="77777777" w:rsidR="000F504F" w:rsidRDefault="00406E9C">
            <w:pPr>
              <w:pStyle w:val="Compact"/>
            </w:pPr>
            <w:r>
              <w:t>—</w:t>
            </w:r>
          </w:p>
        </w:tc>
      </w:tr>
      <w:tr w:rsidR="000F504F" w14:paraId="1CB56EFE" w14:textId="77777777">
        <w:tc>
          <w:tcPr>
            <w:tcW w:w="2640" w:type="dxa"/>
          </w:tcPr>
          <w:p w14:paraId="154EA0AA" w14:textId="77777777" w:rsidR="000F504F" w:rsidRDefault="00406E9C">
            <w:pPr>
              <w:pStyle w:val="Compact"/>
            </w:pPr>
            <m:oMathPara>
              <m:oMath>
                <m:sSub>
                  <m:sSubPr>
                    <m:ctrlPr>
                      <w:rPr>
                        <w:rFonts w:ascii="Cambria Math" w:hAnsi="Cambria Math"/>
                      </w:rPr>
                    </m:ctrlPr>
                  </m:sSubPr>
                  <m:e>
                    <m:r>
                      <w:rPr>
                        <w:rFonts w:ascii="Cambria Math" w:hAnsi="Cambria Math"/>
                      </w:rPr>
                      <m:t>α</m:t>
                    </m:r>
                  </m:e>
                  <m:sub>
                    <m:r>
                      <w:rPr>
                        <w:rFonts w:ascii="Cambria Math" w:hAnsi="Cambria Math"/>
                      </w:rPr>
                      <m:t>D</m:t>
                    </m:r>
                  </m:sub>
                </m:sSub>
              </m:oMath>
            </m:oMathPara>
          </w:p>
        </w:tc>
        <w:tc>
          <w:tcPr>
            <w:tcW w:w="2640" w:type="dxa"/>
          </w:tcPr>
          <w:p w14:paraId="047656D4" w14:textId="77777777" w:rsidR="000F504F" w:rsidRDefault="00406E9C">
            <w:pPr>
              <w:pStyle w:val="Compact"/>
            </w:pPr>
            <w:r>
              <w:t>Doppler coefficient</w:t>
            </w:r>
          </w:p>
        </w:tc>
        <w:tc>
          <w:tcPr>
            <w:tcW w:w="2640" w:type="dxa"/>
          </w:tcPr>
          <w:p w14:paraId="4AEDB7EA" w14:textId="77777777" w:rsidR="000F504F" w:rsidRDefault="00406E9C">
            <w:pPr>
              <w:pStyle w:val="Compact"/>
            </w:pPr>
            <w:r>
              <w:t>pcm/°C</w:t>
            </w:r>
          </w:p>
        </w:tc>
      </w:tr>
      <w:tr w:rsidR="000F504F" w14:paraId="34B046BF" w14:textId="77777777">
        <w:tc>
          <w:tcPr>
            <w:tcW w:w="2640" w:type="dxa"/>
          </w:tcPr>
          <w:p w14:paraId="776FB7B9" w14:textId="77777777" w:rsidR="000F504F" w:rsidRDefault="00406E9C">
            <w:pPr>
              <w:pStyle w:val="Compact"/>
            </w:pPr>
            <m:oMathPara>
              <m:oMath>
                <m:r>
                  <w:rPr>
                    <w:rFonts w:ascii="Cambria Math" w:hAnsi="Cambria Math"/>
                  </w:rPr>
                  <m:t>β</m:t>
                </m:r>
              </m:oMath>
            </m:oMathPara>
          </w:p>
        </w:tc>
        <w:tc>
          <w:tcPr>
            <w:tcW w:w="2640" w:type="dxa"/>
          </w:tcPr>
          <w:p w14:paraId="13E82FEB" w14:textId="77777777" w:rsidR="000F504F" w:rsidRDefault="00406E9C">
            <w:pPr>
              <w:pStyle w:val="Compact"/>
            </w:pPr>
            <w:r>
              <w:t>Delayed neutron fraction</w:t>
            </w:r>
          </w:p>
        </w:tc>
        <w:tc>
          <w:tcPr>
            <w:tcW w:w="2640" w:type="dxa"/>
          </w:tcPr>
          <w:p w14:paraId="4D82F9A6" w14:textId="77777777" w:rsidR="000F504F" w:rsidRDefault="00406E9C">
            <w:pPr>
              <w:pStyle w:val="Compact"/>
            </w:pPr>
            <w:r>
              <w:t>—</w:t>
            </w:r>
          </w:p>
        </w:tc>
      </w:tr>
      <w:tr w:rsidR="000F504F" w14:paraId="1E2BB024" w14:textId="77777777">
        <w:tc>
          <w:tcPr>
            <w:tcW w:w="2640" w:type="dxa"/>
          </w:tcPr>
          <w:p w14:paraId="6996E760" w14:textId="77777777" w:rsidR="000F504F" w:rsidRDefault="00406E9C">
            <w:pPr>
              <w:pStyle w:val="Compact"/>
            </w:pPr>
            <m:oMathPara>
              <m:oMath>
                <m:r>
                  <w:rPr>
                    <w:rFonts w:ascii="Cambria Math" w:hAnsi="Cambria Math"/>
                  </w:rPr>
                  <m:t>Λ</m:t>
                </m:r>
              </m:oMath>
            </m:oMathPara>
          </w:p>
        </w:tc>
        <w:tc>
          <w:tcPr>
            <w:tcW w:w="2640" w:type="dxa"/>
          </w:tcPr>
          <w:p w14:paraId="5D372D7B" w14:textId="77777777" w:rsidR="000F504F" w:rsidRDefault="00406E9C">
            <w:pPr>
              <w:pStyle w:val="Compact"/>
            </w:pPr>
            <w:r>
              <w:t>Prompt neutron generation time</w:t>
            </w:r>
          </w:p>
        </w:tc>
        <w:tc>
          <w:tcPr>
            <w:tcW w:w="2640" w:type="dxa"/>
          </w:tcPr>
          <w:p w14:paraId="28D8BF32" w14:textId="77777777" w:rsidR="000F504F" w:rsidRDefault="00406E9C">
            <w:pPr>
              <w:pStyle w:val="Compact"/>
            </w:pPr>
            <w:r>
              <w:t>s</w:t>
            </w:r>
          </w:p>
        </w:tc>
      </w:tr>
      <w:tr w:rsidR="000F504F" w14:paraId="11CB6503" w14:textId="77777777">
        <w:tc>
          <w:tcPr>
            <w:tcW w:w="2640" w:type="dxa"/>
          </w:tcPr>
          <w:p w14:paraId="0D1119CA" w14:textId="77777777" w:rsidR="000F504F" w:rsidRDefault="00406E9C">
            <w:pPr>
              <w:pStyle w:val="Compact"/>
            </w:pPr>
            <m:oMathPara>
              <m:oMath>
                <m:r>
                  <w:rPr>
                    <w:rFonts w:ascii="Cambria Math" w:hAnsi="Cambria Math"/>
                  </w:rPr>
                  <m:t>ρ</m:t>
                </m:r>
              </m:oMath>
            </m:oMathPara>
          </w:p>
        </w:tc>
        <w:tc>
          <w:tcPr>
            <w:tcW w:w="2640" w:type="dxa"/>
          </w:tcPr>
          <w:p w14:paraId="64172383" w14:textId="77777777" w:rsidR="000F504F" w:rsidRDefault="00406E9C">
            <w:pPr>
              <w:pStyle w:val="Compact"/>
            </w:pPr>
            <w:r>
              <w:t>Reactivity or density, depending on context</w:t>
            </w:r>
          </w:p>
        </w:tc>
        <w:tc>
          <w:tcPr>
            <w:tcW w:w="2640" w:type="dxa"/>
          </w:tcPr>
          <w:p w14:paraId="66BA3D37" w14:textId="77777777" w:rsidR="000F504F" w:rsidRDefault="00406E9C">
            <w:pPr>
              <w:pStyle w:val="Compact"/>
            </w:pPr>
            <w:r>
              <w:t>— or kg/m³</w:t>
            </w:r>
          </w:p>
        </w:tc>
      </w:tr>
      <w:tr w:rsidR="000F504F" w14:paraId="230F0F5F" w14:textId="77777777">
        <w:tc>
          <w:tcPr>
            <w:tcW w:w="2640" w:type="dxa"/>
          </w:tcPr>
          <w:p w14:paraId="42EEEB7F" w14:textId="77777777" w:rsidR="000F504F" w:rsidRDefault="00406E9C">
            <w:pPr>
              <w:pStyle w:val="Compact"/>
            </w:pPr>
            <m:oMathPara>
              <m:oMath>
                <m:r>
                  <w:rPr>
                    <w:rFonts w:ascii="Cambria Math" w:hAnsi="Cambria Math"/>
                  </w:rPr>
                  <m:t>σ</m:t>
                </m:r>
              </m:oMath>
            </m:oMathPara>
          </w:p>
        </w:tc>
        <w:tc>
          <w:tcPr>
            <w:tcW w:w="2640" w:type="dxa"/>
          </w:tcPr>
          <w:p w14:paraId="62CD44F2" w14:textId="77777777" w:rsidR="000F504F" w:rsidRDefault="00406E9C">
            <w:pPr>
              <w:pStyle w:val="Compact"/>
            </w:pPr>
            <w:r>
              <w:t>Stefan-Boltzmann constant when used in radiation</w:t>
            </w:r>
          </w:p>
        </w:tc>
        <w:tc>
          <w:tcPr>
            <w:tcW w:w="2640" w:type="dxa"/>
          </w:tcPr>
          <w:p w14:paraId="77DAE1A3" w14:textId="77777777" w:rsidR="000F504F" w:rsidRDefault="00406E9C">
            <w:pPr>
              <w:pStyle w:val="Compact"/>
            </w:pPr>
            <w:r>
              <w:t>W/m²-K⁴</w:t>
            </w:r>
          </w:p>
        </w:tc>
      </w:tr>
    </w:tbl>
    <w:p w14:paraId="487F9961" w14:textId="77777777" w:rsidR="0074712A" w:rsidRDefault="0074712A">
      <w:pPr>
        <w:pStyle w:val="Heading1"/>
        <w:keepNext/>
      </w:pPr>
      <w:bookmarkStart w:id="103" w:name="appendix-b-model-flags-reference"/>
      <w:bookmarkEnd w:id="101"/>
      <w:r>
        <w:br w:type="page"/>
      </w:r>
    </w:p>
    <w:p w14:paraId="13CD6B62" w14:textId="75B8AADB" w:rsidR="000F504F" w:rsidRDefault="00406E9C">
      <w:pPr>
        <w:pStyle w:val="Heading1"/>
        <w:keepNext/>
      </w:pPr>
      <w:bookmarkStart w:id="104" w:name="_Toc231232946"/>
      <w:r>
        <w:lastRenderedPageBreak/>
        <w:t>Appendix B — Model Flags Reference</w:t>
      </w:r>
      <w:bookmarkEnd w:id="104"/>
    </w:p>
    <w:tbl>
      <w:tblPr>
        <w:tblStyle w:val="Table"/>
        <w:tblW w:w="5000" w:type="pct"/>
        <w:tblLayout w:type="fixed"/>
        <w:tblLook w:val="0020" w:firstRow="1" w:lastRow="0" w:firstColumn="0" w:lastColumn="0" w:noHBand="0" w:noVBand="0"/>
      </w:tblPr>
      <w:tblGrid>
        <w:gridCol w:w="3003"/>
        <w:gridCol w:w="4003"/>
        <w:gridCol w:w="3002"/>
      </w:tblGrid>
      <w:tr w:rsidR="000F504F" w14:paraId="6A542393" w14:textId="77777777" w:rsidTr="000F504F">
        <w:trPr>
          <w:cnfStyle w:val="100000000000" w:firstRow="1" w:lastRow="0" w:firstColumn="0" w:lastColumn="0" w:oddVBand="0" w:evenVBand="0" w:oddHBand="0" w:evenHBand="0" w:firstRowFirstColumn="0" w:firstRowLastColumn="0" w:lastRowFirstColumn="0" w:lastRowLastColumn="0"/>
          <w:tblHeader/>
        </w:trPr>
        <w:tc>
          <w:tcPr>
            <w:tcW w:w="2376" w:type="dxa"/>
          </w:tcPr>
          <w:p w14:paraId="4A9D4719" w14:textId="77777777" w:rsidR="000F504F" w:rsidRDefault="00406E9C">
            <w:pPr>
              <w:pStyle w:val="Compact"/>
            </w:pPr>
            <w:r>
              <w:t>Flag</w:t>
            </w:r>
          </w:p>
        </w:tc>
        <w:tc>
          <w:tcPr>
            <w:tcW w:w="3168" w:type="dxa"/>
          </w:tcPr>
          <w:p w14:paraId="0EBD6247" w14:textId="77777777" w:rsidR="000F504F" w:rsidRDefault="00406E9C">
            <w:pPr>
              <w:pStyle w:val="Compact"/>
              <w:jc w:val="right"/>
            </w:pPr>
            <w:r>
              <w:t>Default</w:t>
            </w:r>
          </w:p>
        </w:tc>
        <w:tc>
          <w:tcPr>
            <w:tcW w:w="2376" w:type="dxa"/>
          </w:tcPr>
          <w:p w14:paraId="126FE941" w14:textId="77777777" w:rsidR="000F504F" w:rsidRDefault="00406E9C">
            <w:pPr>
              <w:pStyle w:val="Compact"/>
            </w:pPr>
            <w:r>
              <w:t>Activates or controls</w:t>
            </w:r>
          </w:p>
        </w:tc>
      </w:tr>
      <w:tr w:rsidR="000F504F" w14:paraId="635506E4" w14:textId="77777777">
        <w:tc>
          <w:tcPr>
            <w:tcW w:w="2376" w:type="dxa"/>
          </w:tcPr>
          <w:p w14:paraId="38E5AAC0" w14:textId="77777777" w:rsidR="000F504F" w:rsidRDefault="00406E9C">
            <w:pPr>
              <w:pStyle w:val="Compact"/>
            </w:pPr>
            <w:r>
              <w:rPr>
                <w:rStyle w:val="VerbatimChar"/>
              </w:rPr>
              <w:t>core_flag</w:t>
            </w:r>
          </w:p>
        </w:tc>
        <w:tc>
          <w:tcPr>
            <w:tcW w:w="3168" w:type="dxa"/>
          </w:tcPr>
          <w:p w14:paraId="5DD45440" w14:textId="77777777" w:rsidR="000F504F" w:rsidRDefault="00406E9C">
            <w:pPr>
              <w:pStyle w:val="Compact"/>
              <w:jc w:val="right"/>
            </w:pPr>
            <w:r>
              <w:t>1</w:t>
            </w:r>
          </w:p>
        </w:tc>
        <w:tc>
          <w:tcPr>
            <w:tcW w:w="2376" w:type="dxa"/>
          </w:tcPr>
          <w:p w14:paraId="35B1068C" w14:textId="77777777" w:rsidR="000F504F" w:rsidRDefault="00406E9C">
            <w:pPr>
              <w:pStyle w:val="Compact"/>
            </w:pPr>
            <w:r>
              <w:t>Cladding slab conduction, Dittus-Boelter HTC, hot-channel, DNBR, and fuel integrity metrics.</w:t>
            </w:r>
          </w:p>
        </w:tc>
      </w:tr>
      <w:tr w:rsidR="000F504F" w14:paraId="57E0A47F" w14:textId="77777777">
        <w:tc>
          <w:tcPr>
            <w:tcW w:w="2376" w:type="dxa"/>
          </w:tcPr>
          <w:p w14:paraId="4FF65775" w14:textId="77777777" w:rsidR="000F504F" w:rsidRDefault="00406E9C">
            <w:pPr>
              <w:pStyle w:val="Compact"/>
            </w:pPr>
            <w:r>
              <w:rPr>
                <w:rStyle w:val="VerbatimChar"/>
              </w:rPr>
              <w:t>pump_flag</w:t>
            </w:r>
          </w:p>
        </w:tc>
        <w:tc>
          <w:tcPr>
            <w:tcW w:w="3168" w:type="dxa"/>
          </w:tcPr>
          <w:p w14:paraId="3885FC4B" w14:textId="77777777" w:rsidR="000F504F" w:rsidRDefault="00406E9C">
            <w:pPr>
              <w:pStyle w:val="Compact"/>
              <w:jc w:val="right"/>
            </w:pPr>
            <w:r>
              <w:t>1</w:t>
            </w:r>
          </w:p>
        </w:tc>
        <w:tc>
          <w:tcPr>
            <w:tcW w:w="2376" w:type="dxa"/>
          </w:tcPr>
          <w:p w14:paraId="072CAC74" w14:textId="77777777" w:rsidR="000F504F" w:rsidRDefault="00406E9C">
            <w:pPr>
              <w:pStyle w:val="Compact"/>
            </w:pPr>
            <w:r>
              <w:t>RCP coastdown and primary-flow scaling.</w:t>
            </w:r>
          </w:p>
        </w:tc>
      </w:tr>
      <w:tr w:rsidR="000F504F" w14:paraId="1255C3AE" w14:textId="77777777">
        <w:tc>
          <w:tcPr>
            <w:tcW w:w="2376" w:type="dxa"/>
          </w:tcPr>
          <w:p w14:paraId="60138B7B" w14:textId="77777777" w:rsidR="000F504F" w:rsidRDefault="00406E9C">
            <w:pPr>
              <w:pStyle w:val="Compact"/>
            </w:pPr>
            <w:r>
              <w:rPr>
                <w:rStyle w:val="VerbatimChar"/>
              </w:rPr>
              <w:t>sg_flag</w:t>
            </w:r>
          </w:p>
        </w:tc>
        <w:tc>
          <w:tcPr>
            <w:tcW w:w="3168" w:type="dxa"/>
          </w:tcPr>
          <w:p w14:paraId="68DAC460" w14:textId="77777777" w:rsidR="000F504F" w:rsidRDefault="00406E9C">
            <w:pPr>
              <w:pStyle w:val="Compact"/>
              <w:jc w:val="right"/>
            </w:pPr>
            <w:r>
              <w:t>1</w:t>
            </w:r>
          </w:p>
        </w:tc>
        <w:tc>
          <w:tcPr>
            <w:tcW w:w="2376" w:type="dxa"/>
          </w:tcPr>
          <w:p w14:paraId="2BAC76C9" w14:textId="77777777" w:rsidR="000F504F" w:rsidRDefault="00406E9C">
            <w:pPr>
              <w:pStyle w:val="Compact"/>
            </w:pPr>
            <w:r>
              <w:t>Steam-generator heat removal.</w:t>
            </w:r>
          </w:p>
        </w:tc>
      </w:tr>
      <w:tr w:rsidR="000F504F" w14:paraId="6A86BDCA" w14:textId="77777777">
        <w:tc>
          <w:tcPr>
            <w:tcW w:w="2376" w:type="dxa"/>
          </w:tcPr>
          <w:p w14:paraId="7F40A8B3" w14:textId="77777777" w:rsidR="000F504F" w:rsidRDefault="00406E9C">
            <w:pPr>
              <w:pStyle w:val="Compact"/>
            </w:pPr>
            <w:r>
              <w:rPr>
                <w:rStyle w:val="VerbatimChar"/>
              </w:rPr>
              <w:t>sg_table_flag</w:t>
            </w:r>
          </w:p>
        </w:tc>
        <w:tc>
          <w:tcPr>
            <w:tcW w:w="3168" w:type="dxa"/>
          </w:tcPr>
          <w:p w14:paraId="6E94C799" w14:textId="77777777" w:rsidR="000F504F" w:rsidRDefault="00406E9C">
            <w:pPr>
              <w:pStyle w:val="Compact"/>
              <w:jc w:val="right"/>
            </w:pPr>
            <w:r>
              <w:t>0</w:t>
            </w:r>
          </w:p>
        </w:tc>
        <w:tc>
          <w:tcPr>
            <w:tcW w:w="2376" w:type="dxa"/>
          </w:tcPr>
          <w:p w14:paraId="5CBA1A10" w14:textId="77777777" w:rsidR="000F504F" w:rsidRDefault="00406E9C">
            <w:pPr>
              <w:pStyle w:val="Compact"/>
            </w:pPr>
            <w:r>
              <w:t>Prescribed steam-generator heat removal from input table.</w:t>
            </w:r>
          </w:p>
        </w:tc>
      </w:tr>
      <w:tr w:rsidR="000F504F" w14:paraId="2BEDD2D2" w14:textId="77777777">
        <w:tc>
          <w:tcPr>
            <w:tcW w:w="2376" w:type="dxa"/>
          </w:tcPr>
          <w:p w14:paraId="4E2BD063" w14:textId="77777777" w:rsidR="000F504F" w:rsidRDefault="00406E9C">
            <w:pPr>
              <w:pStyle w:val="Compact"/>
            </w:pPr>
            <w:r>
              <w:rPr>
                <w:rStyle w:val="VerbatimChar"/>
              </w:rPr>
              <w:t>ria_flag</w:t>
            </w:r>
          </w:p>
        </w:tc>
        <w:tc>
          <w:tcPr>
            <w:tcW w:w="3168" w:type="dxa"/>
          </w:tcPr>
          <w:p w14:paraId="01E65649" w14:textId="77777777" w:rsidR="000F504F" w:rsidRDefault="00406E9C">
            <w:pPr>
              <w:pStyle w:val="Compact"/>
              <w:jc w:val="right"/>
            </w:pPr>
            <w:r>
              <w:t>0</w:t>
            </w:r>
          </w:p>
        </w:tc>
        <w:tc>
          <w:tcPr>
            <w:tcW w:w="2376" w:type="dxa"/>
          </w:tcPr>
          <w:p w14:paraId="7C88ECB5" w14:textId="77777777" w:rsidR="000F504F" w:rsidRDefault="00406E9C">
            <w:pPr>
              <w:pStyle w:val="Compact"/>
            </w:pPr>
            <w:r>
              <w:t>RIA mode with external reactivity table.</w:t>
            </w:r>
          </w:p>
        </w:tc>
      </w:tr>
      <w:tr w:rsidR="000F504F" w14:paraId="6E01FFF2" w14:textId="77777777">
        <w:tc>
          <w:tcPr>
            <w:tcW w:w="2376" w:type="dxa"/>
          </w:tcPr>
          <w:p w14:paraId="5DBD7E74" w14:textId="77777777" w:rsidR="000F504F" w:rsidRDefault="00406E9C">
            <w:pPr>
              <w:pStyle w:val="Compact"/>
            </w:pPr>
            <w:r>
              <w:rPr>
                <w:rStyle w:val="VerbatimChar"/>
              </w:rPr>
              <w:t>pja_flag</w:t>
            </w:r>
          </w:p>
        </w:tc>
        <w:tc>
          <w:tcPr>
            <w:tcW w:w="3168" w:type="dxa"/>
          </w:tcPr>
          <w:p w14:paraId="49A922DF" w14:textId="77777777" w:rsidR="000F504F" w:rsidRDefault="00406E9C">
            <w:pPr>
              <w:pStyle w:val="Compact"/>
              <w:jc w:val="right"/>
            </w:pPr>
            <w:r>
              <w:t>0</w:t>
            </w:r>
          </w:p>
        </w:tc>
        <w:tc>
          <w:tcPr>
            <w:tcW w:w="2376" w:type="dxa"/>
          </w:tcPr>
          <w:p w14:paraId="78ABB314" w14:textId="77777777" w:rsidR="000F504F" w:rsidRDefault="00406E9C">
            <w:pPr>
              <w:pStyle w:val="Compact"/>
            </w:pPr>
            <w:r>
              <w:t>Prompt jump approximation for RIA calculations.</w:t>
            </w:r>
          </w:p>
        </w:tc>
      </w:tr>
      <w:tr w:rsidR="000F504F" w14:paraId="39331775" w14:textId="77777777">
        <w:tc>
          <w:tcPr>
            <w:tcW w:w="2376" w:type="dxa"/>
          </w:tcPr>
          <w:p w14:paraId="5DC4E684" w14:textId="77777777" w:rsidR="000F504F" w:rsidRDefault="00406E9C">
            <w:pPr>
              <w:pStyle w:val="Compact"/>
            </w:pPr>
            <w:r>
              <w:rPr>
                <w:rStyle w:val="VerbatimChar"/>
              </w:rPr>
              <w:t>cond_flag</w:t>
            </w:r>
          </w:p>
        </w:tc>
        <w:tc>
          <w:tcPr>
            <w:tcW w:w="3168" w:type="dxa"/>
          </w:tcPr>
          <w:p w14:paraId="65CC3CAE" w14:textId="77777777" w:rsidR="000F504F" w:rsidRDefault="00406E9C">
            <w:pPr>
              <w:pStyle w:val="Compact"/>
              <w:jc w:val="right"/>
            </w:pPr>
            <w:r>
              <w:t>0</w:t>
            </w:r>
          </w:p>
        </w:tc>
        <w:tc>
          <w:tcPr>
            <w:tcW w:w="2376" w:type="dxa"/>
          </w:tcPr>
          <w:p w14:paraId="6740BA2C" w14:textId="77777777" w:rsidR="000F504F" w:rsidRDefault="00406E9C">
            <w:pPr>
              <w:pStyle w:val="Compact"/>
            </w:pPr>
            <w:r>
              <w:t>Generic heat-structure model.</w:t>
            </w:r>
          </w:p>
        </w:tc>
      </w:tr>
      <w:tr w:rsidR="000F504F" w14:paraId="4E039D82" w14:textId="77777777">
        <w:tc>
          <w:tcPr>
            <w:tcW w:w="2376" w:type="dxa"/>
          </w:tcPr>
          <w:p w14:paraId="7817A570" w14:textId="77777777" w:rsidR="000F504F" w:rsidRDefault="00406E9C">
            <w:pPr>
              <w:pStyle w:val="Compact"/>
            </w:pPr>
            <w:r>
              <w:rPr>
                <w:rStyle w:val="VerbatimChar"/>
              </w:rPr>
              <w:t>full_power_flag</w:t>
            </w:r>
          </w:p>
        </w:tc>
        <w:tc>
          <w:tcPr>
            <w:tcW w:w="3168" w:type="dxa"/>
          </w:tcPr>
          <w:p w14:paraId="3E32B3E5" w14:textId="77777777" w:rsidR="000F504F" w:rsidRDefault="00406E9C">
            <w:pPr>
              <w:pStyle w:val="Compact"/>
              <w:jc w:val="right"/>
            </w:pPr>
            <w:r>
              <w:t>0</w:t>
            </w:r>
          </w:p>
        </w:tc>
        <w:tc>
          <w:tcPr>
            <w:tcW w:w="2376" w:type="dxa"/>
          </w:tcPr>
          <w:p w14:paraId="3A2C3BEC" w14:textId="77777777" w:rsidR="000F504F" w:rsidRDefault="00406E9C">
            <w:pPr>
              <w:pStyle w:val="Compact"/>
            </w:pPr>
            <w:r>
              <w:t>Holds power at rated and inhibits automatic trip logic for selected ATWS/steady-state cases.</w:t>
            </w:r>
          </w:p>
        </w:tc>
      </w:tr>
      <w:tr w:rsidR="000F504F" w14:paraId="0B2EA611" w14:textId="77777777">
        <w:tc>
          <w:tcPr>
            <w:tcW w:w="2376" w:type="dxa"/>
          </w:tcPr>
          <w:p w14:paraId="7BBE56B8" w14:textId="77777777" w:rsidR="000F504F" w:rsidRDefault="00406E9C">
            <w:pPr>
              <w:pStyle w:val="Compact"/>
            </w:pPr>
            <w:r>
              <w:rPr>
                <w:rStyle w:val="VerbatimChar"/>
              </w:rPr>
              <w:t>scram_on_PORV</w:t>
            </w:r>
          </w:p>
        </w:tc>
        <w:tc>
          <w:tcPr>
            <w:tcW w:w="3168" w:type="dxa"/>
          </w:tcPr>
          <w:p w14:paraId="5011D085" w14:textId="77777777" w:rsidR="000F504F" w:rsidRDefault="00406E9C">
            <w:pPr>
              <w:pStyle w:val="Compact"/>
              <w:jc w:val="right"/>
            </w:pPr>
            <w:r>
              <w:t>0</w:t>
            </w:r>
          </w:p>
        </w:tc>
        <w:tc>
          <w:tcPr>
            <w:tcW w:w="2376" w:type="dxa"/>
          </w:tcPr>
          <w:p w14:paraId="56796BEF" w14:textId="77777777" w:rsidR="000F504F" w:rsidRDefault="00406E9C">
            <w:pPr>
              <w:pStyle w:val="Compact"/>
            </w:pPr>
            <w:r>
              <w:t>Initiates reactor trip when PORV first opens.</w:t>
            </w:r>
          </w:p>
        </w:tc>
      </w:tr>
      <w:tr w:rsidR="000F504F" w14:paraId="4514F156" w14:textId="77777777">
        <w:tc>
          <w:tcPr>
            <w:tcW w:w="2376" w:type="dxa"/>
          </w:tcPr>
          <w:p w14:paraId="17A57F6B" w14:textId="77777777" w:rsidR="000F504F" w:rsidRDefault="00406E9C">
            <w:pPr>
              <w:pStyle w:val="Compact"/>
            </w:pPr>
            <w:r>
              <w:rPr>
                <w:rStyle w:val="VerbatimChar"/>
              </w:rPr>
              <w:t>minimum_output</w:t>
            </w:r>
          </w:p>
        </w:tc>
        <w:tc>
          <w:tcPr>
            <w:tcW w:w="3168" w:type="dxa"/>
          </w:tcPr>
          <w:p w14:paraId="4315E9E9" w14:textId="77777777" w:rsidR="000F504F" w:rsidRDefault="00406E9C">
            <w:pPr>
              <w:pStyle w:val="Compact"/>
              <w:jc w:val="right"/>
            </w:pPr>
            <w:r>
              <w:t>0</w:t>
            </w:r>
          </w:p>
        </w:tc>
        <w:tc>
          <w:tcPr>
            <w:tcW w:w="2376" w:type="dxa"/>
          </w:tcPr>
          <w:p w14:paraId="3ABB78C5" w14:textId="77777777" w:rsidR="000F504F" w:rsidRDefault="00406E9C">
            <w:pPr>
              <w:pStyle w:val="Compact"/>
            </w:pPr>
            <w:r>
              <w:t>CSV-only output mode; skips selected Excel and figure generation.</w:t>
            </w:r>
          </w:p>
        </w:tc>
      </w:tr>
      <w:tr w:rsidR="000F504F" w14:paraId="3E18FDB7" w14:textId="77777777">
        <w:tc>
          <w:tcPr>
            <w:tcW w:w="2376" w:type="dxa"/>
          </w:tcPr>
          <w:p w14:paraId="4F7B4CEE" w14:textId="77777777" w:rsidR="000F504F" w:rsidRDefault="00406E9C">
            <w:pPr>
              <w:pStyle w:val="Compact"/>
            </w:pPr>
            <w:r>
              <w:rPr>
                <w:rStyle w:val="VerbatimChar"/>
              </w:rPr>
              <w:t>si_enabled</w:t>
            </w:r>
          </w:p>
        </w:tc>
        <w:tc>
          <w:tcPr>
            <w:tcW w:w="3168" w:type="dxa"/>
          </w:tcPr>
          <w:p w14:paraId="48431463" w14:textId="77777777" w:rsidR="000F504F" w:rsidRDefault="00406E9C">
            <w:pPr>
              <w:pStyle w:val="Compact"/>
              <w:jc w:val="right"/>
            </w:pPr>
            <w:r>
              <w:t>True</w:t>
            </w:r>
          </w:p>
        </w:tc>
        <w:tc>
          <w:tcPr>
            <w:tcW w:w="2376" w:type="dxa"/>
          </w:tcPr>
          <w:p w14:paraId="5071F035" w14:textId="77777777" w:rsidR="000F504F" w:rsidRDefault="00406E9C">
            <w:pPr>
              <w:pStyle w:val="Compact"/>
            </w:pPr>
            <w:r>
              <w:t>Enables ECCS injection models.</w:t>
            </w:r>
          </w:p>
        </w:tc>
      </w:tr>
      <w:tr w:rsidR="000F504F" w14:paraId="76BD6747" w14:textId="77777777">
        <w:tc>
          <w:tcPr>
            <w:tcW w:w="2376" w:type="dxa"/>
          </w:tcPr>
          <w:p w14:paraId="5FCA34DD" w14:textId="77777777" w:rsidR="000F504F" w:rsidRDefault="00406E9C">
            <w:pPr>
              <w:pStyle w:val="Compact"/>
            </w:pPr>
            <w:r>
              <w:rPr>
                <w:rStyle w:val="VerbatimChar"/>
              </w:rPr>
              <w:t>pzr_control_enabled</w:t>
            </w:r>
          </w:p>
        </w:tc>
        <w:tc>
          <w:tcPr>
            <w:tcW w:w="3168" w:type="dxa"/>
          </w:tcPr>
          <w:p w14:paraId="6B5AE4E3" w14:textId="77777777" w:rsidR="000F504F" w:rsidRDefault="00406E9C">
            <w:pPr>
              <w:pStyle w:val="Compact"/>
              <w:jc w:val="right"/>
            </w:pPr>
            <w:r>
              <w:t>0</w:t>
            </w:r>
          </w:p>
        </w:tc>
        <w:tc>
          <w:tcPr>
            <w:tcW w:w="2376" w:type="dxa"/>
          </w:tcPr>
          <w:p w14:paraId="190BDA2B" w14:textId="77777777" w:rsidR="000F504F" w:rsidRDefault="00406E9C">
            <w:pPr>
              <w:pStyle w:val="Compact"/>
            </w:pPr>
            <w:r>
              <w:t>Enables pressurizer heater/spray PI controller for steady-state initialization studies.</w:t>
            </w:r>
          </w:p>
        </w:tc>
      </w:tr>
    </w:tbl>
    <w:p w14:paraId="6A71BBEC" w14:textId="77777777" w:rsidR="00413995" w:rsidRDefault="00413995">
      <w:pPr>
        <w:pStyle w:val="Heading1"/>
        <w:keepNext/>
      </w:pPr>
      <w:bookmarkStart w:id="105" w:name="references"/>
      <w:bookmarkEnd w:id="103"/>
      <w:r>
        <w:br w:type="page"/>
      </w:r>
    </w:p>
    <w:p w14:paraId="5B300FD1" w14:textId="742FD7AB" w:rsidR="000F504F" w:rsidRDefault="00406E9C">
      <w:pPr>
        <w:pStyle w:val="Heading1"/>
        <w:keepNext/>
      </w:pPr>
      <w:bookmarkStart w:id="106" w:name="_Toc231232947"/>
      <w:r>
        <w:lastRenderedPageBreak/>
        <w:t>References</w:t>
      </w:r>
      <w:bookmarkEnd w:id="106"/>
    </w:p>
    <w:p w14:paraId="5DDBBD09" w14:textId="77777777" w:rsidR="000F504F" w:rsidRDefault="00406E9C">
      <w:pPr>
        <w:pStyle w:val="FirstParagraph"/>
      </w:pPr>
      <w:r>
        <w:t>ANSI/ANS-5.1 (1979). American National Standard for Decay Heat Power in Light Water Reactors.</w:t>
      </w:r>
    </w:p>
    <w:p w14:paraId="51EFE2A0" w14:textId="77777777" w:rsidR="000F504F" w:rsidRDefault="00406E9C">
      <w:pPr>
        <w:pStyle w:val="BodyText"/>
      </w:pPr>
      <w:r>
        <w:t>Baker, L. and Just, L.C. (1962). Studies of Metal-Water Reactions at High Temperatures. ANL-6548.</w:t>
      </w:r>
    </w:p>
    <w:p w14:paraId="7AD60497" w14:textId="77777777" w:rsidR="000F504F" w:rsidRDefault="00406E9C">
      <w:pPr>
        <w:pStyle w:val="BodyText"/>
      </w:pPr>
      <w:r>
        <w:t>Biasi, L. et al. (1967). Studies on burnout for flowing steam-water mixtures. Energia Nucleare, 14(9), 530-536.</w:t>
      </w:r>
    </w:p>
    <w:p w14:paraId="7F7B0758" w14:textId="77777777" w:rsidR="000F504F" w:rsidRDefault="00406E9C">
      <w:pPr>
        <w:pStyle w:val="BodyText"/>
      </w:pPr>
      <w:r>
        <w:t>Bowring, R.W. (1972). Simple but accurate round tube, uniform heat flux, dryout correlation over the pressure range 0.7 to 17 MN/m². AEEW-R789.</w:t>
      </w:r>
    </w:p>
    <w:p w14:paraId="2DD5A9CA" w14:textId="77777777" w:rsidR="000F504F" w:rsidRDefault="00406E9C">
      <w:pPr>
        <w:pStyle w:val="BodyText"/>
      </w:pPr>
      <w:r>
        <w:t>Bromley, L.A. (1950). Heat transfer in stable film boiling. Chemical Engineering Progress, 46(5), 221-227.</w:t>
      </w:r>
    </w:p>
    <w:p w14:paraId="78DF76BB" w14:textId="77777777" w:rsidR="000F504F" w:rsidRDefault="00406E9C">
      <w:pPr>
        <w:pStyle w:val="BodyText"/>
      </w:pPr>
      <w:r>
        <w:t>Churchill, S.W. and Chu, H.H.S. (1975). Correlating equations for laminar and turbulent free convection from a vertical plate. International Journal of Heat and Mass Transfer, 18(11), 1323-1329.</w:t>
      </w:r>
    </w:p>
    <w:p w14:paraId="2FDAE7A9" w14:textId="77777777" w:rsidR="000F504F" w:rsidRDefault="00406E9C">
      <w:pPr>
        <w:pStyle w:val="BodyText"/>
      </w:pPr>
      <w:r>
        <w:t>Dittus, F.W. and Boelter, L.M.K. (1930). Heat transfer in automobile radiators. University of California Publications in Engineering, 2(13), 443-461.</w:t>
      </w:r>
    </w:p>
    <w:p w14:paraId="63367CAC" w14:textId="77777777" w:rsidR="00C51312" w:rsidRDefault="00C51312" w:rsidP="00C51312">
      <w:pPr>
        <w:pStyle w:val="BodyText"/>
      </w:pPr>
      <w:r>
        <w:t>Farmer, F.R. (1967). Siting criteria - a new approach. International Atomic Energy Agency Symposium on Containment and Siting of Nuclear Power Plants.</w:t>
      </w:r>
    </w:p>
    <w:p w14:paraId="7BF5FE74" w14:textId="77777777" w:rsidR="000F504F" w:rsidRDefault="00406E9C">
      <w:pPr>
        <w:pStyle w:val="BodyText"/>
      </w:pPr>
      <w:r>
        <w:t>Fauske, H.K. (1962). Contribution to the theory of two-phase, one-component critical flow. ANL-6633.</w:t>
      </w:r>
    </w:p>
    <w:p w14:paraId="272FB3F5" w14:textId="77777777" w:rsidR="000F504F" w:rsidRDefault="00406E9C">
      <w:pPr>
        <w:pStyle w:val="BodyText"/>
      </w:pPr>
      <w:r>
        <w:t>Henry, R.E. and Fauske, H.K. (1971). The two-phase critical flow of one-component mixtures in nozzles, orifices, and short tubes. Journal of Heat Transfer.</w:t>
      </w:r>
    </w:p>
    <w:p w14:paraId="6C1795BE" w14:textId="77777777" w:rsidR="000F504F" w:rsidRDefault="00406E9C">
      <w:pPr>
        <w:pStyle w:val="BodyText"/>
      </w:pPr>
      <w:r>
        <w:t>Liles, D.R. and Reed, W.H. (1978). A semi-implicit method for two-phase fluid dynamics. Journal of Computational Physics, 26(3), 390-407.</w:t>
      </w:r>
    </w:p>
    <w:p w14:paraId="5FD88EC3" w14:textId="77777777" w:rsidR="000F504F" w:rsidRDefault="00406E9C">
      <w:pPr>
        <w:pStyle w:val="BodyText"/>
      </w:pPr>
      <w:r>
        <w:t>Margolis, S.G. and Redfield, J.A. (1966). FLASH: A Program for Digital Simulation of the Loss-of-Coolant Accident. WAPD-TM-534.</w:t>
      </w:r>
    </w:p>
    <w:p w14:paraId="11E9A8AF" w14:textId="77777777" w:rsidR="000F504F" w:rsidRDefault="00406E9C">
      <w:pPr>
        <w:pStyle w:val="BodyText"/>
      </w:pPr>
      <w:r>
        <w:t>Martin, R.P. and Frepoli, C. (Eds.) (2019). Design-Basis Accident Analysis Methods for Light-Water Nuclear Power Plants. World Scientific Publishing.</w:t>
      </w:r>
    </w:p>
    <w:p w14:paraId="4BF8ECE2" w14:textId="77777777" w:rsidR="000F504F" w:rsidRDefault="00406E9C">
      <w:pPr>
        <w:pStyle w:val="BodyText"/>
      </w:pPr>
      <w:r>
        <w:t>Moody, F.J. (1965). Maximum flow rate of a single component, two-phase mixture. ASME Journal of Heat Transfer, 87(1), 134-142.</w:t>
      </w:r>
    </w:p>
    <w:p w14:paraId="6AEF76FF" w14:textId="77777777" w:rsidR="000F504F" w:rsidRDefault="00406E9C">
      <w:pPr>
        <w:pStyle w:val="BodyText"/>
      </w:pPr>
      <w:r>
        <w:t>NEI (2019). NEI 18-04 Rev. 1: Risk-Informed Performance-Based Technology-Inclusive Guidance. Nuclear Energy Institute.</w:t>
      </w:r>
    </w:p>
    <w:p w14:paraId="0AA68B99" w14:textId="77777777" w:rsidR="00C51312" w:rsidRDefault="00C51312" w:rsidP="00C51312">
      <w:pPr>
        <w:pStyle w:val="BodyText"/>
      </w:pPr>
      <w:r>
        <w:t>Martin, R.P. (2011). Quantifying phenomenological importance in best-estimate plus uncertainty analyses. Nuclear Technology, 175(3), 652–662.</w:t>
      </w:r>
    </w:p>
    <w:p w14:paraId="6D4667E3" w14:textId="77777777" w:rsidR="00372D82" w:rsidRDefault="00406E9C">
      <w:pPr>
        <w:pStyle w:val="BodyText"/>
      </w:pPr>
      <w:r>
        <w:t>Martin, R.P. and Nutt, W.T. (2011). Perspectives on the application of order-statistics in best-estimate plus uncertainty nuclear safety analysis. Nuclear Engineering and Design, 241, 274-284.</w:t>
      </w:r>
    </w:p>
    <w:p w14:paraId="324620E2" w14:textId="77777777" w:rsidR="00C51312" w:rsidRDefault="00C51312" w:rsidP="00C51312">
      <w:pPr>
        <w:pStyle w:val="BodyText"/>
      </w:pPr>
      <w:r>
        <w:t>Nutt, W.T. and Wallis, G.B. (2004). Evaluation of nuclear safety from the outputs of computer codes in the presence of uncertainties. Reliability Engineering and System Safety.</w:t>
      </w:r>
    </w:p>
    <w:p w14:paraId="47684FB3" w14:textId="77777777" w:rsidR="00C51312" w:rsidRDefault="00C51312" w:rsidP="00C51312">
      <w:pPr>
        <w:pStyle w:val="BodyText"/>
      </w:pPr>
      <w:r>
        <w:t>Somerville, P.N. (1958). Tables for obtaining non-parametric tolerance limits. Annals of Mathematical Statistics.</w:t>
      </w:r>
    </w:p>
    <w:p w14:paraId="1D6986DD" w14:textId="77777777" w:rsidR="00C51312" w:rsidRDefault="00C51312" w:rsidP="00C51312">
      <w:pPr>
        <w:pStyle w:val="BodyText"/>
      </w:pPr>
      <w:r>
        <w:t>Tong, L.S. and Tang, Y.S. (1997). Boiling Heat Transfer and Two-Phase Flow, 2nd ed. Taylor &amp; Francis.</w:t>
      </w:r>
    </w:p>
    <w:p w14:paraId="7FB506C0" w14:textId="41E112E1" w:rsidR="000F504F" w:rsidRDefault="00C51312">
      <w:pPr>
        <w:pStyle w:val="BodyText"/>
      </w:pPr>
      <w:r>
        <w:t>U.S. Nuclear Regulatory Commission (2020). Regulatory Guide 1.233: Guidance for a Technology-Inclusive, Risk-Informed, and Performance-Based Methodology to Inform the Licensing Basis and Content of Applications for Licenses, Certifications, and Approvals for Non-Light-Water Reactors.</w:t>
      </w:r>
    </w:p>
    <w:p w14:paraId="5ED0E62A" w14:textId="567D1DEC" w:rsidR="000F504F" w:rsidRDefault="00C51312">
      <w:pPr>
        <w:pStyle w:val="BodyText"/>
      </w:pPr>
      <w:r>
        <w:lastRenderedPageBreak/>
        <w:t>U.S. Nuclear Regulatory Commission (2005). Regulatory Guide 1.203: Transient and Accident Analysis Methods.</w:t>
      </w:r>
    </w:p>
    <w:p w14:paraId="7052F63A" w14:textId="5C8FB281" w:rsidR="00C51312" w:rsidRDefault="00C51312" w:rsidP="00C51312">
      <w:pPr>
        <w:pStyle w:val="FirstParagraph"/>
      </w:pPr>
      <w:r>
        <w:t xml:space="preserve">U.S. Nuclear Regulatory Commission (2012), Regulatory Guide 1.183, </w:t>
      </w:r>
      <w:r>
        <w:rPr>
          <w:i/>
          <w:iCs/>
        </w:rPr>
        <w:t>Alternative Radiological Source Terms for Evaluating Design Basis Accidents at Nuclear Power Reactors</w:t>
      </w:r>
      <w:r>
        <w:t>.</w:t>
      </w:r>
    </w:p>
    <w:p w14:paraId="39BCF68C" w14:textId="77777777" w:rsidR="00C51312" w:rsidRDefault="00C51312" w:rsidP="00C51312">
      <w:pPr>
        <w:pStyle w:val="BodyText"/>
      </w:pPr>
      <w:r>
        <w:t xml:space="preserve">U.S. Nuclear Regulatory Commission, NUREG-1465, </w:t>
      </w:r>
      <w:r>
        <w:rPr>
          <w:i/>
          <w:iCs/>
        </w:rPr>
        <w:t>Accident Source Terms for Light-Water Nuclear Power Plants</w:t>
      </w:r>
      <w:r>
        <w:t>.</w:t>
      </w:r>
    </w:p>
    <w:p w14:paraId="214B2CDB" w14:textId="4F6A71BB" w:rsidR="00C51312" w:rsidRDefault="00C51312" w:rsidP="00C51312">
      <w:pPr>
        <w:pStyle w:val="BodyText"/>
      </w:pPr>
      <w:r>
        <w:t xml:space="preserve">U.S. Nuclear Regulatory Commission, </w:t>
      </w:r>
      <w:r>
        <w:rPr>
          <w:i/>
          <w:iCs/>
        </w:rPr>
        <w:t>RADTRAD: A Simplified Model for RADionuclide Transport and Removal and Dose Estimation</w:t>
      </w:r>
      <w:r>
        <w:t>.</w:t>
      </w:r>
    </w:p>
    <w:p w14:paraId="5C0498C9" w14:textId="77777777" w:rsidR="00C51312" w:rsidRDefault="00C51312" w:rsidP="00C51312">
      <w:pPr>
        <w:pStyle w:val="BodyText"/>
      </w:pPr>
      <w:r>
        <w:t xml:space="preserve">U.S. Nuclear Regulatory Commission, Regulatory Guide 1.195, </w:t>
      </w:r>
      <w:r>
        <w:rPr>
          <w:i/>
          <w:iCs/>
        </w:rPr>
        <w:t>Methods and Assumptions for Evaluating Radiological Consequences of Design Basis Accidents at Light-Water Nuclear Power Reactors</w:t>
      </w:r>
      <w:r>
        <w:t>.</w:t>
      </w:r>
    </w:p>
    <w:p w14:paraId="3454D9E5" w14:textId="77777777" w:rsidR="000F504F" w:rsidRDefault="00406E9C">
      <w:pPr>
        <w:pStyle w:val="BodyText"/>
      </w:pPr>
      <w:r>
        <w:t>Wald, A. (1943). An extension of Wilks’ method for setting tolerance limits. Annals of Mathematical Statistics.</w:t>
      </w:r>
    </w:p>
    <w:p w14:paraId="3637FE02" w14:textId="77777777" w:rsidR="000F504F" w:rsidRDefault="00406E9C">
      <w:pPr>
        <w:pStyle w:val="BodyText"/>
      </w:pPr>
      <w:r>
        <w:t>Wallis, G.B. and Nutt, W.T. (2005). On the statistical treatment of multiple limits in safety analysis. Nuclear Engineering and Design.</w:t>
      </w:r>
    </w:p>
    <w:p w14:paraId="1D186813" w14:textId="77777777" w:rsidR="000F504F" w:rsidRDefault="00406E9C">
      <w:pPr>
        <w:pStyle w:val="BodyText"/>
      </w:pPr>
      <w:r>
        <w:t>Wilks, S.S. (1942). Statistical prediction with special reference to the problem of tolerance limits. Annals of Mathematical Statistics.</w:t>
      </w:r>
    </w:p>
    <w:p w14:paraId="703FCFB3" w14:textId="77777777" w:rsidR="00C51312" w:rsidRDefault="00C51312" w:rsidP="00C51312">
      <w:pPr>
        <w:pStyle w:val="BodyText"/>
      </w:pPr>
      <w:r>
        <w:t>Wilks, S.S. (1941). Determination of sample sizes for setting tolerance limits. Annals of Mathematical Statistics, 12(1), 91-96.</w:t>
      </w:r>
    </w:p>
    <w:p w14:paraId="4C5D501B" w14:textId="77777777" w:rsidR="000F504F" w:rsidRDefault="00406E9C">
      <w:pPr>
        <w:pStyle w:val="BodyText"/>
      </w:pPr>
      <w:r>
        <w:t>Zuber, N. (1959). Hydrodynamic aspects of boiling heat transfer. AECU-4439.</w:t>
      </w:r>
      <w:bookmarkEnd w:id="105"/>
    </w:p>
    <w:sectPr w:rsidR="000F504F" w:rsidSect="00ED6702">
      <w:headerReference w:type="default" r:id="rId8"/>
      <w:footerReference w:type="default" r:id="rId9"/>
      <w:pgSz w:w="12240" w:h="15840"/>
      <w:pgMar w:top="1080" w:right="1224" w:bottom="1080" w:left="1224" w:header="450" w:footer="315"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D3749" w14:textId="77777777" w:rsidR="00406E9C" w:rsidRDefault="00406E9C">
      <w:pPr>
        <w:spacing w:after="0"/>
      </w:pPr>
      <w:r>
        <w:separator/>
      </w:r>
    </w:p>
  </w:endnote>
  <w:endnote w:type="continuationSeparator" w:id="0">
    <w:p w14:paraId="00276712" w14:textId="77777777" w:rsidR="00406E9C" w:rsidRDefault="00406E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59CA" w14:textId="656D1C9D" w:rsidR="00413995" w:rsidRPr="00ED6702" w:rsidRDefault="00ED6702" w:rsidP="00ED6702">
    <w:pPr>
      <w:pBdr>
        <w:top w:val="single" w:sz="2" w:space="4" w:color="BBBBBB"/>
      </w:pBdr>
    </w:pPr>
    <w:r>
      <w:rPr>
        <w:color w:val="404040"/>
        <w:sz w:val="18"/>
        <w:szCs w:val="18"/>
      </w:rPr>
      <w:t xml:space="preserve">October 2026   —   R. P. Martin   —   Page </w:t>
    </w:r>
    <w:r>
      <w:rPr>
        <w:color w:val="404040"/>
        <w:sz w:val="18"/>
        <w:szCs w:val="18"/>
      </w:rPr>
      <w:fldChar w:fldCharType="begin"/>
    </w:r>
    <w:r>
      <w:rPr>
        <w:color w:val="404040"/>
        <w:sz w:val="18"/>
        <w:szCs w:val="18"/>
      </w:rPr>
      <w:instrText>PAGE</w:instrText>
    </w:r>
    <w:r>
      <w:rPr>
        <w:color w:val="404040"/>
        <w:sz w:val="18"/>
        <w:szCs w:val="18"/>
      </w:rPr>
      <w:fldChar w:fldCharType="separate"/>
    </w:r>
    <w:r>
      <w:rPr>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4B93D" w14:textId="77777777" w:rsidR="00406E9C" w:rsidRDefault="00406E9C">
      <w:r>
        <w:separator/>
      </w:r>
    </w:p>
  </w:footnote>
  <w:footnote w:type="continuationSeparator" w:id="0">
    <w:p w14:paraId="430E039C" w14:textId="77777777" w:rsidR="00406E9C" w:rsidRDefault="00406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FC8B" w14:textId="12B13005" w:rsidR="00AC2963" w:rsidRPr="00D817A2" w:rsidRDefault="007F68E6" w:rsidP="007F68E6">
    <w:pPr>
      <w:pBdr>
        <w:bottom w:val="single" w:sz="2" w:space="4" w:color="BBBBBB"/>
      </w:pBdr>
      <w:tabs>
        <w:tab w:val="right" w:pos="9360"/>
      </w:tabs>
    </w:pPr>
    <w:r>
      <w:rPr>
        <w:color w:val="404040"/>
        <w:sz w:val="18"/>
        <w:szCs w:val="18"/>
      </w:rPr>
      <w:t>FLARE — Fast Licensing Accident Response Engine</w:t>
    </w:r>
    <w:r>
      <w:rPr>
        <w:color w:val="404040"/>
        <w:sz w:val="18"/>
        <w:szCs w:val="18"/>
      </w:rPr>
      <w:tab/>
      <w:t>Theory Manual</w:t>
    </w:r>
    <w:r w:rsidR="00ED6702">
      <w:rPr>
        <w:color w:val="404040"/>
        <w:sz w:val="18"/>
        <w:szCs w:val="18"/>
      </w:rPr>
      <w:t xml:space="preserve"> Rev </w:t>
    </w:r>
    <w:r w:rsidR="00255F6A">
      <w:rPr>
        <w:color w:val="404040"/>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E443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C54C6C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A453579"/>
    <w:multiLevelType w:val="multilevel"/>
    <w:tmpl w:val="C54C6C8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4277124">
    <w:abstractNumId w:val="0"/>
  </w:num>
  <w:num w:numId="2" w16cid:durableId="12246338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39002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504F"/>
    <w:rsid w:val="000F504F"/>
    <w:rsid w:val="001F0D14"/>
    <w:rsid w:val="00255F6A"/>
    <w:rsid w:val="002E7EE1"/>
    <w:rsid w:val="00372D82"/>
    <w:rsid w:val="00406E9C"/>
    <w:rsid w:val="00413995"/>
    <w:rsid w:val="00447AEE"/>
    <w:rsid w:val="00447CE9"/>
    <w:rsid w:val="00544F5A"/>
    <w:rsid w:val="005A447D"/>
    <w:rsid w:val="007029C7"/>
    <w:rsid w:val="0074712A"/>
    <w:rsid w:val="007F1D56"/>
    <w:rsid w:val="007F68E6"/>
    <w:rsid w:val="00864BA2"/>
    <w:rsid w:val="008950EB"/>
    <w:rsid w:val="0089743A"/>
    <w:rsid w:val="009F4E8D"/>
    <w:rsid w:val="00A63F53"/>
    <w:rsid w:val="00A8265A"/>
    <w:rsid w:val="00AC2963"/>
    <w:rsid w:val="00B55580"/>
    <w:rsid w:val="00C17023"/>
    <w:rsid w:val="00C51312"/>
    <w:rsid w:val="00D74B59"/>
    <w:rsid w:val="00D817A2"/>
    <w:rsid w:val="00DA66C0"/>
    <w:rsid w:val="00ED6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C0738E"/>
  <w15:docId w15:val="{0491F9FF-C460-4D84-B8D6-72711B6E8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1"/>
    </w:r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link w:val="SubtitleChar"/>
    <w:qFormat/>
    <w:pPr>
      <w:spacing w:before="240"/>
    </w:pPr>
    <w:rPr>
      <w:rFonts w:ascii="Arial" w:hAnsi="Arial"/>
      <w:b w:val="0"/>
      <w:sz w:val="28"/>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13995"/>
    <w:pPr>
      <w:spacing w:after="100"/>
    </w:pPr>
  </w:style>
  <w:style w:type="paragraph" w:styleId="TOC2">
    <w:name w:val="toc 2"/>
    <w:basedOn w:val="Normal"/>
    <w:next w:val="Normal"/>
    <w:autoRedefine/>
    <w:uiPriority w:val="39"/>
    <w:rsid w:val="00413995"/>
    <w:pPr>
      <w:spacing w:after="100"/>
      <w:ind w:left="210"/>
    </w:pPr>
  </w:style>
  <w:style w:type="paragraph" w:styleId="Header">
    <w:name w:val="header"/>
    <w:basedOn w:val="Normal"/>
    <w:link w:val="HeaderChar"/>
    <w:rsid w:val="00413995"/>
    <w:pPr>
      <w:tabs>
        <w:tab w:val="center" w:pos="4680"/>
        <w:tab w:val="right" w:pos="9360"/>
      </w:tabs>
      <w:spacing w:after="0"/>
    </w:pPr>
  </w:style>
  <w:style w:type="character" w:customStyle="1" w:styleId="HeaderChar">
    <w:name w:val="Header Char"/>
    <w:basedOn w:val="DefaultParagraphFont"/>
    <w:link w:val="Header"/>
    <w:rsid w:val="00413995"/>
    <w:rPr>
      <w:rFonts w:ascii="Arial" w:hAnsi="Arial"/>
      <w:sz w:val="21"/>
    </w:rPr>
  </w:style>
  <w:style w:type="paragraph" w:styleId="Footer">
    <w:name w:val="footer"/>
    <w:basedOn w:val="Normal"/>
    <w:link w:val="FooterChar"/>
    <w:uiPriority w:val="99"/>
    <w:rsid w:val="00413995"/>
    <w:pPr>
      <w:tabs>
        <w:tab w:val="center" w:pos="4680"/>
        <w:tab w:val="right" w:pos="9360"/>
      </w:tabs>
      <w:spacing w:after="0"/>
    </w:pPr>
  </w:style>
  <w:style w:type="character" w:customStyle="1" w:styleId="FooterChar">
    <w:name w:val="Footer Char"/>
    <w:basedOn w:val="DefaultParagraphFont"/>
    <w:link w:val="Footer"/>
    <w:uiPriority w:val="99"/>
    <w:rsid w:val="00413995"/>
    <w:rPr>
      <w:rFonts w:ascii="Arial" w:hAnsi="Arial"/>
      <w:sz w:val="21"/>
    </w:rPr>
  </w:style>
  <w:style w:type="character" w:customStyle="1" w:styleId="Heading1Char">
    <w:name w:val="Heading 1 Char"/>
    <w:basedOn w:val="DefaultParagraphFont"/>
    <w:link w:val="Heading1"/>
    <w:uiPriority w:val="9"/>
    <w:rsid w:val="001F0D14"/>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1F0D14"/>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1F0D1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F0D14"/>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1F0D14"/>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1F0D14"/>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1F0D14"/>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1F0D14"/>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1F0D14"/>
    <w:rPr>
      <w:rFonts w:asciiTheme="majorHAnsi" w:eastAsiaTheme="majorEastAsia" w:hAnsiTheme="majorHAnsi" w:cstheme="majorBidi"/>
      <w:color w:val="4F81BD" w:themeColor="accent1"/>
    </w:rPr>
  </w:style>
  <w:style w:type="character" w:customStyle="1" w:styleId="BodyTextChar">
    <w:name w:val="Body Text Char"/>
    <w:basedOn w:val="DefaultParagraphFont"/>
    <w:link w:val="BodyText"/>
    <w:rsid w:val="001F0D14"/>
    <w:rPr>
      <w:rFonts w:ascii="Arial" w:hAnsi="Arial"/>
      <w:sz w:val="21"/>
    </w:rPr>
  </w:style>
  <w:style w:type="character" w:customStyle="1" w:styleId="TitleChar">
    <w:name w:val="Title Char"/>
    <w:basedOn w:val="DefaultParagraphFont"/>
    <w:link w:val="Title"/>
    <w:rsid w:val="001F0D14"/>
    <w:rPr>
      <w:rFonts w:asciiTheme="majorHAnsi" w:eastAsiaTheme="majorEastAsia" w:hAnsiTheme="majorHAnsi" w:cstheme="majorBidi"/>
      <w:b/>
      <w:bCs/>
      <w:color w:val="345A8A" w:themeColor="accent1" w:themeShade="B5"/>
      <w:sz w:val="40"/>
      <w:szCs w:val="36"/>
    </w:rPr>
  </w:style>
  <w:style w:type="character" w:customStyle="1" w:styleId="SubtitleChar">
    <w:name w:val="Subtitle Char"/>
    <w:basedOn w:val="DefaultParagraphFont"/>
    <w:link w:val="Subtitle"/>
    <w:rsid w:val="001F0D14"/>
    <w:rPr>
      <w:rFonts w:ascii="Arial" w:eastAsiaTheme="majorEastAsia" w:hAnsi="Arial" w:cstheme="majorBidi"/>
      <w:bCs/>
      <w:color w:val="345A8A" w:themeColor="accent1" w:themeShade="B5"/>
      <w:sz w:val="28"/>
      <w:szCs w:val="30"/>
    </w:rPr>
  </w:style>
  <w:style w:type="character" w:customStyle="1" w:styleId="DateChar">
    <w:name w:val="Date Char"/>
    <w:basedOn w:val="DefaultParagraphFont"/>
    <w:link w:val="Date"/>
    <w:rsid w:val="001F0D14"/>
  </w:style>
  <w:style w:type="character" w:customStyle="1" w:styleId="FootnoteTextChar">
    <w:name w:val="Footnote Text Char"/>
    <w:basedOn w:val="DefaultParagraphFont"/>
    <w:link w:val="FootnoteText"/>
    <w:uiPriority w:val="9"/>
    <w:rsid w:val="001F0D14"/>
    <w:rPr>
      <w:rFonts w:ascii="Arial" w:hAnsi="Arial"/>
      <w:sz w:val="21"/>
    </w:rPr>
  </w:style>
  <w:style w:type="paragraph" w:styleId="TOC3">
    <w:name w:val="toc 3"/>
    <w:basedOn w:val="Normal"/>
    <w:next w:val="Normal"/>
    <w:autoRedefine/>
    <w:uiPriority w:val="39"/>
    <w:unhideWhenUsed/>
    <w:rsid w:val="0089743A"/>
    <w:pPr>
      <w:spacing w:after="100" w:line="278" w:lineRule="auto"/>
      <w:ind w:left="480"/>
    </w:pPr>
    <w:rPr>
      <w:rFonts w:asciiTheme="minorHAnsi" w:eastAsiaTheme="minorEastAsia" w:hAnsiTheme="minorHAnsi"/>
      <w:kern w:val="2"/>
      <w:sz w:val="24"/>
    </w:rPr>
  </w:style>
  <w:style w:type="paragraph" w:styleId="TOC4">
    <w:name w:val="toc 4"/>
    <w:basedOn w:val="Normal"/>
    <w:next w:val="Normal"/>
    <w:autoRedefine/>
    <w:uiPriority w:val="39"/>
    <w:unhideWhenUsed/>
    <w:rsid w:val="0089743A"/>
    <w:pPr>
      <w:spacing w:after="100" w:line="278" w:lineRule="auto"/>
      <w:ind w:left="720"/>
    </w:pPr>
    <w:rPr>
      <w:rFonts w:asciiTheme="minorHAnsi" w:eastAsiaTheme="minorEastAsia" w:hAnsiTheme="minorHAnsi"/>
      <w:kern w:val="2"/>
      <w:sz w:val="24"/>
    </w:rPr>
  </w:style>
  <w:style w:type="paragraph" w:styleId="TOC5">
    <w:name w:val="toc 5"/>
    <w:basedOn w:val="Normal"/>
    <w:next w:val="Normal"/>
    <w:autoRedefine/>
    <w:uiPriority w:val="39"/>
    <w:unhideWhenUsed/>
    <w:rsid w:val="0089743A"/>
    <w:pPr>
      <w:spacing w:after="100" w:line="278" w:lineRule="auto"/>
      <w:ind w:left="960"/>
    </w:pPr>
    <w:rPr>
      <w:rFonts w:asciiTheme="minorHAnsi" w:eastAsiaTheme="minorEastAsia" w:hAnsiTheme="minorHAnsi"/>
      <w:kern w:val="2"/>
      <w:sz w:val="24"/>
    </w:rPr>
  </w:style>
  <w:style w:type="paragraph" w:styleId="TOC6">
    <w:name w:val="toc 6"/>
    <w:basedOn w:val="Normal"/>
    <w:next w:val="Normal"/>
    <w:autoRedefine/>
    <w:uiPriority w:val="39"/>
    <w:unhideWhenUsed/>
    <w:rsid w:val="0089743A"/>
    <w:pPr>
      <w:spacing w:after="100" w:line="278" w:lineRule="auto"/>
      <w:ind w:left="1200"/>
    </w:pPr>
    <w:rPr>
      <w:rFonts w:asciiTheme="minorHAnsi" w:eastAsiaTheme="minorEastAsia" w:hAnsiTheme="minorHAnsi"/>
      <w:kern w:val="2"/>
      <w:sz w:val="24"/>
    </w:rPr>
  </w:style>
  <w:style w:type="paragraph" w:styleId="TOC7">
    <w:name w:val="toc 7"/>
    <w:basedOn w:val="Normal"/>
    <w:next w:val="Normal"/>
    <w:autoRedefine/>
    <w:uiPriority w:val="39"/>
    <w:unhideWhenUsed/>
    <w:rsid w:val="0089743A"/>
    <w:pPr>
      <w:spacing w:after="100" w:line="278" w:lineRule="auto"/>
      <w:ind w:left="1440"/>
    </w:pPr>
    <w:rPr>
      <w:rFonts w:asciiTheme="minorHAnsi" w:eastAsiaTheme="minorEastAsia" w:hAnsiTheme="minorHAnsi"/>
      <w:kern w:val="2"/>
      <w:sz w:val="24"/>
    </w:rPr>
  </w:style>
  <w:style w:type="paragraph" w:styleId="TOC8">
    <w:name w:val="toc 8"/>
    <w:basedOn w:val="Normal"/>
    <w:next w:val="Normal"/>
    <w:autoRedefine/>
    <w:uiPriority w:val="39"/>
    <w:unhideWhenUsed/>
    <w:rsid w:val="0089743A"/>
    <w:pPr>
      <w:spacing w:after="100" w:line="278" w:lineRule="auto"/>
      <w:ind w:left="1680"/>
    </w:pPr>
    <w:rPr>
      <w:rFonts w:asciiTheme="minorHAnsi" w:eastAsiaTheme="minorEastAsia" w:hAnsiTheme="minorHAnsi"/>
      <w:kern w:val="2"/>
      <w:sz w:val="24"/>
    </w:rPr>
  </w:style>
  <w:style w:type="paragraph" w:styleId="TOC9">
    <w:name w:val="toc 9"/>
    <w:basedOn w:val="Normal"/>
    <w:next w:val="Normal"/>
    <w:autoRedefine/>
    <w:uiPriority w:val="39"/>
    <w:unhideWhenUsed/>
    <w:rsid w:val="0089743A"/>
    <w:pPr>
      <w:spacing w:after="100" w:line="278" w:lineRule="auto"/>
      <w:ind w:left="1920"/>
    </w:pPr>
    <w:rPr>
      <w:rFonts w:asciiTheme="minorHAnsi" w:eastAsiaTheme="minorEastAsia" w:hAnsiTheme="minorHAnsi"/>
      <w:kern w:val="2"/>
      <w:sz w:val="24"/>
    </w:rPr>
  </w:style>
  <w:style w:type="character" w:styleId="UnresolvedMention">
    <w:name w:val="Unresolved Mention"/>
    <w:basedOn w:val="DefaultParagraphFont"/>
    <w:uiPriority w:val="99"/>
    <w:semiHidden/>
    <w:unhideWhenUsed/>
    <w:rsid w:val="0089743A"/>
    <w:rPr>
      <w:color w:val="605E5C"/>
      <w:shd w:val="clear" w:color="auto" w:fill="E1DFDD"/>
    </w:rPr>
  </w:style>
  <w:style w:type="table" w:styleId="TableGrid">
    <w:name w:val="Table Grid"/>
    <w:basedOn w:val="TableNormal"/>
    <w:rsid w:val="00D817A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default="1" w:styleId="C9Normal">
    <w:name w:val="C9 Normal"/>
    <w:qFormat/>
    <w:rsid w:val="00FC693F"/>
    <w:pPr>
      <w:pageBreakBefore w:val="0"/>
      <w:widowControl/>
      <w:spacing w:after="120" w:line="257" w:lineRule="auto"/>
    </w:pPr>
    <w:rPr>
      <w:rFonts w:ascii="Calibri" w:hAnsi="Calibri"/>
      <w:color w:val="000000"/>
      <w:sz w:val="22"/>
    </w:rPr>
  </w:style>
  <w:style w:type="paragraph" w:styleId="C9Heading1">
    <w:name w:val="C9 Heading 1"/>
    <w:basedOn w:val="Normal"/>
    <w:next w:val="Normal"/>
    <w:link w:val="Heading1Char"/>
    <w:uiPriority w:val="9"/>
    <w:qFormat/>
    <w:rsid w:val="00FC693F"/>
    <w:pPr>
      <w:keepNext/>
      <w:keepLines/>
      <w:pageBreakBefore w:val="0"/>
      <w:widowControl/>
      <w:spacing w:before="240" w:after="120"/>
      <w:outlineLvl w:val="0"/>
    </w:pPr>
    <w:rPr>
      <w:rFonts w:asciiTheme="majorHAnsi" w:eastAsiaTheme="majorEastAsia" w:hAnsiTheme="majorHAnsi" w:cstheme="majorBidi" w:ascii="Calibri" w:hAnsi="Calibri"/>
      <w:b/>
      <w:bCs/>
      <w:color w:val="000000"/>
      <w:sz w:val="30"/>
      <w:szCs w:val="28"/>
    </w:rPr>
  </w:style>
  <w:style w:type="paragraph" w:styleId="C9Heading2">
    <w:name w:val="C9 Heading 2"/>
    <w:basedOn w:val="Normal"/>
    <w:next w:val="Normal"/>
    <w:link w:val="Heading2Char"/>
    <w:uiPriority w:val="9"/>
    <w:unhideWhenUsed/>
    <w:qFormat/>
    <w:rsid w:val="00FC693F"/>
    <w:pPr>
      <w:keepNext/>
      <w:keepLines/>
      <w:pageBreakBefore w:val="0"/>
      <w:widowControl/>
      <w:spacing w:before="240" w:after="120"/>
      <w:outlineLvl w:val="1"/>
    </w:pPr>
    <w:rPr>
      <w:rFonts w:asciiTheme="majorHAnsi" w:eastAsiaTheme="majorEastAsia" w:hAnsiTheme="majorHAnsi" w:cstheme="majorBidi" w:ascii="Calibri" w:hAnsi="Calibri"/>
      <w:b/>
      <w:bCs/>
      <w:color w:val="000000"/>
      <w:sz w:val="24"/>
      <w:szCs w:val="26"/>
    </w:rPr>
  </w:style>
  <w:style w:type="paragraph" w:styleId="C9Heading3">
    <w:name w:val="C9 Heading 3"/>
    <w:basedOn w:val="Normal"/>
    <w:next w:val="Normal"/>
    <w:link w:val="Heading3Char"/>
    <w:uiPriority w:val="9"/>
    <w:unhideWhenUsed/>
    <w:qFormat/>
    <w:rsid w:val="00FC693F"/>
    <w:pPr>
      <w:keepNext/>
      <w:keepLines/>
      <w:pageBreakBefore w:val="0"/>
      <w:widowControl/>
      <w:spacing w:before="240" w:after="120"/>
      <w:outlineLvl w:val="2"/>
    </w:pPr>
    <w:rPr>
      <w:rFonts w:asciiTheme="majorHAnsi" w:eastAsiaTheme="majorEastAsia" w:hAnsiTheme="majorHAnsi" w:cstheme="majorBidi" w:ascii="Calibri" w:hAnsi="Calibri"/>
      <w:b/>
      <w:bCs/>
      <w:color w:val="000000"/>
      <w:sz w:val="22"/>
    </w:rPr>
  </w:style>
  <w:style w:type="paragraph" w:styleId="C9Heading4">
    <w:name w:val="C9 Heading 4"/>
    <w:basedOn w:val="Normal"/>
    <w:next w:val="Normal"/>
    <w:link w:val="Heading4Char"/>
    <w:uiPriority w:val="9"/>
    <w:semiHidden/>
    <w:unhideWhenUsed/>
    <w:qFormat/>
    <w:rsid w:val="00FC693F"/>
    <w:pPr>
      <w:keepNext/>
      <w:keepLines/>
      <w:pageBreakBefore w:val="0"/>
      <w:widowControl/>
      <w:spacing w:before="200" w:after="120"/>
      <w:outlineLvl w:val="3"/>
    </w:pPr>
    <w:rPr>
      <w:rFonts w:asciiTheme="majorHAnsi" w:eastAsiaTheme="majorEastAsia" w:hAnsiTheme="majorHAnsi" w:cstheme="majorBidi" w:ascii="Calibri" w:hAnsi="Calibri"/>
      <w:b/>
      <w:bCs/>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C77ED-4F88-4367-936D-F14147C5A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59</Pages>
  <Words>23101</Words>
  <Characters>131678</Characters>
  <Application>Microsoft Office Word</Application>
  <DocSecurity>0</DocSecurity>
  <Lines>1097</Lines>
  <Paragraphs>308</Paragraphs>
  <ScaleCrop>false</ScaleCrop>
  <Company/>
  <LinksUpToDate>false</LinksUpToDate>
  <CharactersWithSpaces>154471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FLARE Code Theory Manual Revision 1 Updated October 2026</dc:title>
  <dc:creator>Robert P. Martin</dc:creator>
  <cp:keywords/>
  <cp:lastModifiedBy>Robert Martin</cp:lastModifiedBy>
  <cp:revision>16</cp:revision>
  <dcterms:created xsi:type="dcterms:W3CDTF">2026-06-01T15:13:00Z</dcterms:created>
  <dcterms:modified xsi:type="dcterms:W3CDTF">2026-06-11T21:24:00Z</dcterms:modified>
  <dc:subject>Full manual with consolidated NOTBADTRAD Chapter 9 updated 24 October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Revision 2 Draft — June 2026</vt:lpwstr>
  </property>
  <property fmtid="{D5CDD505-2E9C-101B-9397-08002B2CF9AE}" pid="3" name="subtitle">
    <vt:lpwstr>Fast Licensing Accident Response Engine</vt:lpwstr>
  </property>
</Properties>
</file>