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ECEE" w14:textId="77777777" w:rsidR="00FF4712" w:rsidRPr="00FF4712" w:rsidRDefault="00FF4712" w:rsidP="00FF4712">
      <w:pPr>
        <w:shd w:val="clear" w:color="auto" w:fill="FFFFFF"/>
        <w:spacing w:before="375" w:after="450" w:line="240" w:lineRule="auto"/>
        <w:outlineLvl w:val="0"/>
        <w:rPr>
          <w:rFonts w:ascii="Roboto" w:eastAsia="Times New Roman" w:hAnsi="Roboto" w:cs="Times New Roman"/>
          <w:b/>
          <w:bCs/>
          <w:color w:val="222222"/>
          <w:spacing w:val="-16"/>
          <w:kern w:val="36"/>
          <w:sz w:val="57"/>
          <w:szCs w:val="57"/>
        </w:rPr>
      </w:pPr>
      <w:r w:rsidRPr="00FF4712">
        <w:rPr>
          <w:rFonts w:ascii="Roboto" w:eastAsia="Times New Roman" w:hAnsi="Roboto" w:cs="Times New Roman"/>
          <w:b/>
          <w:bCs/>
          <w:color w:val="222222"/>
          <w:spacing w:val="-16"/>
          <w:kern w:val="36"/>
          <w:sz w:val="57"/>
          <w:szCs w:val="57"/>
        </w:rPr>
        <w:t>List of mandatory documents required by ISO 27001 (2013 revision)</w:t>
      </w:r>
    </w:p>
    <w:p w14:paraId="5D98E4D6" w14:textId="1EC2BB90" w:rsidR="00FF4712" w:rsidRDefault="00FF4712" w:rsidP="00FF471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If you have ever wondered what documents are mandatory in the 2013 revision of </w:t>
      </w:r>
      <w:r w:rsidRPr="00FF4712">
        <w:rPr>
          <w:rFonts w:ascii="Roboto" w:hAnsi="Roboto"/>
          <w:b/>
          <w:bCs/>
          <w:color w:val="303030"/>
          <w:sz w:val="23"/>
          <w:szCs w:val="23"/>
        </w:rPr>
        <w:t>ISO/IEC 27001</w:t>
      </w:r>
      <w:r>
        <w:rPr>
          <w:rFonts w:ascii="Roboto" w:hAnsi="Roboto"/>
          <w:color w:val="303030"/>
          <w:sz w:val="23"/>
          <w:szCs w:val="23"/>
        </w:rPr>
        <w:t>, here is the list you need. Below you will see mandatory documents, and also the most commonly used documents for ISO 27001 implementation.</w:t>
      </w:r>
    </w:p>
    <w:p w14:paraId="4D8FD9A8" w14:textId="77777777" w:rsidR="00FF4712" w:rsidRDefault="00FF4712" w:rsidP="00FF4712">
      <w:pPr>
        <w:pStyle w:val="Heading2"/>
        <w:shd w:val="clear" w:color="auto" w:fill="FFFFFF"/>
        <w:spacing w:before="0" w:after="225"/>
        <w:rPr>
          <w:rFonts w:ascii="Roboto" w:hAnsi="Roboto"/>
          <w:color w:val="303030"/>
          <w:spacing w:val="-12"/>
          <w:sz w:val="36"/>
          <w:szCs w:val="36"/>
        </w:rPr>
      </w:pPr>
      <w:r>
        <w:rPr>
          <w:rFonts w:ascii="Roboto" w:hAnsi="Roboto"/>
          <w:color w:val="303030"/>
          <w:spacing w:val="-12"/>
        </w:rPr>
        <w:t>Mandatory documents and records required by ISO 27001:2013</w:t>
      </w:r>
    </w:p>
    <w:p w14:paraId="229DDBCC" w14:textId="77777777" w:rsidR="00FF4712" w:rsidRDefault="00FF4712" w:rsidP="00FF471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Here are the documents you need to produce if you want to be compliant with ISO 27001: (Please note that documents from Annex A are mandatory only if there are risks which would require their implementation.)</w:t>
      </w:r>
    </w:p>
    <w:p w14:paraId="1D05EBD1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Scope of the ISMS (clause 4.3)</w:t>
      </w:r>
    </w:p>
    <w:p w14:paraId="07346814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Information security policy and objectives (clauses 5.2 and 6.2)</w:t>
      </w:r>
    </w:p>
    <w:p w14:paraId="00896EC2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Risk assessment and risk treatment methodology (clause 6.1.2)</w:t>
      </w:r>
    </w:p>
    <w:p w14:paraId="336AB163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Statement of Applicability (clause 6.1.3 d)</w:t>
      </w:r>
    </w:p>
    <w:p w14:paraId="1F24038D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Risk treatment plan (clauses 6.1.3 e, 6.2, and 8.3)</w:t>
      </w:r>
    </w:p>
    <w:p w14:paraId="43A8FC5F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Risk assessment report (clauses 8.2 and 8.3)</w:t>
      </w:r>
    </w:p>
    <w:p w14:paraId="44E696ED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Definition of security roles and responsibilities (clauses A.7.1.2 and A.13.2.4)</w:t>
      </w:r>
    </w:p>
    <w:p w14:paraId="5D38CC20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Inventory of assets (clause A.8.1.1)</w:t>
      </w:r>
    </w:p>
    <w:p w14:paraId="66FBD325" w14:textId="77777777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Acceptable use of assets (clause A.8.1.3)</w:t>
      </w:r>
    </w:p>
    <w:p w14:paraId="65E02561" w14:textId="004190D9" w:rsidR="00FF4712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Access control policy (clause A.9.1.1)</w:t>
      </w:r>
    </w:p>
    <w:p w14:paraId="20B05739" w14:textId="77777777" w:rsidR="00FF4712" w:rsidRDefault="00FF4712" w:rsidP="00FF4712">
      <w:pPr>
        <w:numPr>
          <w:ilvl w:val="0"/>
          <w:numId w:val="2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Operating procedures for IT management (clause A.12.1.1)</w:t>
      </w:r>
    </w:p>
    <w:p w14:paraId="280EF43C" w14:textId="77777777" w:rsidR="00FF4712" w:rsidRDefault="00FF4712" w:rsidP="00FF4712">
      <w:pPr>
        <w:numPr>
          <w:ilvl w:val="0"/>
          <w:numId w:val="2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Secure system engineering principles (clause A.14.2.5)</w:t>
      </w:r>
    </w:p>
    <w:p w14:paraId="60BC630F" w14:textId="77777777" w:rsidR="00FF4712" w:rsidRDefault="00FF4712" w:rsidP="00FF4712">
      <w:pPr>
        <w:numPr>
          <w:ilvl w:val="0"/>
          <w:numId w:val="2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Supplier security policy (clause A.15.1.1)</w:t>
      </w:r>
    </w:p>
    <w:p w14:paraId="3631184E" w14:textId="77777777" w:rsidR="00FF4712" w:rsidRDefault="00FF4712" w:rsidP="00FF4712">
      <w:pPr>
        <w:numPr>
          <w:ilvl w:val="0"/>
          <w:numId w:val="2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Incident management procedure (clause A.16.1.5)</w:t>
      </w:r>
    </w:p>
    <w:p w14:paraId="147E4AB8" w14:textId="77777777" w:rsidR="00FF4712" w:rsidRDefault="00FF4712" w:rsidP="00FF4712">
      <w:pPr>
        <w:numPr>
          <w:ilvl w:val="0"/>
          <w:numId w:val="2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lastRenderedPageBreak/>
        <w:t>Business continuity procedures (clause A.17.1.2)</w:t>
      </w:r>
    </w:p>
    <w:p w14:paraId="4C053B47" w14:textId="77777777" w:rsidR="00FF4712" w:rsidRDefault="00FF4712" w:rsidP="00FF4712">
      <w:pPr>
        <w:numPr>
          <w:ilvl w:val="0"/>
          <w:numId w:val="2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Statutory, regulatory, and contractual requirements (clause A.18.1.1)</w:t>
      </w:r>
    </w:p>
    <w:p w14:paraId="7FBFE2BD" w14:textId="77777777" w:rsidR="00FF4712" w:rsidRDefault="00FF4712" w:rsidP="00FF471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And here are the mandatory records:</w:t>
      </w:r>
    </w:p>
    <w:p w14:paraId="7F6A6597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Records of training, skills, experience and qualifications (clause 7.2)</w:t>
      </w:r>
    </w:p>
    <w:p w14:paraId="2FC858A7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Monitoring and measurement results (clause 9.1)</w:t>
      </w:r>
    </w:p>
    <w:p w14:paraId="33FDCFD1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Internal audit program (clause 9.2)</w:t>
      </w:r>
    </w:p>
    <w:p w14:paraId="2B1A53E7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Results of internal audits (clause 9.2)</w:t>
      </w:r>
    </w:p>
    <w:p w14:paraId="2C1189A1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Results of the management review (clause 9.3)</w:t>
      </w:r>
    </w:p>
    <w:p w14:paraId="37D9AE9E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Results of corrective actions (clause 10.1)</w:t>
      </w:r>
    </w:p>
    <w:p w14:paraId="350CC807" w14:textId="77777777" w:rsidR="00FF4712" w:rsidRDefault="00FF4712" w:rsidP="00FF4712">
      <w:pPr>
        <w:numPr>
          <w:ilvl w:val="0"/>
          <w:numId w:val="3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Logs of user activities, exceptions, and security events (clauses A.12.4.1 and A.12.4.3)</w:t>
      </w:r>
    </w:p>
    <w:p w14:paraId="46628C36" w14:textId="77777777" w:rsidR="00FF4712" w:rsidRDefault="00FF4712" w:rsidP="00FF4712">
      <w:pPr>
        <w:pStyle w:val="Heading2"/>
        <w:shd w:val="clear" w:color="auto" w:fill="FFFFFF"/>
        <w:spacing w:before="0" w:after="225"/>
        <w:rPr>
          <w:rFonts w:ascii="Roboto" w:hAnsi="Roboto"/>
          <w:color w:val="303030"/>
          <w:spacing w:val="-12"/>
          <w:sz w:val="36"/>
          <w:szCs w:val="36"/>
        </w:rPr>
      </w:pPr>
      <w:r>
        <w:rPr>
          <w:rFonts w:ascii="Roboto" w:hAnsi="Roboto"/>
          <w:color w:val="303030"/>
          <w:spacing w:val="-12"/>
        </w:rPr>
        <w:t>Non-mandatory documents</w:t>
      </w:r>
    </w:p>
    <w:p w14:paraId="4DA9BB06" w14:textId="77777777" w:rsidR="00FF4712" w:rsidRDefault="00FF4712" w:rsidP="00FF4712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There are numerous non-mandatory documents that can be used for ISO 27001 implementation, especially for the security controls from Annex A. However, I find these non-mandatory documents to be most commonly used:</w:t>
      </w:r>
    </w:p>
    <w:p w14:paraId="0378B2FE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Procedure for document control (clause 7.5)</w:t>
      </w:r>
    </w:p>
    <w:p w14:paraId="48777DA2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Controls for managing records (clause 7.5)</w:t>
      </w:r>
    </w:p>
    <w:p w14:paraId="2B1B9502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Procedure for internal audit (clause 9.2)</w:t>
      </w:r>
    </w:p>
    <w:p w14:paraId="5C302971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Procedure for corrective action (clause 10.1)</w:t>
      </w:r>
    </w:p>
    <w:p w14:paraId="3EB2CB56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Bring your own device (BYOD) policy (clause A.6.2.1)</w:t>
      </w:r>
    </w:p>
    <w:p w14:paraId="6C2F82AC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Mobile device and teleworking policy (clause A.6.2.1)</w:t>
      </w:r>
    </w:p>
    <w:p w14:paraId="75B4F7EB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Information classification policy (clauses A.8.2.1, A.8.2.2, and A.8.2.3)</w:t>
      </w:r>
    </w:p>
    <w:p w14:paraId="3A97E0E4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Password policy (clauses A.9.2.1, A.9.2.2, A.9.2.4, A.9.3.1, and A.9.4.3)</w:t>
      </w:r>
    </w:p>
    <w:p w14:paraId="6F9B61AB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lastRenderedPageBreak/>
        <w:t>Disposal and destruction policy (clauses A.8.3.2 and A.11.2.7)</w:t>
      </w:r>
    </w:p>
    <w:p w14:paraId="36FECAF8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Procedures for working in secure areas (clause A.11.1.5)</w:t>
      </w:r>
    </w:p>
    <w:p w14:paraId="67BD4AA8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Clear desk and clear screen policy (clause A.11.2.9)</w:t>
      </w:r>
    </w:p>
    <w:p w14:paraId="63E60292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Change management policy (clauses A.12.1.2 and A.14.2.4)</w:t>
      </w:r>
    </w:p>
    <w:p w14:paraId="09FD7854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Backup policy (clause A.12.3.1)</w:t>
      </w:r>
    </w:p>
    <w:p w14:paraId="5BFDE776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Information transfer policy (clauses A.13.2.1, A.13.2.2, and A.13.2.3)</w:t>
      </w:r>
    </w:p>
    <w:p w14:paraId="36A57581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Business impact analysis (clause A.17.1.1)</w:t>
      </w:r>
    </w:p>
    <w:p w14:paraId="0499B553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Exercising and testing plan (clause A.17.1.3)</w:t>
      </w:r>
    </w:p>
    <w:p w14:paraId="17CDF45E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Maintenance and review plan (clause A.17.1.3)</w:t>
      </w:r>
    </w:p>
    <w:p w14:paraId="53246B00" w14:textId="77777777" w:rsidR="00FF4712" w:rsidRDefault="00FF4712" w:rsidP="00FF4712">
      <w:pPr>
        <w:numPr>
          <w:ilvl w:val="0"/>
          <w:numId w:val="4"/>
        </w:numPr>
        <w:shd w:val="clear" w:color="auto" w:fill="FFFFFF"/>
        <w:spacing w:after="225" w:line="372" w:lineRule="atLeast"/>
        <w:rPr>
          <w:rFonts w:ascii="Roboto" w:hAnsi="Roboto"/>
          <w:color w:val="303030"/>
          <w:sz w:val="23"/>
          <w:szCs w:val="23"/>
        </w:rPr>
      </w:pPr>
      <w:r>
        <w:rPr>
          <w:rFonts w:ascii="Roboto" w:hAnsi="Roboto"/>
          <w:color w:val="303030"/>
          <w:sz w:val="23"/>
          <w:szCs w:val="23"/>
        </w:rPr>
        <w:t>Business continuity strategy (clause A.17.2.1)</w:t>
      </w:r>
    </w:p>
    <w:p w14:paraId="6E5E84DC" w14:textId="77777777" w:rsidR="00FF4712" w:rsidRDefault="00FF4712" w:rsidP="00FF4712">
      <w:pPr>
        <w:shd w:val="clear" w:color="auto" w:fill="FFFFFF"/>
        <w:spacing w:after="225" w:line="372" w:lineRule="atLeast"/>
        <w:ind w:left="720"/>
        <w:rPr>
          <w:rFonts w:ascii="Roboto" w:hAnsi="Roboto"/>
          <w:color w:val="303030"/>
          <w:sz w:val="23"/>
          <w:szCs w:val="23"/>
        </w:rPr>
      </w:pPr>
    </w:p>
    <w:p w14:paraId="092B8B10" w14:textId="77777777" w:rsidR="002D6CA9" w:rsidRDefault="002D6CA9"/>
    <w:sectPr w:rsidR="002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7F25"/>
    <w:multiLevelType w:val="multilevel"/>
    <w:tmpl w:val="096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F7BDF"/>
    <w:multiLevelType w:val="multilevel"/>
    <w:tmpl w:val="EED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161A1"/>
    <w:multiLevelType w:val="multilevel"/>
    <w:tmpl w:val="4510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37D05"/>
    <w:multiLevelType w:val="multilevel"/>
    <w:tmpl w:val="D8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44683">
    <w:abstractNumId w:val="1"/>
  </w:num>
  <w:num w:numId="2" w16cid:durableId="248587677">
    <w:abstractNumId w:val="2"/>
  </w:num>
  <w:num w:numId="3" w16cid:durableId="939291539">
    <w:abstractNumId w:val="0"/>
  </w:num>
  <w:num w:numId="4" w16cid:durableId="228157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9"/>
    <w:rsid w:val="002D6CA9"/>
    <w:rsid w:val="008138D9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4BC5"/>
  <w15:chartTrackingRefBased/>
  <w15:docId w15:val="{D34D5F6A-1A6B-4CFD-BF28-1E15E95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4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2022-12-12T13:10:00Z</dcterms:created>
  <dcterms:modified xsi:type="dcterms:W3CDTF">2022-12-12T13:11:00Z</dcterms:modified>
</cp:coreProperties>
</file>