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Aptos Display" w:hAnsi="Aptos Display"/>
          <w:b/>
          <w:color w:val="17324D"/>
          <w:sz w:val="64"/>
        </w:rPr>
        <w:t>PRIVATE CAPITAL</w:t>
        <w:br/>
        <w:t>FIELD REPORT</w:t>
      </w:r>
    </w:p>
    <w:p>
      <w:pPr>
        <w:spacing w:after="400"/>
        <w:jc w:val="center"/>
      </w:pPr>
      <w:r>
        <w:rPr>
          <w:color w:val="4B6776"/>
          <w:sz w:val="30"/>
        </w:rPr>
        <w:t>AI infrastructure, hedge funds, venture capital, private credit,</w:t>
        <w:br/>
        <w:t>structured debt and off-balance-sheet obligations</w:t>
      </w:r>
    </w:p>
    <w:tbl>
      <w:tblPr>
        <w:tblW w:type="auto" w:w="0"/>
        <w:jc w:val="center"/>
        <w:tblLayout w:type="fixed"/>
        <w:tblLook w:firstColumn="1" w:firstRow="1" w:lastColumn="0" w:lastRow="0" w:noHBand="0" w:noVBand="1" w:val="04A0"/>
        <w:tblBorders>
          <w:top w:val="single" w:sz="6" w:color="D5DEE3"/>
          <w:left w:val="single" w:sz="6" w:color="D5DEE3"/>
          <w:bottom w:val="single" w:sz="6" w:color="D5DEE3"/>
          <w:right w:val="single" w:sz="6" w:color="D5DEE3"/>
          <w:insideH w:val="single" w:sz="6" w:color="D5DEE3"/>
          <w:insideV w:val="single" w:sz="6" w:color="D5DEE3"/>
        </w:tblBorders>
      </w:tblPr>
      <w:tblGrid>
        <w:gridCol w:w="5083"/>
        <w:gridCol w:w="5083"/>
      </w:tblGrid>
      <w:tr>
        <w:tc>
          <w:tcPr>
            <w:tcW w:type="dxa" w:w="1944"/>
            <w:tcMar>
              <w:top w:w="120" w:type="dxa"/>
              <w:start w:w="140" w:type="dxa"/>
              <w:bottom w:w="120" w:type="dxa"/>
              <w:end w:w="140" w:type="dxa"/>
            </w:tcMar>
            <w:shd w:fill="17324D"/>
          </w:tcPr>
          <w:p>
            <w:pPr>
              <w:spacing w:after="0"/>
              <w:jc w:val="left"/>
            </w:pPr>
            <w:r>
              <w:rPr>
                <w:b/>
                <w:color w:val="FFFFFF"/>
                <w:sz w:val="19"/>
              </w:rPr>
              <w:t>As of</w:t>
            </w:r>
          </w:p>
        </w:tc>
        <w:tc>
          <w:tcPr>
            <w:tcW w:type="dxa" w:w="8280"/>
            <w:tcMar>
              <w:top w:w="120" w:type="dxa"/>
              <w:start w:w="140" w:type="dxa"/>
              <w:bottom w:w="120" w:type="dxa"/>
              <w:end w:w="140" w:type="dxa"/>
            </w:tcMar>
            <w:shd w:fill="F4F7F8"/>
          </w:tcPr>
          <w:p>
            <w:pPr>
              <w:spacing w:after="0"/>
              <w:jc w:val="left"/>
            </w:pPr>
            <w:r>
              <w:rPr>
                <w:b w:val="0"/>
                <w:color w:val="232D34"/>
                <w:sz w:val="19"/>
              </w:rPr>
              <w:t>August 4, 2026</w:t>
            </w:r>
          </w:p>
        </w:tc>
        <w:trPr>
          <w:tblHeader/>
        </w:trPr>
      </w:tr>
      <w:tr>
        <w:tc>
          <w:tcPr>
            <w:tcW w:type="dxa" w:w="1944"/>
            <w:tcMar>
              <w:top w:w="120" w:type="dxa"/>
              <w:start w:w="140" w:type="dxa"/>
              <w:bottom w:w="120" w:type="dxa"/>
              <w:end w:w="140" w:type="dxa"/>
            </w:tcMar>
            <w:shd w:fill="17324D"/>
          </w:tcPr>
          <w:p>
            <w:pPr>
              <w:spacing w:after="0"/>
              <w:jc w:val="left"/>
            </w:pPr>
            <w:r>
              <w:rPr>
                <w:b/>
                <w:color w:val="FFFFFF"/>
                <w:sz w:val="19"/>
              </w:rPr>
              <w:t>Scope</w:t>
            </w:r>
          </w:p>
        </w:tc>
        <w:tc>
          <w:tcPr>
            <w:tcW w:type="dxa" w:w="8280"/>
            <w:tcMar>
              <w:top w:w="120" w:type="dxa"/>
              <w:start w:w="140" w:type="dxa"/>
              <w:bottom w:w="120" w:type="dxa"/>
              <w:end w:w="140" w:type="dxa"/>
            </w:tcMar>
            <w:shd w:fill="F4F7F8"/>
          </w:tcPr>
          <w:p>
            <w:pPr>
              <w:spacing w:after="0"/>
              <w:jc w:val="left"/>
            </w:pPr>
            <w:r>
              <w:rPr>
                <w:b w:val="0"/>
                <w:color w:val="232D34"/>
                <w:sz w:val="19"/>
              </w:rPr>
              <w:t>Material U.S.-linked public filings, announced transactions and attributable reporting</w:t>
            </w:r>
          </w:p>
        </w:tc>
      </w:tr>
      <w:tr>
        <w:tc>
          <w:tcPr>
            <w:tcW w:type="dxa" w:w="1944"/>
            <w:tcMar>
              <w:top w:w="120" w:type="dxa"/>
              <w:start w:w="140" w:type="dxa"/>
              <w:bottom w:w="120" w:type="dxa"/>
              <w:end w:w="140" w:type="dxa"/>
            </w:tcMar>
            <w:shd w:fill="17324D"/>
          </w:tcPr>
          <w:p>
            <w:pPr>
              <w:spacing w:after="0"/>
              <w:jc w:val="left"/>
            </w:pPr>
            <w:r>
              <w:rPr>
                <w:b/>
                <w:color w:val="FFFFFF"/>
                <w:sz w:val="19"/>
              </w:rPr>
              <w:t>Primary question</w:t>
            </w:r>
          </w:p>
        </w:tc>
        <w:tc>
          <w:tcPr>
            <w:tcW w:type="dxa" w:w="8280"/>
            <w:tcMar>
              <w:top w:w="120" w:type="dxa"/>
              <w:start w:w="140" w:type="dxa"/>
              <w:bottom w:w="120" w:type="dxa"/>
              <w:end w:w="140" w:type="dxa"/>
            </w:tcMar>
            <w:shd w:fill="F4F7F8"/>
          </w:tcPr>
          <w:p>
            <w:pPr>
              <w:spacing w:after="0"/>
              <w:jc w:val="left"/>
            </w:pPr>
            <w:r>
              <w:rPr>
                <w:b w:val="0"/>
                <w:color w:val="232D34"/>
                <w:sz w:val="19"/>
              </w:rPr>
              <w:t>Who is selling, buying, lending, guaranteeing, gating withdrawals or carrying uncomfortable books?</w:t>
            </w:r>
          </w:p>
        </w:tc>
      </w:tr>
      <w:tr>
        <w:tc>
          <w:tcPr>
            <w:tcW w:type="dxa" w:w="1944"/>
            <w:tcMar>
              <w:top w:w="120" w:type="dxa"/>
              <w:start w:w="140" w:type="dxa"/>
              <w:bottom w:w="120" w:type="dxa"/>
              <w:end w:w="140" w:type="dxa"/>
            </w:tcMar>
            <w:shd w:fill="17324D"/>
          </w:tcPr>
          <w:p>
            <w:pPr>
              <w:spacing w:after="0"/>
              <w:jc w:val="left"/>
            </w:pPr>
            <w:r>
              <w:rPr>
                <w:b/>
                <w:color w:val="FFFFFF"/>
                <w:sz w:val="19"/>
              </w:rPr>
              <w:t>Measurement rule</w:t>
            </w:r>
          </w:p>
        </w:tc>
        <w:tc>
          <w:tcPr>
            <w:tcW w:type="dxa" w:w="8280"/>
            <w:tcMar>
              <w:top w:w="120" w:type="dxa"/>
              <w:start w:w="140" w:type="dxa"/>
              <w:bottom w:w="120" w:type="dxa"/>
              <w:end w:w="140" w:type="dxa"/>
            </w:tcMar>
            <w:shd w:fill="F4F7F8"/>
          </w:tcPr>
          <w:p>
            <w:pPr>
              <w:spacing w:after="0"/>
              <w:jc w:val="left"/>
            </w:pPr>
            <w:r>
              <w:rPr>
                <w:b w:val="0"/>
                <w:color w:val="232D34"/>
                <w:sz w:val="19"/>
              </w:rPr>
              <w:t>Debt, leases, guarantees, purchase commitments and SPV obligations are shown separately; overlapping categories are not added.</w:t>
            </w:r>
          </w:p>
        </w:tc>
      </w:tr>
    </w:tbl>
    <w:p>
      <w:pPr>
        <w:spacing w:before="700"/>
        <w:jc w:val="center"/>
      </w:pPr>
      <w:r>
        <w:rPr>
          <w:color w:val="69767E"/>
          <w:sz w:val="18"/>
        </w:rPr>
        <w:t>Prepared from SEC filings, company announcements and attributed financial reporting.</w:t>
      </w:r>
    </w:p>
    <w:p>
      <w:r>
        <w:br w:type="page"/>
      </w:r>
    </w:p>
    <w:p>
      <w:pPr>
        <w:pStyle w:val="Heading1"/>
        <w:keepNext/>
      </w:pPr>
      <w:r>
        <w:t>How to read this report</w:t>
      </w: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Evidence hierarchy</w:t>
            </w:r>
          </w:p>
          <w:p>
            <w:pPr>
              <w:spacing w:after="0" w:line="252" w:lineRule="auto"/>
            </w:pPr>
            <w:r>
              <w:t>FILED means a regulatory filing or filed exhibit. ANNOUNCED means a company or transaction-party statement. REPORTED means attributable press reporting where contract documents or full books are not public. DERIVED means arithmetic calculated from cited figures. No undisclosed hedge, swap, margin agreement, liquidation preference, side letter or private-company ownership percentage is treated as known.</w:t>
            </w:r>
          </w:p>
        </w:tc>
      </w:tr>
    </w:tbl>
    <w:p>
      <w:pPr>
        <w:spacing w:after="20"/>
      </w:pPr>
    </w:p>
    <w:p>
      <w:pPr>
        <w:spacing w:after="100" w:line="259" w:lineRule="auto"/>
      </w:pPr>
      <w:r>
        <w:t>The field is mapped as a chain rather than a list of companies: operating company → customer contract or lease → special-purpose vehicle or joint venture → lender/bond buyer → alternative manager, insurer, pension, bank warehouse line or wealth vehicle. The same project can appear in several accounting categories. A lease commitment can support SPV debt; a guarantee can protect the debt; and a cloud-purchase commitment can be the revenue source for the lessee. Those figures cannot be added without tracing overlap.</w:t>
      </w:r>
    </w:p>
    <w:p>
      <w:pPr>
        <w:spacing w:after="100" w:line="259" w:lineRule="auto"/>
      </w:pPr>
      <w:r>
        <w:t>“Off balance sheet” is used narrowly: a legal obligation, asset or financing vehicle not yet recognized as conventional debt on the operating company’s current balance sheet. It does not mean secret or fraudulent. Many items are disclosed in footnotes as uncommenced leases, purchase commitments, guarantees, residual-value support, credit derivatives, variable-interest entities or customer prepayments.</w:t>
      </w:r>
    </w:p>
    <w:p>
      <w:pPr>
        <w:pStyle w:val="Heading2"/>
        <w:keepNext/>
      </w:pPr>
      <w:r>
        <w:t>Contents</w:t>
      </w:r>
    </w:p>
    <w:p>
      <w:pPr>
        <w:pStyle w:val="ListBullet"/>
        <w:spacing w:after="60" w:line="250" w:lineRule="auto"/>
      </w:pPr>
      <w:r>
        <w:t>1. Executive field map</w:t>
      </w:r>
    </w:p>
    <w:p>
      <w:pPr>
        <w:pStyle w:val="ListBullet"/>
        <w:spacing w:after="60" w:line="250" w:lineRule="auto"/>
      </w:pPr>
      <w:r>
        <w:t>2. Airtable / Bending Spoons: realized VC valuation reset</w:t>
      </w:r>
    </w:p>
    <w:p>
      <w:pPr>
        <w:pStyle w:val="ListBullet"/>
        <w:spacing w:after="60" w:line="250" w:lineRule="auto"/>
      </w:pPr>
      <w:r>
        <w:t>3. Situational Awareness: the hedge-fund book transferred to Citadel</w:t>
      </w:r>
    </w:p>
    <w:p>
      <w:pPr>
        <w:pStyle w:val="ListBullet"/>
        <w:spacing w:after="60" w:line="250" w:lineRule="auto"/>
      </w:pPr>
      <w:r>
        <w:t>4. Private-credit liquidity and redemption gates</w:t>
      </w:r>
    </w:p>
    <w:p>
      <w:pPr>
        <w:pStyle w:val="ListBullet"/>
        <w:spacing w:after="60" w:line="250" w:lineRule="auto"/>
      </w:pPr>
      <w:r>
        <w:t>5. Manager map: VC, crossover, hedge fund and private credit</w:t>
      </w:r>
    </w:p>
    <w:p>
      <w:pPr>
        <w:pStyle w:val="ListBullet"/>
        <w:spacing w:after="60" w:line="250" w:lineRule="auto"/>
      </w:pPr>
      <w:r>
        <w:t>6. Leveraged software and lender-to-owner restructurings</w:t>
      </w:r>
    </w:p>
    <w:p>
      <w:pPr>
        <w:pStyle w:val="ListBullet"/>
        <w:spacing w:after="60" w:line="250" w:lineRule="auto"/>
      </w:pPr>
      <w:r>
        <w:t>7. AI spender capital chains: Meta, Alphabet, Amazon, Oracle, Microsoft, CoreWeave and xAI</w:t>
      </w:r>
    </w:p>
    <w:p>
      <w:pPr>
        <w:pStyle w:val="ListBullet"/>
        <w:spacing w:after="60" w:line="250" w:lineRule="auto"/>
      </w:pPr>
      <w:r>
        <w:t>8. Jefferies / Point Bonita / First Brands: collateral-control failure</w:t>
      </w:r>
    </w:p>
    <w:p>
      <w:pPr>
        <w:pStyle w:val="ListBullet"/>
        <w:spacing w:after="60" w:line="250" w:lineRule="auto"/>
      </w:pPr>
      <w:r>
        <w:t>9. Consolidated uncomfortable-books matrix</w:t>
      </w:r>
    </w:p>
    <w:p>
      <w:pPr>
        <w:pStyle w:val="ListBullet"/>
        <w:spacing w:after="60" w:line="250" w:lineRule="auto"/>
      </w:pPr>
      <w:r>
        <w:t>10. Numerical appendix and source register</w:t>
      </w:r>
    </w:p>
    <w:p>
      <w:r>
        <w:br w:type="page"/>
      </w:r>
    </w:p>
    <w:p>
      <w:pPr>
        <w:pStyle w:val="Heading1"/>
        <w:keepNext/>
      </w:pPr>
      <w:r>
        <w:t>1. Executive field map</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2232"/>
            <w:shd w:fill="17324D"/>
            <w:vAlign w:val="center"/>
            <w:tcMar>
              <w:top w:w="100" w:type="dxa"/>
              <w:start w:w="110" w:type="dxa"/>
              <w:bottom w:w="100" w:type="dxa"/>
              <w:end w:w="110" w:type="dxa"/>
            </w:tcMar>
          </w:tcPr>
          <w:p>
            <w:pPr>
              <w:jc w:val="center"/>
            </w:pPr>
            <w:r/>
            <w:r>
              <w:rPr>
                <w:b/>
                <w:color w:val="FFFFFF"/>
                <w:sz w:val="17"/>
              </w:rPr>
              <w:t>Metric</w:t>
            </w:r>
          </w:p>
        </w:tc>
        <w:tc>
          <w:tcPr>
            <w:tcW w:type="dxa" w:w="1800"/>
            <w:shd w:fill="17324D"/>
            <w:vAlign w:val="center"/>
            <w:tcMar>
              <w:top w:w="100" w:type="dxa"/>
              <w:start w:w="110" w:type="dxa"/>
              <w:bottom w:w="100" w:type="dxa"/>
              <w:end w:w="110" w:type="dxa"/>
            </w:tcMar>
          </w:tcPr>
          <w:p>
            <w:pPr>
              <w:jc w:val="center"/>
            </w:pPr>
            <w:r/>
            <w:r>
              <w:rPr>
                <w:b/>
                <w:color w:val="FFFFFF"/>
                <w:sz w:val="17"/>
              </w:rPr>
              <w:t>Amount</w:t>
            </w:r>
          </w:p>
        </w:tc>
        <w:tc>
          <w:tcPr>
            <w:tcW w:type="dxa" w:w="6192"/>
            <w:shd w:fill="17324D"/>
            <w:vAlign w:val="center"/>
            <w:tcMar>
              <w:top w:w="100" w:type="dxa"/>
              <w:start w:w="110" w:type="dxa"/>
              <w:bottom w:w="100" w:type="dxa"/>
              <w:end w:w="110" w:type="dxa"/>
            </w:tcMar>
          </w:tcPr>
          <w:p>
            <w:pPr>
              <w:jc w:val="center"/>
            </w:pPr>
            <w:r/>
            <w:r>
              <w:rPr>
                <w:b/>
                <w:color w:val="FFFFFF"/>
                <w:sz w:val="17"/>
              </w:rPr>
              <w:t>Meaning</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7"/>
              </w:rPr>
              <w:t>Airtable equity reset</w:t>
            </w:r>
          </w:p>
        </w:tc>
        <w:tc>
          <w:tcPr>
            <w:tcW w:type="dxa" w:w="1800"/>
            <w:vAlign w:val="center"/>
            <w:tcMar>
              <w:top w:w="90" w:type="dxa"/>
              <w:start w:w="100" w:type="dxa"/>
              <w:bottom w:w="90" w:type="dxa"/>
              <w:end w:w="100" w:type="dxa"/>
            </w:tcMar>
          </w:tcPr>
          <w:p>
            <w:pPr>
              <w:spacing w:after="0" w:line="240" w:lineRule="auto"/>
              <w:jc w:val="center"/>
            </w:pPr>
            <w:r/>
            <w:r>
              <w:rPr>
                <w:color w:val="232D34"/>
                <w:sz w:val="17"/>
              </w:rPr>
              <w:t>-$9.485B</w:t>
            </w:r>
          </w:p>
        </w:tc>
        <w:tc>
          <w:tcPr>
            <w:tcW w:type="dxa" w:w="6192"/>
            <w:vAlign w:val="center"/>
            <w:tcMar>
              <w:top w:w="90" w:type="dxa"/>
              <w:start w:w="100" w:type="dxa"/>
              <w:bottom w:w="90" w:type="dxa"/>
              <w:end w:w="100" w:type="dxa"/>
            </w:tcMar>
          </w:tcPr>
          <w:p>
            <w:pPr>
              <w:spacing w:after="0" w:line="240" w:lineRule="auto"/>
            </w:pPr>
            <w:r/>
            <w:r>
              <w:rPr>
                <w:color w:val="232D34"/>
                <w:sz w:val="17"/>
              </w:rPr>
              <w:t>2021 post-money $11.735B to 2026 equity value $2.25B; -80.8%.</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7"/>
              </w:rPr>
              <w:t>SA 13F reported value</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7"/>
              </w:rPr>
              <w:t>$13.677B</w:t>
            </w:r>
          </w:p>
        </w:tc>
        <w:tc>
          <w:tcPr>
            <w:tcW w:type="dxa" w:w="6192"/>
            <w:vAlign w:val="center"/>
            <w:tcMar>
              <w:top w:w="90" w:type="dxa"/>
              <w:start w:w="100" w:type="dxa"/>
              <w:bottom w:w="90" w:type="dxa"/>
              <w:end w:w="100" w:type="dxa"/>
            </w:tcMar>
            <w:shd w:fill="F5F7F8"/>
          </w:tcPr>
          <w:p>
            <w:pPr>
              <w:spacing w:after="0" w:line="240" w:lineRule="auto"/>
            </w:pPr>
            <w:r/>
            <w:r>
              <w:rPr>
                <w:color w:val="232D34"/>
                <w:sz w:val="17"/>
              </w:rPr>
              <w:t>61.85% puts, 28.19% common stock, 9.96% calls; not equal to cash invested or total AUM.</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7"/>
              </w:rPr>
              <w:t>Private-credit requests</w:t>
            </w:r>
          </w:p>
        </w:tc>
        <w:tc>
          <w:tcPr>
            <w:tcW w:type="dxa" w:w="1800"/>
            <w:vAlign w:val="center"/>
            <w:tcMar>
              <w:top w:w="90" w:type="dxa"/>
              <w:start w:w="100" w:type="dxa"/>
              <w:bottom w:w="90" w:type="dxa"/>
              <w:end w:w="100" w:type="dxa"/>
            </w:tcMar>
          </w:tcPr>
          <w:p>
            <w:pPr>
              <w:spacing w:after="0" w:line="240" w:lineRule="auto"/>
              <w:jc w:val="center"/>
            </w:pPr>
            <w:r/>
            <w:r>
              <w:rPr>
                <w:color w:val="232D34"/>
                <w:sz w:val="17"/>
              </w:rPr>
              <w:t>$15.6B</w:t>
            </w:r>
          </w:p>
        </w:tc>
        <w:tc>
          <w:tcPr>
            <w:tcW w:type="dxa" w:w="6192"/>
            <w:vAlign w:val="center"/>
            <w:tcMar>
              <w:top w:w="90" w:type="dxa"/>
              <w:start w:w="100" w:type="dxa"/>
              <w:bottom w:w="90" w:type="dxa"/>
              <w:end w:w="100" w:type="dxa"/>
            </w:tcMar>
          </w:tcPr>
          <w:p>
            <w:pPr>
              <w:spacing w:after="0" w:line="240" w:lineRule="auto"/>
            </w:pPr>
            <w:r/>
            <w:r>
              <w:rPr>
                <w:color w:val="232D34"/>
                <w:sz w:val="17"/>
              </w:rPr>
              <w:t>Q2 2026 requests across widely held funds; $5.9B paid; $9.7B remained unmet.</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7"/>
              </w:rPr>
              <w:t>Meta uncommenced leases</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7"/>
              </w:rPr>
              <w:t>$278.99B</w:t>
            </w:r>
          </w:p>
        </w:tc>
        <w:tc>
          <w:tcPr>
            <w:tcW w:type="dxa" w:w="6192"/>
            <w:vAlign w:val="center"/>
            <w:tcMar>
              <w:top w:w="90" w:type="dxa"/>
              <w:start w:w="100" w:type="dxa"/>
              <w:bottom w:w="90" w:type="dxa"/>
              <w:end w:w="100" w:type="dxa"/>
            </w:tcMar>
            <w:shd w:fill="F5F7F8"/>
          </w:tcPr>
          <w:p>
            <w:pPr>
              <w:spacing w:after="0" w:line="240" w:lineRule="auto"/>
            </w:pPr>
            <w:r/>
            <w:r>
              <w:rPr>
                <w:color w:val="232D34"/>
                <w:sz w:val="17"/>
              </w:rPr>
              <w:t>Plus $68B signed in July after quarter-end; overlapping with broader infrastructure commitments.</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7"/>
              </w:rPr>
              <w:t>Alphabet commitments</w:t>
            </w:r>
          </w:p>
        </w:tc>
        <w:tc>
          <w:tcPr>
            <w:tcW w:type="dxa" w:w="1800"/>
            <w:vAlign w:val="center"/>
            <w:tcMar>
              <w:top w:w="90" w:type="dxa"/>
              <w:start w:w="100" w:type="dxa"/>
              <w:bottom w:w="90" w:type="dxa"/>
              <w:end w:w="100" w:type="dxa"/>
            </w:tcMar>
          </w:tcPr>
          <w:p>
            <w:pPr>
              <w:spacing w:after="0" w:line="240" w:lineRule="auto"/>
              <w:jc w:val="center"/>
            </w:pPr>
            <w:r/>
            <w:r>
              <w:rPr>
                <w:color w:val="232D34"/>
                <w:sz w:val="17"/>
              </w:rPr>
              <w:t>$811.0B</w:t>
            </w:r>
          </w:p>
        </w:tc>
        <w:tc>
          <w:tcPr>
            <w:tcW w:type="dxa" w:w="6192"/>
            <w:vAlign w:val="center"/>
            <w:tcMar>
              <w:top w:w="90" w:type="dxa"/>
              <w:start w:w="100" w:type="dxa"/>
              <w:bottom w:w="90" w:type="dxa"/>
              <w:end w:w="100" w:type="dxa"/>
            </w:tcMar>
          </w:tcPr>
          <w:p>
            <w:pPr>
              <w:spacing w:after="0" w:line="240" w:lineRule="auto"/>
            </w:pPr>
            <w:r/>
            <w:r>
              <w:rPr>
                <w:color w:val="232D34"/>
                <w:sz w:val="17"/>
              </w:rPr>
              <w:t>Includes a $707.0B energy/service subset; do not add the subset to the total.</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7"/>
              </w:rPr>
              <w:t>Amazon commitments</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7"/>
              </w:rPr>
              <w:t>$569.28B</w:t>
            </w:r>
          </w:p>
        </w:tc>
        <w:tc>
          <w:tcPr>
            <w:tcW w:type="dxa" w:w="6192"/>
            <w:vAlign w:val="center"/>
            <w:tcMar>
              <w:top w:w="90" w:type="dxa"/>
              <w:start w:w="100" w:type="dxa"/>
              <w:bottom w:w="90" w:type="dxa"/>
              <w:end w:w="100" w:type="dxa"/>
            </w:tcMar>
            <w:shd w:fill="F5F7F8"/>
          </w:tcPr>
          <w:p>
            <w:pPr>
              <w:spacing w:after="0" w:line="240" w:lineRule="auto"/>
            </w:pPr>
            <w:r/>
            <w:r>
              <w:rPr>
                <w:color w:val="232D34"/>
                <w:sz w:val="17"/>
              </w:rPr>
              <w:t>At March 31, 2026, including debt service, leases, uncommenced leases and purchases.</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7"/>
              </w:rPr>
              <w:t>Oracle FY2026 FCF</w:t>
            </w:r>
          </w:p>
        </w:tc>
        <w:tc>
          <w:tcPr>
            <w:tcW w:type="dxa" w:w="1800"/>
            <w:vAlign w:val="center"/>
            <w:tcMar>
              <w:top w:w="90" w:type="dxa"/>
              <w:start w:w="100" w:type="dxa"/>
              <w:bottom w:w="90" w:type="dxa"/>
              <w:end w:w="100" w:type="dxa"/>
            </w:tcMar>
          </w:tcPr>
          <w:p>
            <w:pPr>
              <w:spacing w:after="0" w:line="240" w:lineRule="auto"/>
              <w:jc w:val="center"/>
            </w:pPr>
            <w:r/>
            <w:r>
              <w:rPr>
                <w:color w:val="232D34"/>
                <w:sz w:val="17"/>
              </w:rPr>
              <w:t>-$23.686B</w:t>
            </w:r>
          </w:p>
        </w:tc>
        <w:tc>
          <w:tcPr>
            <w:tcW w:type="dxa" w:w="6192"/>
            <w:vAlign w:val="center"/>
            <w:tcMar>
              <w:top w:w="90" w:type="dxa"/>
              <w:start w:w="100" w:type="dxa"/>
              <w:bottom w:w="90" w:type="dxa"/>
              <w:end w:w="100" w:type="dxa"/>
            </w:tcMar>
          </w:tcPr>
          <w:p>
            <w:pPr>
              <w:spacing w:after="0" w:line="240" w:lineRule="auto"/>
            </w:pPr>
            <w:r/>
            <w:r>
              <w:rPr>
                <w:color w:val="232D34"/>
                <w:sz w:val="17"/>
              </w:rPr>
              <w:t>$55.663B capex versus $31.977B operating cash flow.</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7"/>
              </w:rPr>
              <w:t>Microsoft uncommenced leases</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7"/>
              </w:rPr>
              <w:t>$196.6B</w:t>
            </w:r>
          </w:p>
        </w:tc>
        <w:tc>
          <w:tcPr>
            <w:tcW w:type="dxa" w:w="6192"/>
            <w:vAlign w:val="center"/>
            <w:tcMar>
              <w:top w:w="90" w:type="dxa"/>
              <w:start w:w="100" w:type="dxa"/>
              <w:bottom w:w="90" w:type="dxa"/>
              <w:end w:w="100" w:type="dxa"/>
            </w:tcMar>
            <w:shd w:fill="F5F7F8"/>
          </w:tcPr>
          <w:p>
            <w:pPr>
              <w:spacing w:after="0" w:line="240" w:lineRule="auto"/>
            </w:pPr>
            <w:r/>
            <w:r>
              <w:rPr>
                <w:color w:val="232D34"/>
                <w:sz w:val="17"/>
              </w:rPr>
              <w:t>At March 31, 2026; separate from recognized lease liabilities.</w:t>
            </w:r>
          </w:p>
        </w:tc>
      </w:tr>
    </w:tbl>
    <w:p>
      <w:pPr>
        <w:spacing w:after="20"/>
      </w:pPr>
    </w:p>
    <w:p>
      <w:pPr>
        <w:pStyle w:val="Heading2"/>
        <w:keepNext/>
      </w:pPr>
      <w:r>
        <w:t>What is moving now</w:t>
      </w:r>
    </w:p>
    <w:p>
      <w:pPr>
        <w:pStyle w:val="ListBullet"/>
        <w:spacing w:after="60" w:line="250" w:lineRule="auto"/>
      </w:pPr>
      <w:r>
        <w:t>Bending Spoons is buying Airtable for approximately $1.285B enterprise value and $2.25B implied equity value, using Airtable’s roughly $965M of net cash as the bridge between the two values. That crystallizes a severe late-2021 SaaS mark-down while preserving the fact that shareholders receive the cash on the balance sheet.</w:t>
      </w:r>
      <w:r>
        <w:rPr>
          <w:color w:val="2F5E75"/>
          <w:sz w:val="16"/>
          <w:vertAlign w:val="superscript"/>
        </w:rPr>
        <w:t xml:space="preserve"> [S1,S2,S3]</w:t>
      </w:r>
    </w:p>
    <w:p>
      <w:pPr>
        <w:pStyle w:val="ListBullet"/>
        <w:spacing w:after="60" w:line="250" w:lineRule="auto"/>
      </w:pPr>
      <w:r>
        <w:t>Situational Awareness transferred its public-equity portfolio to Citadel after reported losses and financing pressure. Its March 31 13F showed $13.677B of reportable value, dominated by put positions; press reports put total AUM around or above $20B. Private assets and non-13F positions are not disclosed.</w:t>
      </w:r>
      <w:r>
        <w:rPr>
          <w:color w:val="2F5E75"/>
          <w:sz w:val="16"/>
          <w:vertAlign w:val="superscript"/>
        </w:rPr>
        <w:t xml:space="preserve"> [S5,S6,S7,S8]</w:t>
      </w:r>
    </w:p>
    <w:p>
      <w:pPr>
        <w:pStyle w:val="ListBullet"/>
        <w:spacing w:after="60" w:line="250" w:lineRule="auto"/>
      </w:pPr>
      <w:r>
        <w:t>Private-credit wealth vehicles are not paying all requested withdrawals. Q2 requests reached $15.6B across widely held funds, while $5.9B was paid. The funds are operating according to contractual 5% quarterly repurchase limits, but the scale of unmet requests demonstrates the liquidity mismatch.</w:t>
      </w:r>
      <w:r>
        <w:rPr>
          <w:color w:val="2F5E75"/>
          <w:sz w:val="16"/>
          <w:vertAlign w:val="superscript"/>
        </w:rPr>
        <w:t xml:space="preserve"> [S31,S32,S33,S34,S35]</w:t>
      </w:r>
    </w:p>
    <w:p>
      <w:pPr>
        <w:pStyle w:val="ListBullet"/>
        <w:spacing w:after="60" w:line="250" w:lineRule="auto"/>
      </w:pPr>
      <w:r>
        <w:t>The hyperscaler build is migrating from direct capex into combinations of uncommenced leases, customer commitments, guarantees, residual-value support, SPVs and private placements. The economic risk remains connected to the operating companies even when legal debt sits in a project vehicle.</w:t>
      </w:r>
      <w:r>
        <w:rPr>
          <w:color w:val="2F5E75"/>
          <w:sz w:val="16"/>
          <w:vertAlign w:val="superscript"/>
        </w:rPr>
        <w:t xml:space="preserve"> [S10,S11,S12,S13,S14,S16,S25]</w:t>
      </w:r>
    </w:p>
    <w:p>
      <w:pPr>
        <w:pStyle w:val="ListBullet"/>
        <w:spacing w:after="60" w:line="250" w:lineRule="auto"/>
      </w:pPr>
      <w:r>
        <w:t>Legacy leveraged software is repricing at the same time that managers are extending longer-duration capital to AI infrastructure. Medallia’s lenders became owners; Proofpoint’s refinancing cost reportedly rose toward 9.3% from roughly 3%; Blue Owl is shifting its growth emphasis from direct lending toward real assets.</w:t>
      </w:r>
      <w:r>
        <w:rPr>
          <w:color w:val="2F5E75"/>
          <w:sz w:val="16"/>
          <w:vertAlign w:val="superscript"/>
        </w:rPr>
        <w:t xml:space="preserve"> [S36,S38,S39]</w:t>
      </w:r>
    </w:p>
    <w:p>
      <w:pPr>
        <w:pStyle w:val="Heading2"/>
        <w:keepNext/>
      </w:pPr>
      <w:r>
        <w:t>Who is selling, buying or absorbing risk</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1694"/>
        <w:gridCol w:w="1694"/>
        <w:gridCol w:w="1694"/>
        <w:gridCol w:w="1694"/>
        <w:gridCol w:w="1694"/>
        <w:gridCol w:w="1694"/>
      </w:tblGrid>
      <w:tr>
        <w:trPr>
          <w:tblHeader w:val="true"/>
        </w:trPr>
        <w:tc>
          <w:tcPr>
            <w:tcW w:type="dxa" w:w="1512"/>
            <w:shd w:fill="17324D"/>
            <w:vAlign w:val="center"/>
            <w:tcMar>
              <w:top w:w="100" w:type="dxa"/>
              <w:start w:w="110" w:type="dxa"/>
              <w:bottom w:w="100" w:type="dxa"/>
              <w:end w:w="110" w:type="dxa"/>
            </w:tcMar>
          </w:tcPr>
          <w:p>
            <w:pPr>
              <w:jc w:val="center"/>
            </w:pPr>
            <w:r/>
            <w:r>
              <w:rPr>
                <w:b/>
                <w:color w:val="FFFFFF"/>
                <w:sz w:val="15"/>
              </w:rPr>
              <w:t>Seller / obligor</w:t>
            </w:r>
          </w:p>
        </w:tc>
        <w:tc>
          <w:tcPr>
            <w:tcW w:type="dxa" w:w="1152"/>
            <w:shd w:fill="17324D"/>
            <w:vAlign w:val="center"/>
            <w:tcMar>
              <w:top w:w="100" w:type="dxa"/>
              <w:start w:w="110" w:type="dxa"/>
              <w:bottom w:w="100" w:type="dxa"/>
              <w:end w:w="110" w:type="dxa"/>
            </w:tcMar>
          </w:tcPr>
          <w:p>
            <w:pPr>
              <w:jc w:val="center"/>
            </w:pPr>
            <w:r/>
            <w:r>
              <w:rPr>
                <w:b/>
                <w:color w:val="FFFFFF"/>
                <w:sz w:val="15"/>
              </w:rPr>
              <w:t>Action</w:t>
            </w:r>
          </w:p>
        </w:tc>
        <w:tc>
          <w:tcPr>
            <w:tcW w:type="dxa" w:w="1728"/>
            <w:shd w:fill="17324D"/>
            <w:vAlign w:val="center"/>
            <w:tcMar>
              <w:top w:w="100" w:type="dxa"/>
              <w:start w:w="110" w:type="dxa"/>
              <w:bottom w:w="100" w:type="dxa"/>
              <w:end w:w="110" w:type="dxa"/>
            </w:tcMar>
          </w:tcPr>
          <w:p>
            <w:pPr>
              <w:jc w:val="center"/>
            </w:pPr>
            <w:r/>
            <w:r>
              <w:rPr>
                <w:b/>
                <w:color w:val="FFFFFF"/>
                <w:sz w:val="15"/>
              </w:rPr>
              <w:t>Buyer / capital provider</w:t>
            </w:r>
          </w:p>
        </w:tc>
        <w:tc>
          <w:tcPr>
            <w:tcW w:type="dxa" w:w="1512"/>
            <w:shd w:fill="17324D"/>
            <w:vAlign w:val="center"/>
            <w:tcMar>
              <w:top w:w="100" w:type="dxa"/>
              <w:start w:w="110" w:type="dxa"/>
              <w:bottom w:w="100" w:type="dxa"/>
              <w:end w:w="110" w:type="dxa"/>
            </w:tcMar>
          </w:tcPr>
          <w:p>
            <w:pPr>
              <w:jc w:val="center"/>
            </w:pPr>
            <w:r/>
            <w:r>
              <w:rPr>
                <w:b/>
                <w:color w:val="FFFFFF"/>
                <w:sz w:val="15"/>
              </w:rPr>
              <w:t>Amount</w:t>
            </w:r>
          </w:p>
        </w:tc>
        <w:tc>
          <w:tcPr>
            <w:tcW w:type="dxa" w:w="3311"/>
            <w:shd w:fill="17324D"/>
            <w:vAlign w:val="center"/>
            <w:tcMar>
              <w:top w:w="100" w:type="dxa"/>
              <w:start w:w="110" w:type="dxa"/>
              <w:bottom w:w="100" w:type="dxa"/>
              <w:end w:w="110" w:type="dxa"/>
            </w:tcMar>
          </w:tcPr>
          <w:p>
            <w:pPr>
              <w:jc w:val="center"/>
            </w:pPr>
            <w:r/>
            <w:r>
              <w:rPr>
                <w:b/>
                <w:color w:val="FFFFFF"/>
                <w:sz w:val="15"/>
              </w:rPr>
              <w:t>Book transferred or created</w:t>
            </w:r>
          </w:p>
        </w:tc>
        <w:tc>
          <w:tcPr>
            <w:tcW w:type="dxa" w:w="864"/>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1512"/>
            <w:vAlign w:val="center"/>
            <w:tcMar>
              <w:top w:w="90" w:type="dxa"/>
              <w:start w:w="100" w:type="dxa"/>
              <w:bottom w:w="90" w:type="dxa"/>
              <w:end w:w="100" w:type="dxa"/>
            </w:tcMar>
          </w:tcPr>
          <w:p>
            <w:pPr>
              <w:spacing w:after="0" w:line="240" w:lineRule="auto"/>
            </w:pPr>
            <w:r/>
            <w:r>
              <w:rPr>
                <w:color w:val="232D34"/>
                <w:sz w:val="15"/>
              </w:rPr>
              <w:t>Airtable shareholders / VC funds</w:t>
            </w:r>
          </w:p>
        </w:tc>
        <w:tc>
          <w:tcPr>
            <w:tcW w:type="dxa" w:w="1152"/>
            <w:vAlign w:val="center"/>
            <w:tcMar>
              <w:top w:w="90" w:type="dxa"/>
              <w:start w:w="100" w:type="dxa"/>
              <w:bottom w:w="90" w:type="dxa"/>
              <w:end w:w="100" w:type="dxa"/>
            </w:tcMar>
          </w:tcPr>
          <w:p>
            <w:pPr>
              <w:spacing w:after="0" w:line="240" w:lineRule="auto"/>
              <w:jc w:val="center"/>
            </w:pPr>
            <w:r/>
            <w:r>
              <w:rPr>
                <w:color w:val="232D34"/>
                <w:sz w:val="15"/>
              </w:rPr>
              <w:t>Selling</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Bending Spoons</w:t>
            </w:r>
          </w:p>
        </w:tc>
        <w:tc>
          <w:tcPr>
            <w:tcW w:type="dxa" w:w="1512"/>
            <w:vAlign w:val="center"/>
            <w:tcMar>
              <w:top w:w="90" w:type="dxa"/>
              <w:start w:w="100" w:type="dxa"/>
              <w:bottom w:w="90" w:type="dxa"/>
              <w:end w:w="100" w:type="dxa"/>
            </w:tcMar>
          </w:tcPr>
          <w:p>
            <w:pPr>
              <w:spacing w:after="0" w:line="240" w:lineRule="auto"/>
            </w:pPr>
            <w:r/>
            <w:r>
              <w:rPr>
                <w:color w:val="232D34"/>
                <w:sz w:val="15"/>
              </w:rPr>
              <w:t>$2.25B equity value / $1.285B EV</w:t>
            </w:r>
          </w:p>
        </w:tc>
        <w:tc>
          <w:tcPr>
            <w:tcW w:type="dxa" w:w="3311"/>
            <w:vAlign w:val="center"/>
            <w:tcMar>
              <w:top w:w="90" w:type="dxa"/>
              <w:start w:w="100" w:type="dxa"/>
              <w:bottom w:w="90" w:type="dxa"/>
              <w:end w:w="100" w:type="dxa"/>
            </w:tcMar>
          </w:tcPr>
          <w:p>
            <w:pPr>
              <w:spacing w:after="0" w:line="240" w:lineRule="auto"/>
            </w:pPr>
            <w:r/>
            <w:r>
              <w:rPr>
                <w:color w:val="232D34"/>
                <w:sz w:val="15"/>
              </w:rPr>
              <w:t>Realized valuation reset; investor-by-investor returns undisclosed</w:t>
            </w:r>
          </w:p>
        </w:tc>
        <w:tc>
          <w:tcPr>
            <w:tcW w:type="dxa" w:w="864"/>
            <w:vAlign w:val="center"/>
            <w:tcMar>
              <w:top w:w="90" w:type="dxa"/>
              <w:start w:w="100" w:type="dxa"/>
              <w:bottom w:w="90" w:type="dxa"/>
              <w:end w:w="100" w:type="dxa"/>
            </w:tcMar>
          </w:tcPr>
          <w:p>
            <w:pPr>
              <w:spacing w:after="0" w:line="240" w:lineRule="auto"/>
              <w:jc w:val="center"/>
            </w:pPr>
            <w:r/>
            <w:r>
              <w:rPr>
                <w:color w:val="2F5E75"/>
                <w:sz w:val="15"/>
              </w:rPr>
              <w:t>S2,S3</w:t>
            </w:r>
          </w:p>
        </w:tc>
      </w:tr>
      <w:tr>
        <w:trPr>
          <w:cantSplit/>
        </w:trPr>
        <w:tc>
          <w:tcPr>
            <w:tcW w:type="dxa" w:w="1512"/>
            <w:vAlign w:val="center"/>
            <w:tcMar>
              <w:top w:w="90" w:type="dxa"/>
              <w:start w:w="100" w:type="dxa"/>
              <w:bottom w:w="90" w:type="dxa"/>
              <w:end w:w="100" w:type="dxa"/>
            </w:tcMar>
            <w:shd w:fill="F5F7F8"/>
          </w:tcPr>
          <w:p>
            <w:pPr>
              <w:spacing w:after="0" w:line="240" w:lineRule="auto"/>
            </w:pPr>
            <w:r/>
            <w:r>
              <w:rPr>
                <w:color w:val="232D34"/>
                <w:sz w:val="15"/>
              </w:rPr>
              <w:t>Situational Awareness</w:t>
            </w:r>
          </w:p>
        </w:tc>
        <w:tc>
          <w:tcPr>
            <w:tcW w:type="dxa" w:w="1152"/>
            <w:vAlign w:val="center"/>
            <w:tcMar>
              <w:top w:w="90" w:type="dxa"/>
              <w:start w:w="100" w:type="dxa"/>
              <w:bottom w:w="90" w:type="dxa"/>
              <w:end w:w="100" w:type="dxa"/>
            </w:tcMar>
            <w:shd w:fill="F5F7F8"/>
          </w:tcPr>
          <w:p>
            <w:pPr>
              <w:spacing w:after="0" w:line="240" w:lineRule="auto"/>
              <w:jc w:val="center"/>
            </w:pPr>
            <w:r/>
            <w:r>
              <w:rPr>
                <w:color w:val="232D34"/>
                <w:sz w:val="15"/>
              </w:rPr>
              <w:t>Selling / transferring</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Citadel</w:t>
            </w:r>
          </w:p>
        </w:tc>
        <w:tc>
          <w:tcPr>
            <w:tcW w:type="dxa" w:w="1512"/>
            <w:vAlign w:val="center"/>
            <w:tcMar>
              <w:top w:w="90" w:type="dxa"/>
              <w:start w:w="100" w:type="dxa"/>
              <w:bottom w:w="90" w:type="dxa"/>
              <w:end w:w="100" w:type="dxa"/>
            </w:tcMar>
            <w:shd w:fill="F5F7F8"/>
          </w:tcPr>
          <w:p>
            <w:pPr>
              <w:spacing w:after="0" w:line="240" w:lineRule="auto"/>
            </w:pPr>
            <w:r/>
            <w:r>
              <w:rPr>
                <w:color w:val="232D34"/>
                <w:sz w:val="15"/>
              </w:rPr>
              <w:t>Public-equity book; price undisclosed</w:t>
            </w:r>
          </w:p>
        </w:tc>
        <w:tc>
          <w:tcPr>
            <w:tcW w:type="dxa" w:w="3311"/>
            <w:vAlign w:val="center"/>
            <w:tcMar>
              <w:top w:w="90" w:type="dxa"/>
              <w:start w:w="100" w:type="dxa"/>
              <w:bottom w:w="90" w:type="dxa"/>
              <w:end w:w="100" w:type="dxa"/>
            </w:tcMar>
            <w:shd w:fill="F5F7F8"/>
          </w:tcPr>
          <w:p>
            <w:pPr>
              <w:spacing w:after="0" w:line="240" w:lineRule="auto"/>
            </w:pPr>
            <w:r/>
            <w:r>
              <w:rPr>
                <w:color w:val="232D34"/>
                <w:sz w:val="15"/>
              </w:rPr>
              <w:t>Stressed leveraged positions and hedges not visible</w:t>
            </w:r>
          </w:p>
        </w:tc>
        <w:tc>
          <w:tcPr>
            <w:tcW w:type="dxa" w:w="864"/>
            <w:vAlign w:val="center"/>
            <w:tcMar>
              <w:top w:w="90" w:type="dxa"/>
              <w:start w:w="100" w:type="dxa"/>
              <w:bottom w:w="90" w:type="dxa"/>
              <w:end w:w="100" w:type="dxa"/>
            </w:tcMar>
            <w:shd w:fill="F5F7F8"/>
          </w:tcPr>
          <w:p>
            <w:pPr>
              <w:spacing w:after="0" w:line="240" w:lineRule="auto"/>
              <w:jc w:val="center"/>
            </w:pPr>
            <w:r/>
            <w:r>
              <w:rPr>
                <w:color w:val="2F5E75"/>
                <w:sz w:val="15"/>
              </w:rPr>
              <w:t>S7,S8</w:t>
            </w:r>
          </w:p>
        </w:tc>
      </w:tr>
      <w:tr>
        <w:trPr>
          <w:cantSplit/>
        </w:trPr>
        <w:tc>
          <w:tcPr>
            <w:tcW w:type="dxa" w:w="1512"/>
            <w:vAlign w:val="center"/>
            <w:tcMar>
              <w:top w:w="90" w:type="dxa"/>
              <w:start w:w="100" w:type="dxa"/>
              <w:bottom w:w="90" w:type="dxa"/>
              <w:end w:w="100" w:type="dxa"/>
            </w:tcMar>
          </w:tcPr>
          <w:p>
            <w:pPr>
              <w:spacing w:after="0" w:line="240" w:lineRule="auto"/>
            </w:pPr>
            <w:r/>
            <w:r>
              <w:rPr>
                <w:color w:val="232D34"/>
                <w:sz w:val="15"/>
              </w:rPr>
              <w:t>Thoma Bravo</w:t>
            </w:r>
          </w:p>
        </w:tc>
        <w:tc>
          <w:tcPr>
            <w:tcW w:type="dxa" w:w="1152"/>
            <w:vAlign w:val="center"/>
            <w:tcMar>
              <w:top w:w="90" w:type="dxa"/>
              <w:start w:w="100" w:type="dxa"/>
              <w:bottom w:w="90" w:type="dxa"/>
              <w:end w:w="100" w:type="dxa"/>
            </w:tcMar>
          </w:tcPr>
          <w:p>
            <w:pPr>
              <w:spacing w:after="0" w:line="240" w:lineRule="auto"/>
              <w:jc w:val="center"/>
            </w:pPr>
            <w:r/>
            <w:r>
              <w:rPr>
                <w:color w:val="232D34"/>
                <w:sz w:val="15"/>
              </w:rPr>
              <w:t>Losing control</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Blackstone-led creditor group</w:t>
            </w:r>
          </w:p>
        </w:tc>
        <w:tc>
          <w:tcPr>
            <w:tcW w:type="dxa" w:w="1512"/>
            <w:vAlign w:val="center"/>
            <w:tcMar>
              <w:top w:w="90" w:type="dxa"/>
              <w:start w:w="100" w:type="dxa"/>
              <w:bottom w:w="90" w:type="dxa"/>
              <w:end w:w="100" w:type="dxa"/>
            </w:tcMar>
          </w:tcPr>
          <w:p>
            <w:pPr>
              <w:spacing w:after="0" w:line="240" w:lineRule="auto"/>
            </w:pPr>
            <w:r/>
            <w:r>
              <w:rPr>
                <w:color w:val="232D34"/>
                <w:sz w:val="15"/>
              </w:rPr>
              <w:t>Medallia; debt reduced; $150M new capital</w:t>
            </w:r>
          </w:p>
        </w:tc>
        <w:tc>
          <w:tcPr>
            <w:tcW w:type="dxa" w:w="3311"/>
            <w:vAlign w:val="center"/>
            <w:tcMar>
              <w:top w:w="90" w:type="dxa"/>
              <w:start w:w="100" w:type="dxa"/>
              <w:bottom w:w="90" w:type="dxa"/>
              <w:end w:w="100" w:type="dxa"/>
            </w:tcMar>
          </w:tcPr>
          <w:p>
            <w:pPr>
              <w:spacing w:after="0" w:line="240" w:lineRule="auto"/>
            </w:pPr>
            <w:r/>
            <w:r>
              <w:rPr>
                <w:color w:val="232D34"/>
                <w:sz w:val="15"/>
              </w:rPr>
              <w:t>Sponsor equity impairment; creditors become owners</w:t>
            </w:r>
          </w:p>
        </w:tc>
        <w:tc>
          <w:tcPr>
            <w:tcW w:type="dxa" w:w="864"/>
            <w:vAlign w:val="center"/>
            <w:tcMar>
              <w:top w:w="90" w:type="dxa"/>
              <w:start w:w="100" w:type="dxa"/>
              <w:bottom w:w="90" w:type="dxa"/>
              <w:end w:w="100" w:type="dxa"/>
            </w:tcMar>
          </w:tcPr>
          <w:p>
            <w:pPr>
              <w:spacing w:after="0" w:line="240" w:lineRule="auto"/>
              <w:jc w:val="center"/>
            </w:pPr>
            <w:r/>
            <w:r>
              <w:rPr>
                <w:color w:val="2F5E75"/>
                <w:sz w:val="15"/>
              </w:rPr>
              <w:t>S38</w:t>
            </w:r>
          </w:p>
        </w:tc>
      </w:tr>
      <w:tr>
        <w:trPr>
          <w:cantSplit/>
        </w:trPr>
        <w:tc>
          <w:tcPr>
            <w:tcW w:type="dxa" w:w="1512"/>
            <w:vAlign w:val="center"/>
            <w:tcMar>
              <w:top w:w="90" w:type="dxa"/>
              <w:start w:w="100" w:type="dxa"/>
              <w:bottom w:w="90" w:type="dxa"/>
              <w:end w:w="100" w:type="dxa"/>
            </w:tcMar>
            <w:shd w:fill="F5F7F8"/>
          </w:tcPr>
          <w:p>
            <w:pPr>
              <w:spacing w:after="0" w:line="240" w:lineRule="auto"/>
            </w:pPr>
            <w:r/>
            <w:r>
              <w:rPr>
                <w:color w:val="232D34"/>
                <w:sz w:val="15"/>
              </w:rPr>
              <w:t>Private-credit shareholders</w:t>
            </w:r>
          </w:p>
        </w:tc>
        <w:tc>
          <w:tcPr>
            <w:tcW w:type="dxa" w:w="1152"/>
            <w:vAlign w:val="center"/>
            <w:tcMar>
              <w:top w:w="90" w:type="dxa"/>
              <w:start w:w="100" w:type="dxa"/>
              <w:bottom w:w="90" w:type="dxa"/>
              <w:end w:w="100" w:type="dxa"/>
            </w:tcMar>
            <w:shd w:fill="F5F7F8"/>
          </w:tcPr>
          <w:p>
            <w:pPr>
              <w:spacing w:after="0" w:line="240" w:lineRule="auto"/>
              <w:jc w:val="center"/>
            </w:pPr>
            <w:r/>
            <w:r>
              <w:rPr>
                <w:color w:val="232D34"/>
                <w:sz w:val="15"/>
              </w:rPr>
              <w:t>Requesting liquidity</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BCRED, OCIC, OTIC, ADS</w:t>
            </w:r>
          </w:p>
        </w:tc>
        <w:tc>
          <w:tcPr>
            <w:tcW w:type="dxa" w:w="1512"/>
            <w:vAlign w:val="center"/>
            <w:tcMar>
              <w:top w:w="90" w:type="dxa"/>
              <w:start w:w="100" w:type="dxa"/>
              <w:bottom w:w="90" w:type="dxa"/>
              <w:end w:w="100" w:type="dxa"/>
            </w:tcMar>
            <w:shd w:fill="F5F7F8"/>
          </w:tcPr>
          <w:p>
            <w:pPr>
              <w:spacing w:after="0" w:line="240" w:lineRule="auto"/>
            </w:pPr>
            <w:r/>
            <w:r>
              <w:rPr>
                <w:color w:val="232D34"/>
                <w:sz w:val="15"/>
              </w:rPr>
              <w:t>Q2 requests exceed contractual repurchase offers</w:t>
            </w:r>
          </w:p>
        </w:tc>
        <w:tc>
          <w:tcPr>
            <w:tcW w:type="dxa" w:w="3311"/>
            <w:vAlign w:val="center"/>
            <w:tcMar>
              <w:top w:w="90" w:type="dxa"/>
              <w:start w:w="100" w:type="dxa"/>
              <w:bottom w:w="90" w:type="dxa"/>
              <w:end w:w="100" w:type="dxa"/>
            </w:tcMar>
            <w:shd w:fill="F5F7F8"/>
          </w:tcPr>
          <w:p>
            <w:pPr>
              <w:spacing w:after="0" w:line="240" w:lineRule="auto"/>
            </w:pPr>
            <w:r/>
            <w:r>
              <w:rPr>
                <w:color w:val="232D34"/>
                <w:sz w:val="15"/>
              </w:rPr>
              <w:t>Liquidity is rationed pro rata, not daily</w:t>
            </w:r>
          </w:p>
        </w:tc>
        <w:tc>
          <w:tcPr>
            <w:tcW w:type="dxa" w:w="864"/>
            <w:vAlign w:val="center"/>
            <w:tcMar>
              <w:top w:w="90" w:type="dxa"/>
              <w:start w:w="100" w:type="dxa"/>
              <w:bottom w:w="90" w:type="dxa"/>
              <w:end w:w="100" w:type="dxa"/>
            </w:tcMar>
            <w:shd w:fill="F5F7F8"/>
          </w:tcPr>
          <w:p>
            <w:pPr>
              <w:spacing w:after="0" w:line="240" w:lineRule="auto"/>
              <w:jc w:val="center"/>
            </w:pPr>
            <w:r/>
            <w:r>
              <w:rPr>
                <w:color w:val="2F5E75"/>
                <w:sz w:val="15"/>
              </w:rPr>
              <w:t>S31,S32,S33,S34,S35</w:t>
            </w:r>
          </w:p>
        </w:tc>
      </w:tr>
      <w:tr>
        <w:trPr>
          <w:cantSplit/>
        </w:trPr>
        <w:tc>
          <w:tcPr>
            <w:tcW w:type="dxa" w:w="1512"/>
            <w:vAlign w:val="center"/>
            <w:tcMar>
              <w:top w:w="90" w:type="dxa"/>
              <w:start w:w="100" w:type="dxa"/>
              <w:bottom w:w="90" w:type="dxa"/>
              <w:end w:w="100" w:type="dxa"/>
            </w:tcMar>
          </w:tcPr>
          <w:p>
            <w:pPr>
              <w:spacing w:after="0" w:line="240" w:lineRule="auto"/>
            </w:pPr>
            <w:r/>
            <w:r>
              <w:rPr>
                <w:color w:val="232D34"/>
                <w:sz w:val="15"/>
              </w:rPr>
              <w:t>Meta</w:t>
            </w:r>
          </w:p>
        </w:tc>
        <w:tc>
          <w:tcPr>
            <w:tcW w:type="dxa" w:w="1152"/>
            <w:vAlign w:val="center"/>
            <w:tcMar>
              <w:top w:w="90" w:type="dxa"/>
              <w:start w:w="100" w:type="dxa"/>
              <w:bottom w:w="90" w:type="dxa"/>
              <w:end w:w="100" w:type="dxa"/>
            </w:tcMar>
          </w:tcPr>
          <w:p>
            <w:pPr>
              <w:spacing w:after="0" w:line="240" w:lineRule="auto"/>
              <w:jc w:val="center"/>
            </w:pPr>
            <w:r/>
            <w:r>
              <w:rPr>
                <w:color w:val="232D34"/>
                <w:sz w:val="15"/>
              </w:rPr>
              <w:t>Leasing / guaranteeing</w:t>
            </w:r>
          </w:p>
        </w:tc>
        <w:tc>
          <w:tcPr>
            <w:tcW w:type="dxa" w:w="1728"/>
            <w:vAlign w:val="center"/>
            <w:tcMar>
              <w:top w:w="90" w:type="dxa"/>
              <w:start w:w="100" w:type="dxa"/>
              <w:bottom w:w="90" w:type="dxa"/>
              <w:end w:w="100" w:type="dxa"/>
            </w:tcMar>
          </w:tcPr>
          <w:p>
            <w:pPr>
              <w:spacing w:after="0" w:line="240" w:lineRule="auto"/>
            </w:pPr>
            <w:r/>
            <w:r>
              <w:rPr>
                <w:color w:val="232D34"/>
                <w:sz w:val="15"/>
              </w:rPr>
              <w:t>Blue Owl funds, PIMCO, BlackRock/GIP/HPS</w:t>
            </w:r>
          </w:p>
        </w:tc>
        <w:tc>
          <w:tcPr>
            <w:tcW w:type="dxa" w:w="1512"/>
            <w:vAlign w:val="center"/>
            <w:tcMar>
              <w:top w:w="90" w:type="dxa"/>
              <w:start w:w="100" w:type="dxa"/>
              <w:bottom w:w="90" w:type="dxa"/>
              <w:end w:w="100" w:type="dxa"/>
            </w:tcMar>
          </w:tcPr>
          <w:p>
            <w:pPr>
              <w:spacing w:after="0" w:line="240" w:lineRule="auto"/>
            </w:pPr>
            <w:r/>
            <w:r>
              <w:rPr>
                <w:color w:val="232D34"/>
                <w:sz w:val="15"/>
              </w:rPr>
              <w:t>$27B-class Hyperion and $14B-class El Paso structures</w:t>
            </w:r>
          </w:p>
        </w:tc>
        <w:tc>
          <w:tcPr>
            <w:tcW w:type="dxa" w:w="3311"/>
            <w:vAlign w:val="center"/>
            <w:tcMar>
              <w:top w:w="90" w:type="dxa"/>
              <w:start w:w="100" w:type="dxa"/>
              <w:bottom w:w="90" w:type="dxa"/>
              <w:end w:w="100" w:type="dxa"/>
            </w:tcMar>
          </w:tcPr>
          <w:p>
            <w:pPr>
              <w:spacing w:after="0" w:line="240" w:lineRule="auto"/>
            </w:pPr>
            <w:r/>
            <w:r>
              <w:rPr>
                <w:color w:val="232D34"/>
                <w:sz w:val="15"/>
              </w:rPr>
              <w:t>Project debt sits outside conventional Meta bond debt, but leases/guarantees reconnect risk</w:t>
            </w:r>
          </w:p>
        </w:tc>
        <w:tc>
          <w:tcPr>
            <w:tcW w:type="dxa" w:w="864"/>
            <w:vAlign w:val="center"/>
            <w:tcMar>
              <w:top w:w="90" w:type="dxa"/>
              <w:start w:w="100" w:type="dxa"/>
              <w:bottom w:w="90" w:type="dxa"/>
              <w:end w:w="100" w:type="dxa"/>
            </w:tcMar>
          </w:tcPr>
          <w:p>
            <w:pPr>
              <w:spacing w:after="0" w:line="240" w:lineRule="auto"/>
              <w:jc w:val="center"/>
            </w:pPr>
            <w:r/>
            <w:r>
              <w:rPr>
                <w:color w:val="2F5E75"/>
                <w:sz w:val="15"/>
              </w:rPr>
              <w:t>S10,S11</w:t>
            </w:r>
          </w:p>
        </w:tc>
      </w:tr>
      <w:tr>
        <w:trPr>
          <w:cantSplit/>
        </w:trPr>
        <w:tc>
          <w:tcPr>
            <w:tcW w:type="dxa" w:w="1512"/>
            <w:vAlign w:val="center"/>
            <w:tcMar>
              <w:top w:w="90" w:type="dxa"/>
              <w:start w:w="100" w:type="dxa"/>
              <w:bottom w:w="90" w:type="dxa"/>
              <w:end w:w="100" w:type="dxa"/>
            </w:tcMar>
            <w:shd w:fill="F5F7F8"/>
          </w:tcPr>
          <w:p>
            <w:pPr>
              <w:spacing w:after="0" w:line="240" w:lineRule="auto"/>
            </w:pPr>
            <w:r/>
            <w:r>
              <w:rPr>
                <w:color w:val="232D34"/>
                <w:sz w:val="15"/>
              </w:rPr>
              <w:t>Anthropic</w:t>
            </w:r>
          </w:p>
        </w:tc>
        <w:tc>
          <w:tcPr>
            <w:tcW w:type="dxa" w:w="1152"/>
            <w:vAlign w:val="center"/>
            <w:tcMar>
              <w:top w:w="90" w:type="dxa"/>
              <w:start w:w="100" w:type="dxa"/>
              <w:bottom w:w="90" w:type="dxa"/>
              <w:end w:w="100" w:type="dxa"/>
            </w:tcMar>
            <w:shd w:fill="F5F7F8"/>
          </w:tcPr>
          <w:p>
            <w:pPr>
              <w:spacing w:after="0" w:line="240" w:lineRule="auto"/>
              <w:jc w:val="center"/>
            </w:pPr>
            <w:r/>
            <w:r>
              <w:rPr>
                <w:color w:val="232D34"/>
                <w:sz w:val="15"/>
              </w:rPr>
              <w:t>Leasing compute</w:t>
            </w:r>
          </w:p>
        </w:tc>
        <w:tc>
          <w:tcPr>
            <w:tcW w:type="dxa" w:w="1728"/>
            <w:vAlign w:val="center"/>
            <w:tcMar>
              <w:top w:w="90" w:type="dxa"/>
              <w:start w:w="100" w:type="dxa"/>
              <w:bottom w:w="90" w:type="dxa"/>
              <w:end w:w="100" w:type="dxa"/>
            </w:tcMar>
            <w:shd w:fill="F5F7F8"/>
          </w:tcPr>
          <w:p>
            <w:pPr>
              <w:spacing w:after="0" w:line="240" w:lineRule="auto"/>
            </w:pPr>
            <w:r/>
            <w:r>
              <w:rPr>
                <w:color w:val="232D34"/>
                <w:sz w:val="15"/>
              </w:rPr>
              <w:t>Apollo, Blackstone, Broadcom and lenders</w:t>
            </w:r>
          </w:p>
        </w:tc>
        <w:tc>
          <w:tcPr>
            <w:tcW w:type="dxa" w:w="1512"/>
            <w:vAlign w:val="center"/>
            <w:tcMar>
              <w:top w:w="90" w:type="dxa"/>
              <w:start w:w="100" w:type="dxa"/>
              <w:bottom w:w="90" w:type="dxa"/>
              <w:end w:w="100" w:type="dxa"/>
            </w:tcMar>
            <w:shd w:fill="F5F7F8"/>
          </w:tcPr>
          <w:p>
            <w:pPr>
              <w:spacing w:after="0" w:line="240" w:lineRule="auto"/>
            </w:pPr>
            <w:r/>
            <w:r>
              <w:rPr>
                <w:color w:val="232D34"/>
                <w:sz w:val="15"/>
              </w:rPr>
              <w:t>$35B initial TPU financing; broader reported machine ~$200B</w:t>
            </w:r>
          </w:p>
        </w:tc>
        <w:tc>
          <w:tcPr>
            <w:tcW w:type="dxa" w:w="3311"/>
            <w:vAlign w:val="center"/>
            <w:tcMar>
              <w:top w:w="90" w:type="dxa"/>
              <w:start w:w="100" w:type="dxa"/>
              <w:bottom w:w="90" w:type="dxa"/>
              <w:end w:w="100" w:type="dxa"/>
            </w:tcMar>
            <w:shd w:fill="F5F7F8"/>
          </w:tcPr>
          <w:p>
            <w:pPr>
              <w:spacing w:after="0" w:line="240" w:lineRule="auto"/>
            </w:pPr>
            <w:r/>
            <w:r>
              <w:rPr>
                <w:color w:val="232D34"/>
                <w:sz w:val="15"/>
              </w:rPr>
              <w:t>Hardware/SPV debt relies on lease payments and residual-value support</w:t>
            </w:r>
          </w:p>
        </w:tc>
        <w:tc>
          <w:tcPr>
            <w:tcW w:type="dxa" w:w="864"/>
            <w:vAlign w:val="center"/>
            <w:tcMar>
              <w:top w:w="90" w:type="dxa"/>
              <w:start w:w="100" w:type="dxa"/>
              <w:bottom w:w="90" w:type="dxa"/>
              <w:end w:w="100" w:type="dxa"/>
            </w:tcMar>
            <w:shd w:fill="F5F7F8"/>
          </w:tcPr>
          <w:p>
            <w:pPr>
              <w:spacing w:after="0" w:line="240" w:lineRule="auto"/>
              <w:jc w:val="center"/>
            </w:pPr>
            <w:r/>
            <w:r>
              <w:rPr>
                <w:color w:val="2F5E75"/>
                <w:sz w:val="15"/>
              </w:rPr>
              <w:t>S12,S14</w:t>
            </w:r>
          </w:p>
        </w:tc>
      </w:tr>
      <w:tr>
        <w:trPr>
          <w:cantSplit/>
        </w:trPr>
        <w:tc>
          <w:tcPr>
            <w:tcW w:type="dxa" w:w="1512"/>
            <w:vAlign w:val="center"/>
            <w:tcMar>
              <w:top w:w="90" w:type="dxa"/>
              <w:start w:w="100" w:type="dxa"/>
              <w:bottom w:w="90" w:type="dxa"/>
              <w:end w:w="100" w:type="dxa"/>
            </w:tcMar>
          </w:tcPr>
          <w:p>
            <w:pPr>
              <w:spacing w:after="0" w:line="240" w:lineRule="auto"/>
            </w:pPr>
            <w:r/>
            <w:r>
              <w:rPr>
                <w:color w:val="232D34"/>
                <w:sz w:val="15"/>
              </w:rPr>
              <w:t>Oracle</w:t>
            </w:r>
          </w:p>
        </w:tc>
        <w:tc>
          <w:tcPr>
            <w:tcW w:type="dxa" w:w="1152"/>
            <w:vAlign w:val="center"/>
            <w:tcMar>
              <w:top w:w="90" w:type="dxa"/>
              <w:start w:w="100" w:type="dxa"/>
              <w:bottom w:w="90" w:type="dxa"/>
              <w:end w:w="100" w:type="dxa"/>
            </w:tcMar>
          </w:tcPr>
          <w:p>
            <w:pPr>
              <w:spacing w:after="0" w:line="240" w:lineRule="auto"/>
              <w:jc w:val="center"/>
            </w:pPr>
            <w:r/>
            <w:r>
              <w:rPr>
                <w:color w:val="232D34"/>
                <w:sz w:val="15"/>
              </w:rPr>
              <w:t>Issuing debt/equity</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Bond and equity investors</w:t>
            </w:r>
          </w:p>
        </w:tc>
        <w:tc>
          <w:tcPr>
            <w:tcW w:type="dxa" w:w="1512"/>
            <w:vAlign w:val="center"/>
            <w:tcMar>
              <w:top w:w="90" w:type="dxa"/>
              <w:start w:w="100" w:type="dxa"/>
              <w:bottom w:w="90" w:type="dxa"/>
              <w:end w:w="100" w:type="dxa"/>
            </w:tcMar>
          </w:tcPr>
          <w:p>
            <w:pPr>
              <w:spacing w:after="0" w:line="240" w:lineRule="auto"/>
            </w:pPr>
            <w:r/>
            <w:r>
              <w:rPr>
                <w:color w:val="232D34"/>
                <w:sz w:val="15"/>
              </w:rPr>
              <w:t>$42.7B senior-note proceeds + $5B preferred in FY2026</w:t>
            </w:r>
          </w:p>
        </w:tc>
        <w:tc>
          <w:tcPr>
            <w:tcW w:type="dxa" w:w="3311"/>
            <w:vAlign w:val="center"/>
            <w:tcMar>
              <w:top w:w="90" w:type="dxa"/>
              <w:start w:w="100" w:type="dxa"/>
              <w:bottom w:w="90" w:type="dxa"/>
              <w:end w:w="100" w:type="dxa"/>
            </w:tcMar>
          </w:tcPr>
          <w:p>
            <w:pPr>
              <w:spacing w:after="0" w:line="240" w:lineRule="auto"/>
            </w:pPr>
            <w:r/>
            <w:r>
              <w:rPr>
                <w:color w:val="232D34"/>
                <w:sz w:val="15"/>
              </w:rPr>
              <w:t>Direct balance-sheet funding for contracted AI capacity</w:t>
            </w:r>
          </w:p>
        </w:tc>
        <w:tc>
          <w:tcPr>
            <w:tcW w:type="dxa" w:w="864"/>
            <w:vAlign w:val="center"/>
            <w:tcMar>
              <w:top w:w="90" w:type="dxa"/>
              <w:start w:w="100" w:type="dxa"/>
              <w:bottom w:w="90" w:type="dxa"/>
              <w:end w:w="100" w:type="dxa"/>
            </w:tcMar>
          </w:tcPr>
          <w:p>
            <w:pPr>
              <w:spacing w:after="0" w:line="240" w:lineRule="auto"/>
              <w:jc w:val="center"/>
            </w:pPr>
            <w:r/>
            <w:r>
              <w:rPr>
                <w:color w:val="2F5E75"/>
                <w:sz w:val="15"/>
              </w:rPr>
              <w:t>S20,S21,S22</w:t>
            </w:r>
          </w:p>
        </w:tc>
      </w:tr>
    </w:tbl>
    <w:p>
      <w:pPr>
        <w:spacing w:after="20"/>
      </w:pP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Primary conclusion</w:t>
            </w:r>
          </w:p>
          <w:p>
            <w:pPr>
              <w:spacing w:after="0" w:line="252" w:lineRule="auto"/>
            </w:pPr>
            <w:r>
              <w:t>The present system is not simply “Big Tech borrowing.” It is a layered transfer of duration and utilization risk. Hyperscalers retain customer, lease and guarantee exposure; SPVs issue debt; private-credit and fixed-income managers hold the paper; wealth vehicles offer limited quarterly liquidity; and legacy software loans are being restructured while new AI real-asset loans are originated.</w:t>
            </w:r>
          </w:p>
        </w:tc>
      </w:tr>
    </w:tbl>
    <w:p>
      <w:pPr>
        <w:spacing w:after="20"/>
      </w:pPr>
    </w:p>
    <w:p>
      <w:r>
        <w:br w:type="page"/>
      </w:r>
    </w:p>
    <w:p>
      <w:pPr>
        <w:pStyle w:val="Heading1"/>
        <w:keepNext/>
      </w:pPr>
      <w:r>
        <w:t>2. Airtable / Bending Spoons: realized VC valuation reset</w:t>
      </w:r>
    </w:p>
    <w:p>
      <w:pPr>
        <w:spacing w:after="100" w:line="259" w:lineRule="auto"/>
      </w:pPr>
      <w:r>
        <w:t>Airtable is the cleanest current realized example of the 2021 venture and crossover valuation regime meeting a cash acquisition. The math must distinguish enterprise value from equity value.</w:t>
      </w:r>
      <w:r>
        <w:rPr>
          <w:color w:val="2F5E75"/>
          <w:sz w:val="16"/>
          <w:vertAlign w:val="superscript"/>
        </w:rPr>
        <w:t xml:space="preserve"> [S1,S2,S3]</w:t>
      </w:r>
    </w:p>
    <w:p>
      <w:r>
        <w:drawing>
          <wp:inline xmlns:a="http://schemas.openxmlformats.org/drawingml/2006/main" xmlns:pic="http://schemas.openxmlformats.org/drawingml/2006/picture">
            <wp:extent cx="6126480" cy="3087247"/>
            <wp:docPr id="1" name="Picture 1" descr="Image: image1.png"/>
            <wp:cNvGraphicFramePr>
              <a:graphicFrameLocks noChangeAspect="1"/>
            </wp:cNvGraphicFramePr>
            <a:graphic>
              <a:graphicData uri="http://schemas.openxmlformats.org/drawingml/2006/picture">
                <pic:pic>
                  <pic:nvPicPr>
                    <pic:cNvPr id="0" name="airtable_reset.png"/>
                    <pic:cNvPicPr/>
                  </pic:nvPicPr>
                  <pic:blipFill>
                    <a:blip r:embed="rId9"/>
                    <a:stretch>
                      <a:fillRect/>
                    </a:stretch>
                  </pic:blipFill>
                  <pic:spPr>
                    <a:xfrm>
                      <a:off x="0" y="0"/>
                      <a:ext cx="6126480" cy="3087247"/>
                    </a:xfrm>
                    <a:prstGeom prst="rect"/>
                  </pic:spPr>
                </pic:pic>
              </a:graphicData>
            </a:graphic>
          </wp:inline>
        </w:drawing>
      </w:r>
    </w:p>
    <w:p>
      <w:pPr>
        <w:pStyle w:val="FigureCaption"/>
      </w:pPr>
      <w:r>
        <w:t>Figure 1. Equity value includes Airtable’s cash; enterprise value measures the operating business after subtracting net cash.</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1694"/>
        <w:gridCol w:w="1694"/>
        <w:gridCol w:w="1694"/>
        <w:gridCol w:w="1694"/>
        <w:gridCol w:w="1694"/>
        <w:gridCol w:w="1694"/>
      </w:tblGrid>
      <w:tr>
        <w:trPr>
          <w:tblHeader w:val="true"/>
        </w:trPr>
        <w:tc>
          <w:tcPr>
            <w:tcW w:type="dxa" w:w="1440"/>
            <w:shd w:fill="17324D"/>
            <w:vAlign w:val="center"/>
            <w:tcMar>
              <w:top w:w="100" w:type="dxa"/>
              <w:start w:w="110" w:type="dxa"/>
              <w:bottom w:w="100" w:type="dxa"/>
              <w:end w:w="110" w:type="dxa"/>
            </w:tcMar>
          </w:tcPr>
          <w:p>
            <w:pPr>
              <w:jc w:val="center"/>
            </w:pPr>
            <w:r/>
            <w:r>
              <w:rPr>
                <w:b/>
                <w:color w:val="FFFFFF"/>
                <w:sz w:val="15"/>
              </w:rPr>
              <w:t>Event</w:t>
            </w:r>
          </w:p>
        </w:tc>
        <w:tc>
          <w:tcPr>
            <w:tcW w:type="dxa" w:w="1123"/>
            <w:shd w:fill="17324D"/>
            <w:vAlign w:val="center"/>
            <w:tcMar>
              <w:top w:w="100" w:type="dxa"/>
              <w:start w:w="110" w:type="dxa"/>
              <w:bottom w:w="100" w:type="dxa"/>
              <w:end w:w="110" w:type="dxa"/>
            </w:tcMar>
          </w:tcPr>
          <w:p>
            <w:pPr>
              <w:jc w:val="center"/>
            </w:pPr>
            <w:r/>
            <w:r>
              <w:rPr>
                <w:b/>
                <w:color w:val="FFFFFF"/>
                <w:sz w:val="15"/>
              </w:rPr>
              <w:t>Date</w:t>
            </w:r>
          </w:p>
        </w:tc>
        <w:tc>
          <w:tcPr>
            <w:tcW w:type="dxa" w:w="1440"/>
            <w:shd w:fill="17324D"/>
            <w:vAlign w:val="center"/>
            <w:tcMar>
              <w:top w:w="100" w:type="dxa"/>
              <w:start w:w="110" w:type="dxa"/>
              <w:bottom w:w="100" w:type="dxa"/>
              <w:end w:w="110" w:type="dxa"/>
            </w:tcMar>
          </w:tcPr>
          <w:p>
            <w:pPr>
              <w:jc w:val="center"/>
            </w:pPr>
            <w:r/>
            <w:r>
              <w:rPr>
                <w:b/>
                <w:color w:val="FFFFFF"/>
                <w:sz w:val="15"/>
              </w:rPr>
              <w:t>Capital / consideration</w:t>
            </w:r>
          </w:p>
        </w:tc>
        <w:tc>
          <w:tcPr>
            <w:tcW w:type="dxa" w:w="1728"/>
            <w:shd w:fill="17324D"/>
            <w:vAlign w:val="center"/>
            <w:tcMar>
              <w:top w:w="100" w:type="dxa"/>
              <w:start w:w="110" w:type="dxa"/>
              <w:bottom w:w="100" w:type="dxa"/>
              <w:end w:w="110" w:type="dxa"/>
            </w:tcMar>
          </w:tcPr>
          <w:p>
            <w:pPr>
              <w:jc w:val="center"/>
            </w:pPr>
            <w:r/>
            <w:r>
              <w:rPr>
                <w:b/>
                <w:color w:val="FFFFFF"/>
                <w:sz w:val="15"/>
              </w:rPr>
              <w:t>Valuation</w:t>
            </w:r>
          </w:p>
        </w:tc>
        <w:tc>
          <w:tcPr>
            <w:tcW w:type="dxa" w:w="3168"/>
            <w:shd w:fill="17324D"/>
            <w:vAlign w:val="center"/>
            <w:tcMar>
              <w:top w:w="100" w:type="dxa"/>
              <w:start w:w="110" w:type="dxa"/>
              <w:bottom w:w="100" w:type="dxa"/>
              <w:end w:w="110" w:type="dxa"/>
            </w:tcMar>
          </w:tcPr>
          <w:p>
            <w:pPr>
              <w:jc w:val="center"/>
            </w:pPr>
            <w:r/>
            <w:r>
              <w:rPr>
                <w:b/>
                <w:color w:val="FFFFFF"/>
                <w:sz w:val="15"/>
              </w:rPr>
              <w:t>Named investors / buyer</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1440"/>
            <w:vAlign w:val="center"/>
            <w:tcMar>
              <w:top w:w="90" w:type="dxa"/>
              <w:start w:w="100" w:type="dxa"/>
              <w:bottom w:w="90" w:type="dxa"/>
              <w:end w:w="100" w:type="dxa"/>
            </w:tcMar>
          </w:tcPr>
          <w:p>
            <w:pPr>
              <w:spacing w:after="0" w:line="240" w:lineRule="auto"/>
            </w:pPr>
            <w:r/>
            <w:r>
              <w:rPr>
                <w:color w:val="232D34"/>
                <w:sz w:val="15"/>
              </w:rPr>
              <w:t>Series D</w:t>
            </w:r>
          </w:p>
        </w:tc>
        <w:tc>
          <w:tcPr>
            <w:tcW w:type="dxa" w:w="1123"/>
            <w:vAlign w:val="center"/>
            <w:tcMar>
              <w:top w:w="90" w:type="dxa"/>
              <w:start w:w="100" w:type="dxa"/>
              <w:bottom w:w="90" w:type="dxa"/>
              <w:end w:w="100" w:type="dxa"/>
            </w:tcMar>
          </w:tcPr>
          <w:p>
            <w:pPr>
              <w:spacing w:after="0" w:line="240" w:lineRule="auto"/>
              <w:jc w:val="center"/>
            </w:pPr>
            <w:r/>
            <w:r>
              <w:rPr>
                <w:color w:val="232D34"/>
                <w:sz w:val="15"/>
              </w:rPr>
              <w:t>Late 2020</w:t>
            </w:r>
          </w:p>
        </w:tc>
        <w:tc>
          <w:tcPr>
            <w:tcW w:type="dxa" w:w="1440"/>
            <w:vAlign w:val="center"/>
            <w:tcMar>
              <w:top w:w="90" w:type="dxa"/>
              <w:start w:w="100" w:type="dxa"/>
              <w:bottom w:w="90" w:type="dxa"/>
              <w:end w:w="100" w:type="dxa"/>
            </w:tcMar>
          </w:tcPr>
          <w:p>
            <w:pPr>
              <w:spacing w:after="0" w:line="240" w:lineRule="auto"/>
              <w:jc w:val="center"/>
            </w:pPr>
            <w:r/>
            <w:r>
              <w:rPr>
                <w:color w:val="232D34"/>
                <w:sz w:val="15"/>
              </w:rPr>
              <w:t>$185M</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$2.4B pre-money</w:t>
            </w:r>
          </w:p>
        </w:tc>
        <w:tc>
          <w:tcPr>
            <w:tcW w:type="dxa" w:w="3168"/>
            <w:vAlign w:val="center"/>
            <w:tcMar>
              <w:top w:w="90" w:type="dxa"/>
              <w:start w:w="100" w:type="dxa"/>
              <w:bottom w:w="90" w:type="dxa"/>
              <w:end w:w="100" w:type="dxa"/>
            </w:tcMar>
          </w:tcPr>
          <w:p>
            <w:pPr>
              <w:spacing w:after="0" w:line="240" w:lineRule="auto"/>
              <w:jc w:val="center"/>
            </w:pPr>
            <w:r/>
            <w:r>
              <w:rPr>
                <w:color w:val="232D34"/>
                <w:sz w:val="15"/>
              </w:rPr>
              <w:t>Thrive-led</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S3</w:t>
            </w:r>
          </w:p>
        </w:tc>
      </w:tr>
      <w:tr>
        <w:trPr>
          <w:cantSplit/>
        </w:trPr>
        <w:tc>
          <w:tcPr>
            <w:tcW w:type="dxa" w:w="1440"/>
            <w:vAlign w:val="center"/>
            <w:tcMar>
              <w:top w:w="90" w:type="dxa"/>
              <w:start w:w="100" w:type="dxa"/>
              <w:bottom w:w="90" w:type="dxa"/>
              <w:end w:w="100" w:type="dxa"/>
            </w:tcMar>
            <w:shd w:fill="F5F7F8"/>
          </w:tcPr>
          <w:p>
            <w:pPr>
              <w:spacing w:after="0" w:line="240" w:lineRule="auto"/>
            </w:pPr>
            <w:r/>
            <w:r>
              <w:rPr>
                <w:color w:val="232D34"/>
                <w:sz w:val="15"/>
              </w:rPr>
              <w:t>Later growth round</w:t>
            </w:r>
          </w:p>
        </w:tc>
        <w:tc>
          <w:tcPr>
            <w:tcW w:type="dxa" w:w="1123"/>
            <w:vAlign w:val="center"/>
            <w:tcMar>
              <w:top w:w="90" w:type="dxa"/>
              <w:start w:w="100" w:type="dxa"/>
              <w:bottom w:w="90" w:type="dxa"/>
              <w:end w:w="100" w:type="dxa"/>
            </w:tcMar>
            <w:shd w:fill="F5F7F8"/>
          </w:tcPr>
          <w:p>
            <w:pPr>
              <w:spacing w:after="0" w:line="240" w:lineRule="auto"/>
              <w:jc w:val="center"/>
            </w:pPr>
            <w:r/>
            <w:r>
              <w:rPr>
                <w:color w:val="232D34"/>
                <w:sz w:val="15"/>
              </w:rPr>
              <w:t>2021</w:t>
            </w:r>
          </w:p>
        </w:tc>
        <w:tc>
          <w:tcPr>
            <w:tcW w:type="dxa" w:w="1440"/>
            <w:vAlign w:val="center"/>
            <w:tcMar>
              <w:top w:w="90" w:type="dxa"/>
              <w:start w:w="100" w:type="dxa"/>
              <w:bottom w:w="90" w:type="dxa"/>
              <w:end w:w="100" w:type="dxa"/>
            </w:tcMar>
            <w:shd w:fill="F5F7F8"/>
          </w:tcPr>
          <w:p>
            <w:pPr>
              <w:spacing w:after="0" w:line="240" w:lineRule="auto"/>
              <w:jc w:val="center"/>
            </w:pPr>
            <w:r/>
            <w:r>
              <w:rPr>
                <w:color w:val="232D34"/>
                <w:sz w:val="15"/>
              </w:rPr>
              <w:t>$270M</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$5.5B pre-money</w:t>
            </w:r>
          </w:p>
        </w:tc>
        <w:tc>
          <w:tcPr>
            <w:tcW w:type="dxa" w:w="3168"/>
            <w:vAlign w:val="center"/>
            <w:tcMar>
              <w:top w:w="90" w:type="dxa"/>
              <w:start w:w="100" w:type="dxa"/>
              <w:bottom w:w="90" w:type="dxa"/>
              <w:end w:w="100" w:type="dxa"/>
            </w:tcMar>
            <w:shd w:fill="F5F7F8"/>
          </w:tcPr>
          <w:p>
            <w:pPr>
              <w:spacing w:after="0" w:line="240" w:lineRule="auto"/>
              <w:jc w:val="center"/>
            </w:pPr>
            <w:r/>
            <w:r>
              <w:rPr>
                <w:color w:val="232D34"/>
                <w:sz w:val="15"/>
              </w:rPr>
              <w:t>Greenoaks-led</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S3</w:t>
            </w:r>
          </w:p>
        </w:tc>
      </w:tr>
      <w:tr>
        <w:trPr>
          <w:cantSplit/>
        </w:trPr>
        <w:tc>
          <w:tcPr>
            <w:tcW w:type="dxa" w:w="1440"/>
            <w:vAlign w:val="center"/>
            <w:tcMar>
              <w:top w:w="90" w:type="dxa"/>
              <w:start w:w="100" w:type="dxa"/>
              <w:bottom w:w="90" w:type="dxa"/>
              <w:end w:w="100" w:type="dxa"/>
            </w:tcMar>
          </w:tcPr>
          <w:p>
            <w:pPr>
              <w:spacing w:after="0" w:line="240" w:lineRule="auto"/>
            </w:pPr>
            <w:r/>
            <w:r>
              <w:rPr>
                <w:color w:val="232D34"/>
                <w:sz w:val="15"/>
              </w:rPr>
              <w:t>Series F</w:t>
            </w:r>
          </w:p>
        </w:tc>
        <w:tc>
          <w:tcPr>
            <w:tcW w:type="dxa" w:w="1123"/>
            <w:vAlign w:val="center"/>
            <w:tcMar>
              <w:top w:w="90" w:type="dxa"/>
              <w:start w:w="100" w:type="dxa"/>
              <w:bottom w:w="90" w:type="dxa"/>
              <w:end w:w="100" w:type="dxa"/>
            </w:tcMar>
          </w:tcPr>
          <w:p>
            <w:pPr>
              <w:spacing w:after="0" w:line="240" w:lineRule="auto"/>
              <w:jc w:val="center"/>
            </w:pPr>
            <w:r/>
            <w:r>
              <w:rPr>
                <w:color w:val="232D34"/>
                <w:sz w:val="15"/>
              </w:rPr>
              <w:t>Dec. 2021</w:t>
            </w:r>
          </w:p>
        </w:tc>
        <w:tc>
          <w:tcPr>
            <w:tcW w:type="dxa" w:w="1440"/>
            <w:vAlign w:val="center"/>
            <w:tcMar>
              <w:top w:w="90" w:type="dxa"/>
              <w:start w:w="100" w:type="dxa"/>
              <w:bottom w:w="90" w:type="dxa"/>
              <w:end w:w="100" w:type="dxa"/>
            </w:tcMar>
          </w:tcPr>
          <w:p>
            <w:pPr>
              <w:spacing w:after="0" w:line="240" w:lineRule="auto"/>
              <w:jc w:val="center"/>
            </w:pPr>
            <w:r/>
            <w:r>
              <w:rPr>
                <w:color w:val="232D34"/>
                <w:sz w:val="15"/>
              </w:rPr>
              <w:t>$735M</w:t>
            </w:r>
          </w:p>
        </w:tc>
        <w:tc>
          <w:tcPr>
            <w:tcW w:type="dxa" w:w="1728"/>
            <w:vAlign w:val="center"/>
            <w:tcMar>
              <w:top w:w="90" w:type="dxa"/>
              <w:start w:w="100" w:type="dxa"/>
              <w:bottom w:w="90" w:type="dxa"/>
              <w:end w:w="100" w:type="dxa"/>
            </w:tcMar>
          </w:tcPr>
          <w:p>
            <w:pPr>
              <w:spacing w:after="0" w:line="240" w:lineRule="auto"/>
            </w:pPr>
            <w:r/>
            <w:r>
              <w:rPr>
                <w:color w:val="232D34"/>
                <w:sz w:val="15"/>
              </w:rPr>
              <w:t>$11.0B pre-money / $11.735B post-money</w:t>
            </w:r>
          </w:p>
        </w:tc>
        <w:tc>
          <w:tcPr>
            <w:tcW w:type="dxa" w:w="3168"/>
            <w:vAlign w:val="center"/>
            <w:tcMar>
              <w:top w:w="90" w:type="dxa"/>
              <w:start w:w="100" w:type="dxa"/>
              <w:bottom w:w="90" w:type="dxa"/>
              <w:end w:w="100" w:type="dxa"/>
            </w:tcMar>
          </w:tcPr>
          <w:p>
            <w:pPr>
              <w:spacing w:after="0" w:line="240" w:lineRule="auto"/>
            </w:pPr>
            <w:r/>
            <w:r>
              <w:rPr>
                <w:color w:val="232D34"/>
                <w:sz w:val="15"/>
              </w:rPr>
              <w:t>XN-led; Benchmark, Coatue, D1, Greenoaks, ICONIQ and Thrive participated</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w:t>
            </w:r>
          </w:p>
        </w:tc>
      </w:tr>
      <w:tr>
        <w:trPr>
          <w:cantSplit/>
        </w:trPr>
        <w:tc>
          <w:tcPr>
            <w:tcW w:type="dxa" w:w="1440"/>
            <w:vAlign w:val="center"/>
            <w:tcMar>
              <w:top w:w="90" w:type="dxa"/>
              <w:start w:w="100" w:type="dxa"/>
              <w:bottom w:w="90" w:type="dxa"/>
              <w:end w:w="100" w:type="dxa"/>
            </w:tcMar>
            <w:shd w:fill="F5F7F8"/>
          </w:tcPr>
          <w:p>
            <w:pPr>
              <w:spacing w:after="0" w:line="240" w:lineRule="auto"/>
            </w:pPr>
            <w:r/>
            <w:r>
              <w:rPr>
                <w:color w:val="232D34"/>
                <w:sz w:val="15"/>
              </w:rPr>
              <w:t>Cumulative funding</w:t>
            </w:r>
          </w:p>
        </w:tc>
        <w:tc>
          <w:tcPr>
            <w:tcW w:type="dxa" w:w="1123"/>
            <w:vAlign w:val="center"/>
            <w:tcMar>
              <w:top w:w="90" w:type="dxa"/>
              <w:start w:w="100" w:type="dxa"/>
              <w:bottom w:w="90" w:type="dxa"/>
              <w:end w:w="100" w:type="dxa"/>
            </w:tcMar>
            <w:shd w:fill="F5F7F8"/>
          </w:tcPr>
          <w:p>
            <w:pPr>
              <w:spacing w:after="0" w:line="240" w:lineRule="auto"/>
              <w:jc w:val="center"/>
            </w:pPr>
            <w:r/>
            <w:r>
              <w:rPr>
                <w:color w:val="232D34"/>
                <w:sz w:val="15"/>
              </w:rPr>
              <w:t>Through Series F</w:t>
            </w:r>
          </w:p>
        </w:tc>
        <w:tc>
          <w:tcPr>
            <w:tcW w:type="dxa" w:w="1440"/>
            <w:vAlign w:val="center"/>
            <w:tcMar>
              <w:top w:w="90" w:type="dxa"/>
              <w:start w:w="100" w:type="dxa"/>
              <w:bottom w:w="90" w:type="dxa"/>
              <w:end w:w="100" w:type="dxa"/>
            </w:tcMar>
            <w:shd w:fill="F5F7F8"/>
          </w:tcPr>
          <w:p>
            <w:pPr>
              <w:spacing w:after="0" w:line="240" w:lineRule="auto"/>
              <w:jc w:val="center"/>
            </w:pPr>
            <w:r/>
            <w:r>
              <w:rPr>
                <w:color w:val="232D34"/>
                <w:sz w:val="15"/>
              </w:rPr>
              <w:t>$1.36B</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Not a valuation</w:t>
            </w:r>
          </w:p>
        </w:tc>
        <w:tc>
          <w:tcPr>
            <w:tcW w:type="dxa" w:w="3168"/>
            <w:vAlign w:val="center"/>
            <w:tcMar>
              <w:top w:w="90" w:type="dxa"/>
              <w:start w:w="100" w:type="dxa"/>
              <w:bottom w:w="90" w:type="dxa"/>
              <w:end w:w="100" w:type="dxa"/>
            </w:tcMar>
            <w:shd w:fill="F5F7F8"/>
          </w:tcPr>
          <w:p>
            <w:pPr>
              <w:spacing w:after="0" w:line="240" w:lineRule="auto"/>
              <w:jc w:val="center"/>
            </w:pPr>
            <w:r/>
            <w:r>
              <w:rPr>
                <w:color w:val="232D34"/>
                <w:sz w:val="15"/>
              </w:rPr>
              <w:t>Total disclosed funding</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w:t>
            </w:r>
          </w:p>
        </w:tc>
      </w:tr>
      <w:tr>
        <w:trPr>
          <w:cantSplit/>
        </w:trPr>
        <w:tc>
          <w:tcPr>
            <w:tcW w:type="dxa" w:w="1440"/>
            <w:vAlign w:val="center"/>
            <w:tcMar>
              <w:top w:w="90" w:type="dxa"/>
              <w:start w:w="100" w:type="dxa"/>
              <w:bottom w:w="90" w:type="dxa"/>
              <w:end w:w="100" w:type="dxa"/>
            </w:tcMar>
          </w:tcPr>
          <w:p>
            <w:pPr>
              <w:spacing w:after="0" w:line="240" w:lineRule="auto"/>
            </w:pPr>
            <w:r/>
            <w:r>
              <w:rPr>
                <w:color w:val="232D34"/>
                <w:sz w:val="15"/>
              </w:rPr>
              <w:t>Acquisition</w:t>
            </w:r>
          </w:p>
        </w:tc>
        <w:tc>
          <w:tcPr>
            <w:tcW w:type="dxa" w:w="1123"/>
            <w:vAlign w:val="center"/>
            <w:tcMar>
              <w:top w:w="90" w:type="dxa"/>
              <w:start w:w="100" w:type="dxa"/>
              <w:bottom w:w="90" w:type="dxa"/>
              <w:end w:w="100" w:type="dxa"/>
            </w:tcMar>
          </w:tcPr>
          <w:p>
            <w:pPr>
              <w:spacing w:after="0" w:line="240" w:lineRule="auto"/>
              <w:jc w:val="center"/>
            </w:pPr>
            <w:r/>
            <w:r>
              <w:rPr>
                <w:color w:val="232D34"/>
                <w:sz w:val="15"/>
              </w:rPr>
              <w:t>Aug. 2026</w:t>
            </w:r>
          </w:p>
        </w:tc>
        <w:tc>
          <w:tcPr>
            <w:tcW w:type="dxa" w:w="1440"/>
            <w:vAlign w:val="center"/>
            <w:tcMar>
              <w:top w:w="90" w:type="dxa"/>
              <w:start w:w="100" w:type="dxa"/>
              <w:bottom w:w="90" w:type="dxa"/>
              <w:end w:w="100" w:type="dxa"/>
            </w:tcMar>
          </w:tcPr>
          <w:p>
            <w:pPr>
              <w:spacing w:after="0" w:line="240" w:lineRule="auto"/>
              <w:jc w:val="center"/>
            </w:pPr>
            <w:r/>
            <w:r>
              <w:rPr>
                <w:color w:val="232D34"/>
                <w:sz w:val="15"/>
              </w:rPr>
              <w:t>~$2.25B equity consideration</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$1.285B enterprise value</w:t>
            </w:r>
          </w:p>
        </w:tc>
        <w:tc>
          <w:tcPr>
            <w:tcW w:type="dxa" w:w="3168"/>
            <w:vAlign w:val="center"/>
            <w:tcMar>
              <w:top w:w="90" w:type="dxa"/>
              <w:start w:w="100" w:type="dxa"/>
              <w:bottom w:w="90" w:type="dxa"/>
              <w:end w:w="100" w:type="dxa"/>
            </w:tcMar>
          </w:tcPr>
          <w:p>
            <w:pPr>
              <w:spacing w:after="0" w:line="240" w:lineRule="auto"/>
              <w:jc w:val="center"/>
            </w:pPr>
            <w:r/>
            <w:r>
              <w:rPr>
                <w:color w:val="232D34"/>
                <w:sz w:val="15"/>
              </w:rPr>
              <w:t>Bending Spoons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S2,S3</w:t>
            </w:r>
          </w:p>
        </w:tc>
      </w:tr>
    </w:tbl>
    <w:p>
      <w:pPr>
        <w:spacing w:after="20"/>
      </w:pP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232"/>
            <w:shd w:fill="17324D"/>
            <w:vAlign w:val="center"/>
            <w:tcMar>
              <w:top w:w="100" w:type="dxa"/>
              <w:start w:w="110" w:type="dxa"/>
              <w:bottom w:w="100" w:type="dxa"/>
              <w:end w:w="110" w:type="dxa"/>
            </w:tcMar>
          </w:tcPr>
          <w:p>
            <w:pPr>
              <w:jc w:val="center"/>
            </w:pPr>
            <w:r/>
            <w:r>
              <w:rPr>
                <w:b/>
                <w:color w:val="FFFFFF"/>
                <w:sz w:val="16"/>
              </w:rPr>
              <w:t>Measure</w:t>
            </w:r>
          </w:p>
        </w:tc>
        <w:tc>
          <w:tcPr>
            <w:tcW w:type="dxa" w:w="1800"/>
            <w:shd w:fill="17324D"/>
            <w:vAlign w:val="center"/>
            <w:tcMar>
              <w:top w:w="100" w:type="dxa"/>
              <w:start w:w="110" w:type="dxa"/>
              <w:bottom w:w="100" w:type="dxa"/>
              <w:end w:w="110" w:type="dxa"/>
            </w:tcMar>
          </w:tcPr>
          <w:p>
            <w:pPr>
              <w:jc w:val="center"/>
            </w:pPr>
            <w:r/>
            <w:r>
              <w:rPr>
                <w:b/>
                <w:color w:val="FFFFFF"/>
                <w:sz w:val="16"/>
              </w:rPr>
              <w:t>Result</w:t>
            </w:r>
          </w:p>
        </w:tc>
        <w:tc>
          <w:tcPr>
            <w:tcW w:type="dxa" w:w="5112"/>
            <w:shd w:fill="17324D"/>
            <w:vAlign w:val="center"/>
            <w:tcMar>
              <w:top w:w="100" w:type="dxa"/>
              <w:start w:w="110" w:type="dxa"/>
              <w:bottom w:w="100" w:type="dxa"/>
              <w:end w:w="110" w:type="dxa"/>
            </w:tcMar>
          </w:tcPr>
          <w:p>
            <w:pPr>
              <w:jc w:val="center"/>
            </w:pPr>
            <w:r/>
            <w:r>
              <w:rPr>
                <w:b/>
                <w:color w:val="FFFFFF"/>
                <w:sz w:val="16"/>
              </w:rPr>
              <w:t>Calculation / interpretation</w:t>
            </w:r>
          </w:p>
        </w:tc>
        <w:tc>
          <w:tcPr>
            <w:tcW w:type="dxa" w:w="1007"/>
            <w:shd w:fill="17324D"/>
            <w:vAlign w:val="center"/>
            <w:tcMar>
              <w:top w:w="100" w:type="dxa"/>
              <w:start w:w="110" w:type="dxa"/>
              <w:bottom w:w="100" w:type="dxa"/>
              <w:end w:w="110" w:type="dxa"/>
            </w:tcMar>
          </w:tcPr>
          <w:p>
            <w:pPr>
              <w:jc w:val="center"/>
            </w:pPr>
            <w:r/>
            <w:r>
              <w:rPr>
                <w:b/>
                <w:color w:val="FFFFFF"/>
                <w:sz w:val="16"/>
              </w:rPr>
              <w:t>Source</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2021 post-money equity value</w:t>
            </w:r>
          </w:p>
        </w:tc>
        <w:tc>
          <w:tcPr>
            <w:tcW w:type="dxa" w:w="1800"/>
            <w:vAlign w:val="center"/>
            <w:tcMar>
              <w:top w:w="90" w:type="dxa"/>
              <w:start w:w="100" w:type="dxa"/>
              <w:bottom w:w="90" w:type="dxa"/>
              <w:end w:w="100" w:type="dxa"/>
            </w:tcMar>
          </w:tcPr>
          <w:p>
            <w:pPr>
              <w:spacing w:after="0" w:line="240" w:lineRule="auto"/>
              <w:jc w:val="center"/>
            </w:pPr>
            <w:r/>
            <w:r>
              <w:rPr>
                <w:color w:val="232D34"/>
                <w:sz w:val="16"/>
              </w:rPr>
              <w:t>$11.735B</w:t>
            </w:r>
          </w:p>
        </w:tc>
        <w:tc>
          <w:tcPr>
            <w:tcW w:type="dxa" w:w="5112"/>
            <w:vAlign w:val="center"/>
            <w:tcMar>
              <w:top w:w="90" w:type="dxa"/>
              <w:start w:w="100" w:type="dxa"/>
              <w:bottom w:w="90" w:type="dxa"/>
              <w:end w:w="100" w:type="dxa"/>
            </w:tcMar>
          </w:tcPr>
          <w:p>
            <w:pPr>
              <w:spacing w:after="0" w:line="240" w:lineRule="auto"/>
            </w:pPr>
            <w:r/>
            <w:r>
              <w:rPr>
                <w:color w:val="232D34"/>
                <w:sz w:val="16"/>
              </w:rPr>
              <w:t>$11.0B pre-money + $0.735B new capital</w:t>
            </w:r>
          </w:p>
        </w:tc>
        <w:tc>
          <w:tcPr>
            <w:tcW w:type="dxa" w:w="1007"/>
            <w:vAlign w:val="center"/>
            <w:tcMar>
              <w:top w:w="90" w:type="dxa"/>
              <w:start w:w="100" w:type="dxa"/>
              <w:bottom w:w="90" w:type="dxa"/>
              <w:end w:w="100" w:type="dxa"/>
            </w:tcMar>
          </w:tcPr>
          <w:p>
            <w:pPr>
              <w:spacing w:after="0" w:line="240" w:lineRule="auto"/>
              <w:jc w:val="center"/>
            </w:pPr>
            <w:r/>
            <w:r>
              <w:rPr>
                <w:color w:val="2F5E75"/>
                <w:sz w:val="15"/>
              </w:rPr>
              <w:t>S1</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6"/>
              </w:rPr>
              <w:t>2026 implied equity value</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6"/>
              </w:rPr>
              <w:t>$2.250B</w:t>
            </w:r>
          </w:p>
        </w:tc>
        <w:tc>
          <w:tcPr>
            <w:tcW w:type="dxa" w:w="5112"/>
            <w:vAlign w:val="center"/>
            <w:tcMar>
              <w:top w:w="90" w:type="dxa"/>
              <w:start w:w="100" w:type="dxa"/>
              <w:bottom w:w="90" w:type="dxa"/>
              <w:end w:w="100" w:type="dxa"/>
            </w:tcMar>
            <w:shd w:fill="F5F7F8"/>
          </w:tcPr>
          <w:p>
            <w:pPr>
              <w:spacing w:after="0" w:line="240" w:lineRule="auto"/>
            </w:pPr>
            <w:r/>
            <w:r>
              <w:rPr>
                <w:color w:val="232D34"/>
                <w:sz w:val="16"/>
              </w:rPr>
              <w:t>Cash consideration attributable to shareholders</w:t>
            </w:r>
          </w:p>
        </w:tc>
        <w:tc>
          <w:tcPr>
            <w:tcW w:type="dxa" w:w="1007"/>
            <w:vAlign w:val="center"/>
            <w:tcMar>
              <w:top w:w="90" w:type="dxa"/>
              <w:start w:w="100" w:type="dxa"/>
              <w:bottom w:w="90" w:type="dxa"/>
              <w:end w:w="100" w:type="dxa"/>
            </w:tcMar>
            <w:shd w:fill="F5F7F8"/>
          </w:tcPr>
          <w:p>
            <w:pPr>
              <w:spacing w:after="0" w:line="240" w:lineRule="auto"/>
              <w:jc w:val="center"/>
            </w:pPr>
            <w:r/>
            <w:r>
              <w:rPr>
                <w:color w:val="2F5E75"/>
                <w:sz w:val="15"/>
              </w:rPr>
              <w:t>S2,S3</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Implied net cash</w:t>
            </w:r>
          </w:p>
        </w:tc>
        <w:tc>
          <w:tcPr>
            <w:tcW w:type="dxa" w:w="1800"/>
            <w:vAlign w:val="center"/>
            <w:tcMar>
              <w:top w:w="90" w:type="dxa"/>
              <w:start w:w="100" w:type="dxa"/>
              <w:bottom w:w="90" w:type="dxa"/>
              <w:end w:w="100" w:type="dxa"/>
            </w:tcMar>
          </w:tcPr>
          <w:p>
            <w:pPr>
              <w:spacing w:after="0" w:line="240" w:lineRule="auto"/>
              <w:jc w:val="center"/>
            </w:pPr>
            <w:r/>
            <w:r>
              <w:rPr>
                <w:color w:val="232D34"/>
                <w:sz w:val="16"/>
              </w:rPr>
              <w:t>$0.965B</w:t>
            </w:r>
          </w:p>
        </w:tc>
        <w:tc>
          <w:tcPr>
            <w:tcW w:type="dxa" w:w="5112"/>
            <w:vAlign w:val="center"/>
            <w:tcMar>
              <w:top w:w="90" w:type="dxa"/>
              <w:start w:w="100" w:type="dxa"/>
              <w:bottom w:w="90" w:type="dxa"/>
              <w:end w:w="100" w:type="dxa"/>
            </w:tcMar>
          </w:tcPr>
          <w:p>
            <w:pPr>
              <w:spacing w:after="0" w:line="240" w:lineRule="auto"/>
            </w:pPr>
            <w:r/>
            <w:r>
              <w:rPr>
                <w:color w:val="232D34"/>
                <w:sz w:val="16"/>
              </w:rPr>
              <w:t>$2.250B equity value - $1.285B EV</w:t>
            </w:r>
          </w:p>
        </w:tc>
        <w:tc>
          <w:tcPr>
            <w:tcW w:type="dxa" w:w="1007"/>
            <w:vAlign w:val="center"/>
            <w:tcMar>
              <w:top w:w="90" w:type="dxa"/>
              <w:start w:w="100" w:type="dxa"/>
              <w:bottom w:w="90" w:type="dxa"/>
              <w:end w:w="100" w:type="dxa"/>
            </w:tcMar>
          </w:tcPr>
          <w:p>
            <w:pPr>
              <w:spacing w:after="0" w:line="240" w:lineRule="auto"/>
              <w:jc w:val="center"/>
            </w:pPr>
            <w:r/>
            <w:r>
              <w:rPr>
                <w:color w:val="2F5E75"/>
                <w:sz w:val="15"/>
              </w:rPr>
              <w:t>S2,S3</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6"/>
              </w:rPr>
              <w:t>2026 enterprise value</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6"/>
              </w:rPr>
              <w:t>$1.285B</w:t>
            </w:r>
          </w:p>
        </w:tc>
        <w:tc>
          <w:tcPr>
            <w:tcW w:type="dxa" w:w="5112"/>
            <w:vAlign w:val="center"/>
            <w:tcMar>
              <w:top w:w="90" w:type="dxa"/>
              <w:start w:w="100" w:type="dxa"/>
              <w:bottom w:w="90" w:type="dxa"/>
              <w:end w:w="100" w:type="dxa"/>
            </w:tcMar>
            <w:shd w:fill="F5F7F8"/>
          </w:tcPr>
          <w:p>
            <w:pPr>
              <w:spacing w:after="0" w:line="240" w:lineRule="auto"/>
            </w:pPr>
            <w:r/>
            <w:r>
              <w:rPr>
                <w:color w:val="232D34"/>
                <w:sz w:val="16"/>
              </w:rPr>
              <w:t>Value of operating business net of cash</w:t>
            </w:r>
          </w:p>
        </w:tc>
        <w:tc>
          <w:tcPr>
            <w:tcW w:type="dxa" w:w="1007"/>
            <w:vAlign w:val="center"/>
            <w:tcMar>
              <w:top w:w="90" w:type="dxa"/>
              <w:start w:w="100" w:type="dxa"/>
              <w:bottom w:w="90" w:type="dxa"/>
              <w:end w:w="100" w:type="dxa"/>
            </w:tcMar>
            <w:shd w:fill="F5F7F8"/>
          </w:tcPr>
          <w:p>
            <w:pPr>
              <w:spacing w:after="0" w:line="240" w:lineRule="auto"/>
              <w:jc w:val="center"/>
            </w:pPr>
            <w:r/>
            <w:r>
              <w:rPr>
                <w:color w:val="2F5E75"/>
                <w:sz w:val="15"/>
              </w:rPr>
              <w:t>S2,S3</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Equity-value decline</w:t>
            </w:r>
          </w:p>
        </w:tc>
        <w:tc>
          <w:tcPr>
            <w:tcW w:type="dxa" w:w="1800"/>
            <w:vAlign w:val="center"/>
            <w:tcMar>
              <w:top w:w="90" w:type="dxa"/>
              <w:start w:w="100" w:type="dxa"/>
              <w:bottom w:w="90" w:type="dxa"/>
              <w:end w:w="100" w:type="dxa"/>
            </w:tcMar>
          </w:tcPr>
          <w:p>
            <w:pPr>
              <w:spacing w:after="0" w:line="240" w:lineRule="auto"/>
              <w:jc w:val="center"/>
            </w:pPr>
            <w:r/>
            <w:r>
              <w:rPr>
                <w:color w:val="232D34"/>
                <w:sz w:val="16"/>
              </w:rPr>
              <w:t>$9.485B / 80.83%</w:t>
            </w:r>
          </w:p>
        </w:tc>
        <w:tc>
          <w:tcPr>
            <w:tcW w:type="dxa" w:w="5112"/>
            <w:vAlign w:val="center"/>
            <w:tcMar>
              <w:top w:w="90" w:type="dxa"/>
              <w:start w:w="100" w:type="dxa"/>
              <w:bottom w:w="90" w:type="dxa"/>
              <w:end w:w="100" w:type="dxa"/>
            </w:tcMar>
          </w:tcPr>
          <w:p>
            <w:pPr>
              <w:spacing w:after="0" w:line="240" w:lineRule="auto"/>
            </w:pPr>
            <w:r/>
            <w:r>
              <w:rPr>
                <w:color w:val="232D34"/>
                <w:sz w:val="16"/>
              </w:rPr>
              <w:t>($11.735B - $2.250B) / $11.735B</w:t>
            </w:r>
          </w:p>
        </w:tc>
        <w:tc>
          <w:tcPr>
            <w:tcW w:type="dxa" w:w="1007"/>
            <w:vAlign w:val="center"/>
            <w:tcMar>
              <w:top w:w="90" w:type="dxa"/>
              <w:start w:w="100" w:type="dxa"/>
              <w:bottom w:w="90" w:type="dxa"/>
              <w:end w:w="100" w:type="dxa"/>
            </w:tcMar>
          </w:tcPr>
          <w:p>
            <w:pPr>
              <w:spacing w:after="0" w:line="240" w:lineRule="auto"/>
              <w:jc w:val="center"/>
            </w:pPr>
            <w:r/>
            <w:r>
              <w:rPr>
                <w:color w:val="2F5E75"/>
                <w:sz w:val="15"/>
              </w:rPr>
              <w:t>DERIVED</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6"/>
              </w:rPr>
              <w:t>EV decline versus 2021 pre-money</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6"/>
              </w:rPr>
              <w:t>$9.715B / 88.32%</w:t>
            </w:r>
          </w:p>
        </w:tc>
        <w:tc>
          <w:tcPr>
            <w:tcW w:type="dxa" w:w="5112"/>
            <w:vAlign w:val="center"/>
            <w:tcMar>
              <w:top w:w="90" w:type="dxa"/>
              <w:start w:w="100" w:type="dxa"/>
              <w:bottom w:w="90" w:type="dxa"/>
              <w:end w:w="100" w:type="dxa"/>
            </w:tcMar>
            <w:shd w:fill="F5F7F8"/>
          </w:tcPr>
          <w:p>
            <w:pPr>
              <w:spacing w:after="0" w:line="240" w:lineRule="auto"/>
              <w:jc w:val="center"/>
            </w:pPr>
            <w:r/>
            <w:r>
              <w:rPr>
                <w:color w:val="232D34"/>
                <w:sz w:val="16"/>
              </w:rPr>
              <w:t>($11.0B - $1.285B) / $11.0B</w:t>
            </w:r>
          </w:p>
        </w:tc>
        <w:tc>
          <w:tcPr>
            <w:tcW w:type="dxa" w:w="1007"/>
            <w:vAlign w:val="center"/>
            <w:tcMar>
              <w:top w:w="90" w:type="dxa"/>
              <w:start w:w="100" w:type="dxa"/>
              <w:bottom w:w="90" w:type="dxa"/>
              <w:end w:w="100" w:type="dxa"/>
            </w:tcMar>
            <w:shd w:fill="F5F7F8"/>
          </w:tcPr>
          <w:p>
            <w:pPr>
              <w:spacing w:after="0" w:line="240" w:lineRule="auto"/>
              <w:jc w:val="center"/>
            </w:pPr>
            <w:r/>
            <w:r>
              <w:rPr>
                <w:color w:val="2F5E75"/>
                <w:sz w:val="15"/>
              </w:rPr>
              <w:t>DERIVED</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Equity value / total funding</w:t>
            </w:r>
          </w:p>
        </w:tc>
        <w:tc>
          <w:tcPr>
            <w:tcW w:type="dxa" w:w="1800"/>
            <w:vAlign w:val="center"/>
            <w:tcMar>
              <w:top w:w="90" w:type="dxa"/>
              <w:start w:w="100" w:type="dxa"/>
              <w:bottom w:w="90" w:type="dxa"/>
              <w:end w:w="100" w:type="dxa"/>
            </w:tcMar>
          </w:tcPr>
          <w:p>
            <w:pPr>
              <w:spacing w:after="0" w:line="240" w:lineRule="auto"/>
              <w:jc w:val="center"/>
            </w:pPr>
            <w:r/>
            <w:r>
              <w:rPr>
                <w:color w:val="232D34"/>
                <w:sz w:val="16"/>
              </w:rPr>
              <w:t>1.65x</w:t>
            </w:r>
          </w:p>
        </w:tc>
        <w:tc>
          <w:tcPr>
            <w:tcW w:type="dxa" w:w="5112"/>
            <w:vAlign w:val="center"/>
            <w:tcMar>
              <w:top w:w="90" w:type="dxa"/>
              <w:start w:w="100" w:type="dxa"/>
              <w:bottom w:w="90" w:type="dxa"/>
              <w:end w:w="100" w:type="dxa"/>
            </w:tcMar>
          </w:tcPr>
          <w:p>
            <w:pPr>
              <w:spacing w:after="0" w:line="240" w:lineRule="auto"/>
              <w:jc w:val="center"/>
            </w:pPr>
            <w:r/>
            <w:r>
              <w:rPr>
                <w:color w:val="232D34"/>
                <w:sz w:val="16"/>
              </w:rPr>
              <w:t>$2.250B / $1.360B</w:t>
            </w:r>
          </w:p>
        </w:tc>
        <w:tc>
          <w:tcPr>
            <w:tcW w:type="dxa" w:w="1007"/>
            <w:vAlign w:val="center"/>
            <w:tcMar>
              <w:top w:w="90" w:type="dxa"/>
              <w:start w:w="100" w:type="dxa"/>
              <w:bottom w:w="90" w:type="dxa"/>
              <w:end w:w="100" w:type="dxa"/>
            </w:tcMar>
          </w:tcPr>
          <w:p>
            <w:pPr>
              <w:spacing w:after="0" w:line="240" w:lineRule="auto"/>
              <w:jc w:val="center"/>
            </w:pPr>
            <w:r/>
            <w:r>
              <w:rPr>
                <w:color w:val="2F5E75"/>
                <w:sz w:val="15"/>
              </w:rPr>
              <w:t>DERIVED</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6"/>
              </w:rPr>
              <w:t>EV / total funding</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6"/>
              </w:rPr>
              <w:t>0.94x</w:t>
            </w:r>
          </w:p>
        </w:tc>
        <w:tc>
          <w:tcPr>
            <w:tcW w:type="dxa" w:w="5112"/>
            <w:vAlign w:val="center"/>
            <w:tcMar>
              <w:top w:w="90" w:type="dxa"/>
              <w:start w:w="100" w:type="dxa"/>
              <w:bottom w:w="90" w:type="dxa"/>
              <w:end w:w="100" w:type="dxa"/>
            </w:tcMar>
            <w:shd w:fill="F5F7F8"/>
          </w:tcPr>
          <w:p>
            <w:pPr>
              <w:spacing w:after="0" w:line="240" w:lineRule="auto"/>
              <w:jc w:val="center"/>
            </w:pPr>
            <w:r/>
            <w:r>
              <w:rPr>
                <w:color w:val="232D34"/>
                <w:sz w:val="16"/>
              </w:rPr>
              <w:t>$1.285B / $1.360B</w:t>
            </w:r>
          </w:p>
        </w:tc>
        <w:tc>
          <w:tcPr>
            <w:tcW w:type="dxa" w:w="1007"/>
            <w:vAlign w:val="center"/>
            <w:tcMar>
              <w:top w:w="90" w:type="dxa"/>
              <w:start w:w="100" w:type="dxa"/>
              <w:bottom w:w="90" w:type="dxa"/>
              <w:end w:w="100" w:type="dxa"/>
            </w:tcMar>
            <w:shd w:fill="F5F7F8"/>
          </w:tcPr>
          <w:p>
            <w:pPr>
              <w:spacing w:after="0" w:line="240" w:lineRule="auto"/>
              <w:jc w:val="center"/>
            </w:pPr>
            <w:r/>
            <w:r>
              <w:rPr>
                <w:color w:val="2F5E75"/>
                <w:sz w:val="15"/>
              </w:rPr>
              <w:t>DERIVED</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EV / reported ARR</w:t>
            </w:r>
          </w:p>
        </w:tc>
        <w:tc>
          <w:tcPr>
            <w:tcW w:type="dxa" w:w="1800"/>
            <w:vAlign w:val="center"/>
            <w:tcMar>
              <w:top w:w="90" w:type="dxa"/>
              <w:start w:w="100" w:type="dxa"/>
              <w:bottom w:w="90" w:type="dxa"/>
              <w:end w:w="100" w:type="dxa"/>
            </w:tcMar>
          </w:tcPr>
          <w:p>
            <w:pPr>
              <w:spacing w:after="0" w:line="240" w:lineRule="auto"/>
              <w:jc w:val="center"/>
            </w:pPr>
            <w:r/>
            <w:r>
              <w:rPr>
                <w:color w:val="232D34"/>
                <w:sz w:val="16"/>
              </w:rPr>
              <w:t>~2.68x</w:t>
            </w:r>
          </w:p>
        </w:tc>
        <w:tc>
          <w:tcPr>
            <w:tcW w:type="dxa" w:w="5112"/>
            <w:vAlign w:val="center"/>
            <w:tcMar>
              <w:top w:w="90" w:type="dxa"/>
              <w:start w:w="100" w:type="dxa"/>
              <w:bottom w:w="90" w:type="dxa"/>
              <w:end w:w="100" w:type="dxa"/>
            </w:tcMar>
          </w:tcPr>
          <w:p>
            <w:pPr>
              <w:spacing w:after="0" w:line="240" w:lineRule="auto"/>
            </w:pPr>
            <w:r/>
            <w:r>
              <w:rPr>
                <w:color w:val="232D34"/>
                <w:sz w:val="16"/>
              </w:rPr>
              <w:t>$1.285B / approximately $0.480B ARR</w:t>
            </w:r>
          </w:p>
        </w:tc>
        <w:tc>
          <w:tcPr>
            <w:tcW w:type="dxa" w:w="1007"/>
            <w:vAlign w:val="center"/>
            <w:tcMar>
              <w:top w:w="90" w:type="dxa"/>
              <w:start w:w="100" w:type="dxa"/>
              <w:bottom w:w="90" w:type="dxa"/>
              <w:end w:w="100" w:type="dxa"/>
            </w:tcMar>
          </w:tcPr>
          <w:p>
            <w:pPr>
              <w:spacing w:after="0" w:line="240" w:lineRule="auto"/>
              <w:jc w:val="center"/>
            </w:pPr>
            <w:r/>
            <w:r>
              <w:rPr>
                <w:color w:val="2F5E75"/>
                <w:sz w:val="15"/>
              </w:rPr>
              <w:t>S2,S3</w:t>
            </w:r>
          </w:p>
        </w:tc>
      </w:tr>
    </w:tbl>
    <w:p>
      <w:pPr>
        <w:spacing w:after="20"/>
      </w:pPr>
    </w:p>
    <w:p>
      <w:pPr>
        <w:pStyle w:val="Heading2"/>
        <w:keepNext/>
      </w:pPr>
      <w:r>
        <w:t>What the headline gets right—and wrong</w:t>
      </w:r>
    </w:p>
    <w:p>
      <w:pPr>
        <w:pStyle w:val="ListBullet"/>
        <w:spacing w:after="60" w:line="250" w:lineRule="auto"/>
      </w:pPr>
      <w:r>
        <w:t>Right: the operating business is valued at only about $1.285B, roughly 88% below the 2021 pre-money valuation and slightly below the $1.36B of total capital raised. That is a severe economic reset.</w:t>
      </w:r>
      <w:r>
        <w:rPr>
          <w:color w:val="2F5E75"/>
          <w:sz w:val="16"/>
          <w:vertAlign w:val="superscript"/>
        </w:rPr>
        <w:t xml:space="preserve"> [S1,S2,S3]</w:t>
      </w:r>
    </w:p>
    <w:p>
      <w:pPr>
        <w:pStyle w:val="ListBullet"/>
        <w:spacing w:after="60" w:line="250" w:lineRule="auto"/>
      </w:pPr>
      <w:r>
        <w:t>Wrong if stated literally: Airtable did not sell for only $1.285B. That is enterprise value. Shareholders receive an implied $2.25B equity value because the approximately $965M of cash belongs to the company and therefore to its shareholders.</w:t>
      </w:r>
      <w:r>
        <w:rPr>
          <w:color w:val="2F5E75"/>
          <w:sz w:val="16"/>
          <w:vertAlign w:val="superscript"/>
        </w:rPr>
        <w:t xml:space="preserve"> [S2,S3]</w:t>
      </w:r>
    </w:p>
    <w:p>
      <w:pPr>
        <w:pStyle w:val="ListBullet"/>
        <w:spacing w:after="60" w:line="250" w:lineRule="auto"/>
      </w:pPr>
      <w:r>
        <w:t>Not publicly calculable: Benchmark, Coatue, D1, Thrive, Greenoaks and XN returns. Exact ownership, entry cost, dilution, secondaries, liquidation preferences, participation rights and internal marks are private. Early investors can still earn positive returns even while the late round is deeply impaired.</w:t>
      </w:r>
      <w:r>
        <w:rPr>
          <w:color w:val="2F5E75"/>
          <w:sz w:val="16"/>
          <w:vertAlign w:val="superscript"/>
        </w:rPr>
        <w:t xml:space="preserve"> [S1]</w:t>
      </w:r>
    </w:p>
    <w:p>
      <w:pPr>
        <w:pStyle w:val="Heading2"/>
        <w:keepNext/>
      </w:pPr>
      <w:r>
        <w:t>Bending Spoons: acquisition platform leverage</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232"/>
            <w:shd w:fill="17324D"/>
            <w:vAlign w:val="center"/>
            <w:tcMar>
              <w:top w:w="100" w:type="dxa"/>
              <w:start w:w="110" w:type="dxa"/>
              <w:bottom w:w="100" w:type="dxa"/>
              <w:end w:w="110" w:type="dxa"/>
            </w:tcMar>
          </w:tcPr>
          <w:p>
            <w:pPr>
              <w:jc w:val="center"/>
            </w:pPr>
            <w:r/>
            <w:r>
              <w:rPr>
                <w:b/>
                <w:color w:val="FFFFFF"/>
                <w:sz w:val="16"/>
              </w:rPr>
              <w:t>Item</w:t>
            </w:r>
          </w:p>
        </w:tc>
        <w:tc>
          <w:tcPr>
            <w:tcW w:type="dxa" w:w="1944"/>
            <w:shd w:fill="17324D"/>
            <w:vAlign w:val="center"/>
            <w:tcMar>
              <w:top w:w="100" w:type="dxa"/>
              <w:start w:w="110" w:type="dxa"/>
              <w:bottom w:w="100" w:type="dxa"/>
              <w:end w:w="110" w:type="dxa"/>
            </w:tcMar>
          </w:tcPr>
          <w:p>
            <w:pPr>
              <w:jc w:val="center"/>
            </w:pPr>
            <w:r/>
            <w:r>
              <w:rPr>
                <w:b/>
                <w:color w:val="FFFFFF"/>
                <w:sz w:val="16"/>
              </w:rPr>
              <w:t>Number</w:t>
            </w:r>
          </w:p>
        </w:tc>
        <w:tc>
          <w:tcPr>
            <w:tcW w:type="dxa" w:w="5328"/>
            <w:shd w:fill="17324D"/>
            <w:vAlign w:val="center"/>
            <w:tcMar>
              <w:top w:w="100" w:type="dxa"/>
              <w:start w:w="110" w:type="dxa"/>
              <w:bottom w:w="100" w:type="dxa"/>
              <w:end w:w="110" w:type="dxa"/>
            </w:tcMar>
          </w:tcPr>
          <w:p>
            <w:pPr>
              <w:jc w:val="center"/>
            </w:pPr>
            <w:r/>
            <w:r>
              <w:rPr>
                <w:b/>
                <w:color w:val="FFFFFF"/>
                <w:sz w:val="16"/>
              </w:rPr>
              <w:t>Interpretation</w:t>
            </w:r>
          </w:p>
        </w:tc>
        <w:tc>
          <w:tcPr>
            <w:tcW w:type="dxa" w:w="936"/>
            <w:shd w:fill="17324D"/>
            <w:vAlign w:val="center"/>
            <w:tcMar>
              <w:top w:w="100" w:type="dxa"/>
              <w:start w:w="110" w:type="dxa"/>
              <w:bottom w:w="100" w:type="dxa"/>
              <w:end w:w="110" w:type="dxa"/>
            </w:tcMar>
          </w:tcPr>
          <w:p>
            <w:pPr>
              <w:jc w:val="center"/>
            </w:pPr>
            <w:r/>
            <w:r>
              <w:rPr>
                <w:b/>
                <w:color w:val="FFFFFF"/>
                <w:sz w:val="16"/>
              </w:rPr>
              <w:t>Source</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IPO shares sold</w:t>
            </w:r>
          </w:p>
        </w:tc>
        <w:tc>
          <w:tcPr>
            <w:tcW w:type="dxa" w:w="1944"/>
            <w:vAlign w:val="center"/>
            <w:tcMar>
              <w:top w:w="90" w:type="dxa"/>
              <w:start w:w="100" w:type="dxa"/>
              <w:bottom w:w="90" w:type="dxa"/>
              <w:end w:w="100" w:type="dxa"/>
            </w:tcMar>
          </w:tcPr>
          <w:p>
            <w:pPr>
              <w:spacing w:after="0" w:line="240" w:lineRule="auto"/>
              <w:jc w:val="center"/>
            </w:pPr>
            <w:r/>
            <w:r>
              <w:rPr>
                <w:color w:val="232D34"/>
                <w:sz w:val="16"/>
              </w:rPr>
              <w:t>58M shares at $29</w:t>
            </w:r>
          </w:p>
        </w:tc>
        <w:tc>
          <w:tcPr>
            <w:tcW w:type="dxa" w:w="5328"/>
            <w:vAlign w:val="center"/>
            <w:tcMar>
              <w:top w:w="90" w:type="dxa"/>
              <w:start w:w="100" w:type="dxa"/>
              <w:bottom w:w="90" w:type="dxa"/>
              <w:end w:w="100" w:type="dxa"/>
            </w:tcMar>
          </w:tcPr>
          <w:p>
            <w:pPr>
              <w:spacing w:after="0" w:line="240" w:lineRule="auto"/>
              <w:jc w:val="center"/>
            </w:pPr>
            <w:r/>
            <w:r>
              <w:rPr>
                <w:color w:val="232D34"/>
                <w:sz w:val="16"/>
              </w:rPr>
              <w:t>$1.682B gross offering value</w:t>
            </w:r>
          </w:p>
        </w:tc>
        <w:tc>
          <w:tcPr>
            <w:tcW w:type="dxa" w:w="936"/>
            <w:vAlign w:val="center"/>
            <w:tcMar>
              <w:top w:w="90" w:type="dxa"/>
              <w:start w:w="100" w:type="dxa"/>
              <w:bottom w:w="90" w:type="dxa"/>
              <w:end w:w="100" w:type="dxa"/>
            </w:tcMar>
          </w:tcPr>
          <w:p>
            <w:pPr>
              <w:spacing w:after="0" w:line="240" w:lineRule="auto"/>
              <w:jc w:val="center"/>
            </w:pPr>
            <w:r/>
            <w:r>
              <w:rPr>
                <w:color w:val="2F5E75"/>
                <w:sz w:val="15"/>
              </w:rPr>
              <w:t>S4</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6"/>
              </w:rPr>
              <w:t>Primary proceeds to company</w:t>
            </w:r>
          </w:p>
        </w:tc>
        <w:tc>
          <w:tcPr>
            <w:tcW w:type="dxa" w:w="1944"/>
            <w:vAlign w:val="center"/>
            <w:tcMar>
              <w:top w:w="90" w:type="dxa"/>
              <w:start w:w="100" w:type="dxa"/>
              <w:bottom w:w="90" w:type="dxa"/>
              <w:end w:w="100" w:type="dxa"/>
            </w:tcMar>
            <w:shd w:fill="F5F7F8"/>
          </w:tcPr>
          <w:p>
            <w:pPr>
              <w:spacing w:after="0" w:line="240" w:lineRule="auto"/>
              <w:jc w:val="center"/>
            </w:pPr>
            <w:r/>
            <w:r>
              <w:rPr>
                <w:color w:val="232D34"/>
                <w:sz w:val="16"/>
              </w:rPr>
              <w:t>Approximately $1.0B</w:t>
            </w:r>
          </w:p>
        </w:tc>
        <w:tc>
          <w:tcPr>
            <w:tcW w:type="dxa" w:w="5328"/>
            <w:vAlign w:val="center"/>
            <w:tcMar>
              <w:top w:w="90" w:type="dxa"/>
              <w:start w:w="100" w:type="dxa"/>
              <w:bottom w:w="90" w:type="dxa"/>
              <w:end w:w="100" w:type="dxa"/>
            </w:tcMar>
            <w:shd w:fill="F5F7F8"/>
          </w:tcPr>
          <w:p>
            <w:pPr>
              <w:spacing w:after="0" w:line="240" w:lineRule="auto"/>
            </w:pPr>
            <w:r/>
            <w:r>
              <w:rPr>
                <w:color w:val="232D34"/>
                <w:sz w:val="16"/>
              </w:rPr>
              <w:t>Remainder was secondary selling shareholder proceeds</w:t>
            </w:r>
          </w:p>
        </w:tc>
        <w:tc>
          <w:tcPr>
            <w:tcW w:type="dxa" w:w="936"/>
            <w:vAlign w:val="center"/>
            <w:tcMar>
              <w:top w:w="90" w:type="dxa"/>
              <w:start w:w="100" w:type="dxa"/>
              <w:bottom w:w="90" w:type="dxa"/>
              <w:end w:w="100" w:type="dxa"/>
            </w:tcMar>
            <w:shd w:fill="F5F7F8"/>
          </w:tcPr>
          <w:p>
            <w:pPr>
              <w:spacing w:after="0" w:line="240" w:lineRule="auto"/>
              <w:jc w:val="center"/>
            </w:pPr>
            <w:r/>
            <w:r>
              <w:rPr>
                <w:color w:val="2F5E75"/>
                <w:sz w:val="15"/>
              </w:rPr>
              <w:t>S4</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First-day indicated market value</w:t>
            </w:r>
          </w:p>
        </w:tc>
        <w:tc>
          <w:tcPr>
            <w:tcW w:type="dxa" w:w="1944"/>
            <w:vAlign w:val="center"/>
            <w:tcMar>
              <w:top w:w="90" w:type="dxa"/>
              <w:start w:w="100" w:type="dxa"/>
              <w:bottom w:w="90" w:type="dxa"/>
              <w:end w:w="100" w:type="dxa"/>
            </w:tcMar>
          </w:tcPr>
          <w:p>
            <w:pPr>
              <w:spacing w:after="0" w:line="240" w:lineRule="auto"/>
              <w:jc w:val="center"/>
            </w:pPr>
            <w:r/>
            <w:r>
              <w:rPr>
                <w:color w:val="232D34"/>
                <w:sz w:val="16"/>
              </w:rPr>
              <w:t>Approximately $25.2B</w:t>
            </w:r>
          </w:p>
        </w:tc>
        <w:tc>
          <w:tcPr>
            <w:tcW w:type="dxa" w:w="5328"/>
            <w:vAlign w:val="center"/>
            <w:tcMar>
              <w:top w:w="90" w:type="dxa"/>
              <w:start w:w="100" w:type="dxa"/>
              <w:bottom w:w="90" w:type="dxa"/>
              <w:end w:w="100" w:type="dxa"/>
            </w:tcMar>
          </w:tcPr>
          <w:p>
            <w:pPr>
              <w:spacing w:after="0" w:line="240" w:lineRule="auto"/>
            </w:pPr>
            <w:r/>
            <w:r>
              <w:rPr>
                <w:color w:val="232D34"/>
                <w:sz w:val="16"/>
              </w:rPr>
              <w:t>Press calculation around IPO trading</w:t>
            </w:r>
          </w:p>
        </w:tc>
        <w:tc>
          <w:tcPr>
            <w:tcW w:type="dxa" w:w="936"/>
            <w:vAlign w:val="center"/>
            <w:tcMar>
              <w:top w:w="90" w:type="dxa"/>
              <w:start w:w="100" w:type="dxa"/>
              <w:bottom w:w="90" w:type="dxa"/>
              <w:end w:w="100" w:type="dxa"/>
            </w:tcMar>
          </w:tcPr>
          <w:p>
            <w:pPr>
              <w:spacing w:after="0" w:line="240" w:lineRule="auto"/>
              <w:jc w:val="center"/>
            </w:pPr>
            <w:r/>
            <w:r>
              <w:rPr>
                <w:color w:val="2F5E75"/>
                <w:sz w:val="15"/>
              </w:rPr>
              <w:t>S4</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6"/>
              </w:rPr>
              <w:t>Debt before Airtable</w:t>
            </w:r>
          </w:p>
        </w:tc>
        <w:tc>
          <w:tcPr>
            <w:tcW w:type="dxa" w:w="1944"/>
            <w:vAlign w:val="center"/>
            <w:tcMar>
              <w:top w:w="90" w:type="dxa"/>
              <w:start w:w="100" w:type="dxa"/>
              <w:bottom w:w="90" w:type="dxa"/>
              <w:end w:w="100" w:type="dxa"/>
            </w:tcMar>
            <w:shd w:fill="F5F7F8"/>
          </w:tcPr>
          <w:p>
            <w:pPr>
              <w:spacing w:after="0" w:line="240" w:lineRule="auto"/>
              <w:jc w:val="center"/>
            </w:pPr>
            <w:r/>
            <w:r>
              <w:rPr>
                <w:color w:val="232D34"/>
                <w:sz w:val="16"/>
              </w:rPr>
              <w:t>Approximately $4.4B</w:t>
            </w:r>
          </w:p>
        </w:tc>
        <w:tc>
          <w:tcPr>
            <w:tcW w:type="dxa" w:w="5328"/>
            <w:vAlign w:val="center"/>
            <w:tcMar>
              <w:top w:w="90" w:type="dxa"/>
              <w:start w:w="100" w:type="dxa"/>
              <w:bottom w:w="90" w:type="dxa"/>
              <w:end w:w="100" w:type="dxa"/>
            </w:tcMar>
            <w:shd w:fill="F5F7F8"/>
          </w:tcPr>
          <w:p>
            <w:pPr>
              <w:spacing w:after="0" w:line="240" w:lineRule="auto"/>
            </w:pPr>
            <w:r/>
            <w:r>
              <w:rPr>
                <w:color w:val="232D34"/>
                <w:sz w:val="16"/>
              </w:rPr>
              <w:t>Acquisition platform entered public market with material debt</w:t>
            </w:r>
          </w:p>
        </w:tc>
        <w:tc>
          <w:tcPr>
            <w:tcW w:type="dxa" w:w="936"/>
            <w:vAlign w:val="center"/>
            <w:tcMar>
              <w:top w:w="90" w:type="dxa"/>
              <w:start w:w="100" w:type="dxa"/>
              <w:bottom w:w="90" w:type="dxa"/>
              <w:end w:w="100" w:type="dxa"/>
            </w:tcMar>
            <w:shd w:fill="F5F7F8"/>
          </w:tcPr>
          <w:p>
            <w:pPr>
              <w:spacing w:after="0" w:line="240" w:lineRule="auto"/>
              <w:jc w:val="center"/>
            </w:pPr>
            <w:r/>
            <w:r>
              <w:rPr>
                <w:color w:val="2F5E75"/>
                <w:sz w:val="15"/>
              </w:rPr>
              <w:t>S4</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Q1 2026 revenue</w:t>
            </w:r>
          </w:p>
        </w:tc>
        <w:tc>
          <w:tcPr>
            <w:tcW w:type="dxa" w:w="1944"/>
            <w:vAlign w:val="center"/>
            <w:tcMar>
              <w:top w:w="90" w:type="dxa"/>
              <w:start w:w="100" w:type="dxa"/>
              <w:bottom w:w="90" w:type="dxa"/>
              <w:end w:w="100" w:type="dxa"/>
            </w:tcMar>
          </w:tcPr>
          <w:p>
            <w:pPr>
              <w:spacing w:after="0" w:line="240" w:lineRule="auto"/>
              <w:jc w:val="center"/>
            </w:pPr>
            <w:r/>
            <w:r>
              <w:rPr>
                <w:color w:val="232D34"/>
                <w:sz w:val="16"/>
              </w:rPr>
              <w:t>$601M</w:t>
            </w:r>
          </w:p>
        </w:tc>
        <w:tc>
          <w:tcPr>
            <w:tcW w:type="dxa" w:w="5328"/>
            <w:vAlign w:val="center"/>
            <w:tcMar>
              <w:top w:w="90" w:type="dxa"/>
              <w:start w:w="100" w:type="dxa"/>
              <w:bottom w:w="90" w:type="dxa"/>
              <w:end w:w="100" w:type="dxa"/>
            </w:tcMar>
          </w:tcPr>
          <w:p>
            <w:pPr>
              <w:spacing w:after="0" w:line="240" w:lineRule="auto"/>
              <w:jc w:val="center"/>
            </w:pPr>
            <w:r/>
            <w:r>
              <w:rPr>
                <w:color w:val="232D34"/>
                <w:sz w:val="16"/>
              </w:rPr>
              <w:t>Quarterly revenue</w:t>
            </w:r>
          </w:p>
        </w:tc>
        <w:tc>
          <w:tcPr>
            <w:tcW w:type="dxa" w:w="936"/>
            <w:vAlign w:val="center"/>
            <w:tcMar>
              <w:top w:w="90" w:type="dxa"/>
              <w:start w:w="100" w:type="dxa"/>
              <w:bottom w:w="90" w:type="dxa"/>
              <w:end w:w="100" w:type="dxa"/>
            </w:tcMar>
          </w:tcPr>
          <w:p>
            <w:pPr>
              <w:spacing w:after="0" w:line="240" w:lineRule="auto"/>
              <w:jc w:val="center"/>
            </w:pPr>
            <w:r/>
            <w:r>
              <w:rPr>
                <w:color w:val="2F5E75"/>
                <w:sz w:val="15"/>
              </w:rPr>
              <w:t>S4</w:t>
            </w:r>
          </w:p>
        </w:tc>
      </w:tr>
      <w:tr>
        <w:trPr>
          <w:cantSplit/>
        </w:trPr>
        <w:tc>
          <w:tcPr>
            <w:tcW w:type="dxa" w:w="2232"/>
            <w:vAlign w:val="center"/>
            <w:tcMar>
              <w:top w:w="90" w:type="dxa"/>
              <w:start w:w="100" w:type="dxa"/>
              <w:bottom w:w="90" w:type="dxa"/>
              <w:end w:w="100" w:type="dxa"/>
            </w:tcMar>
            <w:shd w:fill="F5F7F8"/>
          </w:tcPr>
          <w:p>
            <w:pPr>
              <w:spacing w:after="0" w:line="240" w:lineRule="auto"/>
            </w:pPr>
            <w:r/>
            <w:r>
              <w:rPr>
                <w:color w:val="232D34"/>
                <w:sz w:val="16"/>
              </w:rPr>
              <w:t>Q1 2026 net income</w:t>
            </w:r>
          </w:p>
        </w:tc>
        <w:tc>
          <w:tcPr>
            <w:tcW w:type="dxa" w:w="1944"/>
            <w:vAlign w:val="center"/>
            <w:tcMar>
              <w:top w:w="90" w:type="dxa"/>
              <w:start w:w="100" w:type="dxa"/>
              <w:bottom w:w="90" w:type="dxa"/>
              <w:end w:w="100" w:type="dxa"/>
            </w:tcMar>
            <w:shd w:fill="F5F7F8"/>
          </w:tcPr>
          <w:p>
            <w:pPr>
              <w:spacing w:after="0" w:line="240" w:lineRule="auto"/>
              <w:jc w:val="center"/>
            </w:pPr>
            <w:r/>
            <w:r>
              <w:rPr>
                <w:color w:val="232D34"/>
                <w:sz w:val="16"/>
              </w:rPr>
              <w:t>$27.5M</w:t>
            </w:r>
          </w:p>
        </w:tc>
        <w:tc>
          <w:tcPr>
            <w:tcW w:type="dxa" w:w="5328"/>
            <w:vAlign w:val="center"/>
            <w:tcMar>
              <w:top w:w="90" w:type="dxa"/>
              <w:start w:w="100" w:type="dxa"/>
              <w:bottom w:w="90" w:type="dxa"/>
              <w:end w:w="100" w:type="dxa"/>
            </w:tcMar>
            <w:shd w:fill="F5F7F8"/>
          </w:tcPr>
          <w:p>
            <w:pPr>
              <w:spacing w:after="0" w:line="240" w:lineRule="auto"/>
              <w:jc w:val="center"/>
            </w:pPr>
            <w:r/>
            <w:r>
              <w:rPr>
                <w:color w:val="232D34"/>
                <w:sz w:val="16"/>
              </w:rPr>
              <w:t>~4.6% reported net margin</w:t>
            </w:r>
          </w:p>
        </w:tc>
        <w:tc>
          <w:tcPr>
            <w:tcW w:type="dxa" w:w="936"/>
            <w:vAlign w:val="center"/>
            <w:tcMar>
              <w:top w:w="90" w:type="dxa"/>
              <w:start w:w="100" w:type="dxa"/>
              <w:bottom w:w="90" w:type="dxa"/>
              <w:end w:w="100" w:type="dxa"/>
            </w:tcMar>
            <w:shd w:fill="F5F7F8"/>
          </w:tcPr>
          <w:p>
            <w:pPr>
              <w:spacing w:after="0" w:line="240" w:lineRule="auto"/>
              <w:jc w:val="center"/>
            </w:pPr>
            <w:r/>
            <w:r>
              <w:rPr>
                <w:color w:val="2F5E75"/>
                <w:sz w:val="15"/>
              </w:rPr>
              <w:t>S4,DERIVED</w:t>
            </w:r>
          </w:p>
        </w:tc>
      </w:tr>
      <w:tr>
        <w:trPr>
          <w:cantSplit/>
        </w:trPr>
        <w:tc>
          <w:tcPr>
            <w:tcW w:type="dxa" w:w="2232"/>
            <w:vAlign w:val="center"/>
            <w:tcMar>
              <w:top w:w="90" w:type="dxa"/>
              <w:start w:w="100" w:type="dxa"/>
              <w:bottom w:w="90" w:type="dxa"/>
              <w:end w:w="100" w:type="dxa"/>
            </w:tcMar>
          </w:tcPr>
          <w:p>
            <w:pPr>
              <w:spacing w:after="0" w:line="240" w:lineRule="auto"/>
            </w:pPr>
            <w:r/>
            <w:r>
              <w:rPr>
                <w:color w:val="232D34"/>
                <w:sz w:val="16"/>
              </w:rPr>
              <w:t>Airtable purchase</w:t>
            </w:r>
          </w:p>
        </w:tc>
        <w:tc>
          <w:tcPr>
            <w:tcW w:type="dxa" w:w="1944"/>
            <w:vAlign w:val="center"/>
            <w:tcMar>
              <w:top w:w="90" w:type="dxa"/>
              <w:start w:w="100" w:type="dxa"/>
              <w:bottom w:w="90" w:type="dxa"/>
              <w:end w:w="100" w:type="dxa"/>
            </w:tcMar>
          </w:tcPr>
          <w:p>
            <w:pPr>
              <w:spacing w:after="0" w:line="240" w:lineRule="auto"/>
            </w:pPr>
            <w:r/>
            <w:r>
              <w:rPr>
                <w:color w:val="232D34"/>
                <w:sz w:val="16"/>
              </w:rPr>
              <w:t>~$1.285B EV / $2.25B equity value</w:t>
            </w:r>
          </w:p>
        </w:tc>
        <w:tc>
          <w:tcPr>
            <w:tcW w:type="dxa" w:w="5328"/>
            <w:vAlign w:val="center"/>
            <w:tcMar>
              <w:top w:w="90" w:type="dxa"/>
              <w:start w:w="100" w:type="dxa"/>
              <w:bottom w:w="90" w:type="dxa"/>
              <w:end w:w="100" w:type="dxa"/>
            </w:tcMar>
          </w:tcPr>
          <w:p>
            <w:pPr>
              <w:spacing w:after="0" w:line="240" w:lineRule="auto"/>
            </w:pPr>
            <w:r/>
            <w:r>
              <w:rPr>
                <w:color w:val="232D34"/>
                <w:sz w:val="16"/>
              </w:rPr>
              <w:t>Final mix of buyer cash, target cash, bridge debt and permanent financing not fully disclosed</w:t>
            </w:r>
          </w:p>
        </w:tc>
        <w:tc>
          <w:tcPr>
            <w:tcW w:type="dxa" w:w="936"/>
            <w:vAlign w:val="center"/>
            <w:tcMar>
              <w:top w:w="90" w:type="dxa"/>
              <w:start w:w="100" w:type="dxa"/>
              <w:bottom w:w="90" w:type="dxa"/>
              <w:end w:w="100" w:type="dxa"/>
            </w:tcMar>
          </w:tcPr>
          <w:p>
            <w:pPr>
              <w:spacing w:after="0" w:line="240" w:lineRule="auto"/>
              <w:jc w:val="center"/>
            </w:pPr>
            <w:r/>
            <w:r>
              <w:rPr>
                <w:color w:val="2F5E75"/>
                <w:sz w:val="15"/>
              </w:rPr>
              <w:t>S2,S3</w:t>
            </w:r>
          </w:p>
        </w:tc>
      </w:tr>
    </w:tbl>
    <w:p>
      <w:pPr>
        <w:spacing w:after="20"/>
      </w:pP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Book to watch</w:t>
            </w:r>
          </w:p>
          <w:p>
            <w:pPr>
              <w:spacing w:after="0" w:line="252" w:lineRule="auto"/>
            </w:pPr>
            <w:r>
              <w:t>Bending Spoons is buying a cash-rich asset at a low operating-business multiple, but it is not an unleveraged acquirer. The relevant future filing questions are acquisition financing, pro forma net debt, interest expense, post-close restructuring costs, cash extraction and covenant headroom.</w:t>
            </w:r>
            <w:r>
              <w:rPr>
                <w:color w:val="2F5E75"/>
                <w:sz w:val="16"/>
                <w:vertAlign w:val="superscript"/>
              </w:rPr>
              <w:t xml:space="preserve"> [S2,S4]</w:t>
            </w:r>
          </w:p>
        </w:tc>
      </w:tr>
    </w:tbl>
    <w:p>
      <w:pPr>
        <w:spacing w:after="20"/>
      </w:pPr>
    </w:p>
    <w:p>
      <w:pPr>
        <w:pStyle w:val="Heading1"/>
        <w:keepNext/>
      </w:pPr>
      <w:r>
        <w:t>3. Situational Awareness: the hedge-fund book transferred to Citadel</w:t>
      </w:r>
    </w:p>
    <w:p>
      <w:pPr>
        <w:spacing w:after="100" w:line="259" w:lineRule="auto"/>
      </w:pPr>
      <w:r>
        <w:t>Situational Awareness LP is a hedge fund/adviser founded by Leopold Aschenbrenner. It is distinct from a VC fund, private-credit manager or AI operating company. Public filings show only a partial shell of the book; press reports describe the leverage and transfer event.</w:t>
      </w:r>
      <w:r>
        <w:rPr>
          <w:color w:val="2F5E75"/>
          <w:sz w:val="16"/>
          <w:vertAlign w:val="superscript"/>
        </w:rPr>
        <w:t xml:space="preserve"> [S5,S7,S8]</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3024"/>
            <w:shd w:fill="17324D"/>
            <w:vAlign w:val="center"/>
            <w:tcMar>
              <w:top w:w="100" w:type="dxa"/>
              <w:start w:w="110" w:type="dxa"/>
              <w:bottom w:w="100" w:type="dxa"/>
              <w:end w:w="110" w:type="dxa"/>
            </w:tcMar>
          </w:tcPr>
          <w:p>
            <w:pPr>
              <w:jc w:val="center"/>
            </w:pPr>
            <w:r/>
            <w:r>
              <w:rPr>
                <w:b/>
                <w:color w:val="FFFFFF"/>
                <w:sz w:val="16"/>
              </w:rPr>
              <w:t>Metric</w:t>
            </w:r>
          </w:p>
        </w:tc>
        <w:tc>
          <w:tcPr>
            <w:tcW w:type="dxa" w:w="6408"/>
            <w:shd w:fill="17324D"/>
            <w:vAlign w:val="center"/>
            <w:tcMar>
              <w:top w:w="100" w:type="dxa"/>
              <w:start w:w="110" w:type="dxa"/>
              <w:bottom w:w="100" w:type="dxa"/>
              <w:end w:w="110" w:type="dxa"/>
            </w:tcMar>
          </w:tcPr>
          <w:p>
            <w:pPr>
              <w:jc w:val="center"/>
            </w:pPr>
            <w:r/>
            <w:r>
              <w:rPr>
                <w:b/>
                <w:color w:val="FFFFFF"/>
                <w:sz w:val="16"/>
              </w:rPr>
              <w:t>Amount / fact</w:t>
            </w:r>
          </w:p>
        </w:tc>
        <w:tc>
          <w:tcPr>
            <w:tcW w:type="dxa" w:w="1007"/>
            <w:shd w:fill="17324D"/>
            <w:vAlign w:val="center"/>
            <w:tcMar>
              <w:top w:w="100" w:type="dxa"/>
              <w:start w:w="110" w:type="dxa"/>
              <w:bottom w:w="100" w:type="dxa"/>
              <w:end w:w="110" w:type="dxa"/>
            </w:tcMar>
          </w:tcPr>
          <w:p>
            <w:pPr>
              <w:jc w:val="center"/>
            </w:pPr>
            <w:r/>
            <w:r>
              <w:rPr>
                <w:b/>
                <w:color w:val="FFFFFF"/>
                <w:sz w:val="16"/>
              </w:rPr>
              <w:t>Source</w:t>
            </w:r>
          </w:p>
        </w:tc>
      </w:tr>
      <w:tr>
        <w:trPr>
          <w:cantSplit/>
        </w:trPr>
        <w:tc>
          <w:tcPr>
            <w:tcW w:type="dxa" w:w="3024"/>
            <w:vAlign w:val="center"/>
            <w:tcMar>
              <w:top w:w="90" w:type="dxa"/>
              <w:start w:w="100" w:type="dxa"/>
              <w:bottom w:w="90" w:type="dxa"/>
              <w:end w:w="100" w:type="dxa"/>
            </w:tcMar>
          </w:tcPr>
          <w:p>
            <w:pPr>
              <w:spacing w:after="0" w:line="240" w:lineRule="auto"/>
            </w:pPr>
            <w:r/>
            <w:r>
              <w:rPr>
                <w:color w:val="232D34"/>
                <w:sz w:val="16"/>
              </w:rPr>
              <w:t>13F reporting date</w:t>
            </w:r>
          </w:p>
        </w:tc>
        <w:tc>
          <w:tcPr>
            <w:tcW w:type="dxa" w:w="6408"/>
            <w:vAlign w:val="center"/>
            <w:tcMar>
              <w:top w:w="90" w:type="dxa"/>
              <w:start w:w="100" w:type="dxa"/>
              <w:bottom w:w="90" w:type="dxa"/>
              <w:end w:w="100" w:type="dxa"/>
            </w:tcMar>
          </w:tcPr>
          <w:p>
            <w:pPr>
              <w:spacing w:after="0" w:line="240" w:lineRule="auto"/>
              <w:jc w:val="center"/>
            </w:pPr>
            <w:r/>
            <w:r>
              <w:rPr>
                <w:color w:val="232D34"/>
                <w:sz w:val="16"/>
              </w:rPr>
              <w:t>March 31, 2026</w:t>
            </w:r>
          </w:p>
        </w:tc>
        <w:tc>
          <w:tcPr>
            <w:tcW w:type="dxa" w:w="1007"/>
            <w:vAlign w:val="center"/>
            <w:tcMar>
              <w:top w:w="90" w:type="dxa"/>
              <w:start w:w="100" w:type="dxa"/>
              <w:bottom w:w="90" w:type="dxa"/>
              <w:end w:w="100" w:type="dxa"/>
            </w:tcMar>
          </w:tcPr>
          <w:p>
            <w:pPr>
              <w:spacing w:after="0" w:line="240" w:lineRule="auto"/>
              <w:jc w:val="center"/>
            </w:pPr>
            <w:r/>
            <w:r>
              <w:rPr>
                <w:color w:val="2F5E75"/>
                <w:sz w:val="16"/>
              </w:rPr>
              <w:t>S5</w:t>
            </w:r>
          </w:p>
        </w:tc>
      </w:tr>
      <w:tr>
        <w:trPr>
          <w:cantSplit/>
        </w:trPr>
        <w:tc>
          <w:tcPr>
            <w:tcW w:type="dxa" w:w="3024"/>
            <w:vAlign w:val="center"/>
            <w:tcMar>
              <w:top w:w="90" w:type="dxa"/>
              <w:start w:w="100" w:type="dxa"/>
              <w:bottom w:w="90" w:type="dxa"/>
              <w:end w:w="100" w:type="dxa"/>
            </w:tcMar>
            <w:shd w:fill="F5F7F8"/>
          </w:tcPr>
          <w:p>
            <w:pPr>
              <w:spacing w:after="0" w:line="240" w:lineRule="auto"/>
            </w:pPr>
            <w:r/>
            <w:r>
              <w:rPr>
                <w:color w:val="232D34"/>
                <w:sz w:val="16"/>
              </w:rPr>
              <w:t>13F reported value</w:t>
            </w:r>
          </w:p>
        </w:tc>
        <w:tc>
          <w:tcPr>
            <w:tcW w:type="dxa" w:w="6408"/>
            <w:vAlign w:val="center"/>
            <w:tcMar>
              <w:top w:w="90" w:type="dxa"/>
              <w:start w:w="100" w:type="dxa"/>
              <w:bottom w:w="90" w:type="dxa"/>
              <w:end w:w="100" w:type="dxa"/>
            </w:tcMar>
            <w:shd w:fill="F5F7F8"/>
          </w:tcPr>
          <w:p>
            <w:pPr>
              <w:spacing w:after="0" w:line="240" w:lineRule="auto"/>
              <w:jc w:val="center"/>
            </w:pPr>
            <w:r/>
            <w:r>
              <w:rPr>
                <w:color w:val="232D34"/>
                <w:sz w:val="16"/>
              </w:rPr>
              <w:t>$13.6767B</w:t>
            </w:r>
          </w:p>
        </w:tc>
        <w:tc>
          <w:tcPr>
            <w:tcW w:type="dxa" w:w="1007"/>
            <w:vAlign w:val="center"/>
            <w:tcMar>
              <w:top w:w="90" w:type="dxa"/>
              <w:start w:w="100" w:type="dxa"/>
              <w:bottom w:w="90" w:type="dxa"/>
              <w:end w:w="100" w:type="dxa"/>
            </w:tcMar>
            <w:shd w:fill="F5F7F8"/>
          </w:tcPr>
          <w:p>
            <w:pPr>
              <w:spacing w:after="0" w:line="240" w:lineRule="auto"/>
              <w:jc w:val="center"/>
            </w:pPr>
            <w:r/>
            <w:r>
              <w:rPr>
                <w:color w:val="2F5E75"/>
                <w:sz w:val="16"/>
              </w:rPr>
              <w:t>S5,S6</w:t>
            </w:r>
          </w:p>
        </w:tc>
      </w:tr>
      <w:tr>
        <w:trPr>
          <w:cantSplit/>
        </w:trPr>
        <w:tc>
          <w:tcPr>
            <w:tcW w:type="dxa" w:w="3024"/>
            <w:vAlign w:val="center"/>
            <w:tcMar>
              <w:top w:w="90" w:type="dxa"/>
              <w:start w:w="100" w:type="dxa"/>
              <w:bottom w:w="90" w:type="dxa"/>
              <w:end w:w="100" w:type="dxa"/>
            </w:tcMar>
          </w:tcPr>
          <w:p>
            <w:pPr>
              <w:spacing w:after="0" w:line="240" w:lineRule="auto"/>
            </w:pPr>
            <w:r/>
            <w:r>
              <w:rPr>
                <w:color w:val="232D34"/>
                <w:sz w:val="16"/>
              </w:rPr>
              <w:t>Put-option reported value</w:t>
            </w:r>
          </w:p>
        </w:tc>
        <w:tc>
          <w:tcPr>
            <w:tcW w:type="dxa" w:w="6408"/>
            <w:vAlign w:val="center"/>
            <w:tcMar>
              <w:top w:w="90" w:type="dxa"/>
              <w:start w:w="100" w:type="dxa"/>
              <w:bottom w:w="90" w:type="dxa"/>
              <w:end w:w="100" w:type="dxa"/>
            </w:tcMar>
          </w:tcPr>
          <w:p>
            <w:pPr>
              <w:spacing w:after="0" w:line="240" w:lineRule="auto"/>
              <w:jc w:val="center"/>
            </w:pPr>
            <w:r/>
            <w:r>
              <w:rPr>
                <w:color w:val="232D34"/>
                <w:sz w:val="16"/>
              </w:rPr>
              <w:t>$8.4590B / 61.85% of total</w:t>
            </w:r>
          </w:p>
        </w:tc>
        <w:tc>
          <w:tcPr>
            <w:tcW w:type="dxa" w:w="1007"/>
            <w:vAlign w:val="center"/>
            <w:tcMar>
              <w:top w:w="90" w:type="dxa"/>
              <w:start w:w="100" w:type="dxa"/>
              <w:bottom w:w="90" w:type="dxa"/>
              <w:end w:w="100" w:type="dxa"/>
            </w:tcMar>
          </w:tcPr>
          <w:p>
            <w:pPr>
              <w:spacing w:after="0" w:line="240" w:lineRule="auto"/>
              <w:jc w:val="center"/>
            </w:pPr>
            <w:r/>
            <w:r>
              <w:rPr>
                <w:color w:val="2F5E75"/>
                <w:sz w:val="16"/>
              </w:rPr>
              <w:t>S6,DERIVED</w:t>
            </w:r>
          </w:p>
        </w:tc>
      </w:tr>
      <w:tr>
        <w:trPr>
          <w:cantSplit/>
        </w:trPr>
        <w:tc>
          <w:tcPr>
            <w:tcW w:type="dxa" w:w="3024"/>
            <w:vAlign w:val="center"/>
            <w:tcMar>
              <w:top w:w="90" w:type="dxa"/>
              <w:start w:w="100" w:type="dxa"/>
              <w:bottom w:w="90" w:type="dxa"/>
              <w:end w:w="100" w:type="dxa"/>
            </w:tcMar>
            <w:shd w:fill="F5F7F8"/>
          </w:tcPr>
          <w:p>
            <w:pPr>
              <w:spacing w:after="0" w:line="240" w:lineRule="auto"/>
            </w:pPr>
            <w:r/>
            <w:r>
              <w:rPr>
                <w:color w:val="232D34"/>
                <w:sz w:val="16"/>
              </w:rPr>
              <w:t>Common-stock reported value</w:t>
            </w:r>
          </w:p>
        </w:tc>
        <w:tc>
          <w:tcPr>
            <w:tcW w:type="dxa" w:w="6408"/>
            <w:vAlign w:val="center"/>
            <w:tcMar>
              <w:top w:w="90" w:type="dxa"/>
              <w:start w:w="100" w:type="dxa"/>
              <w:bottom w:w="90" w:type="dxa"/>
              <w:end w:w="100" w:type="dxa"/>
            </w:tcMar>
            <w:shd w:fill="F5F7F8"/>
          </w:tcPr>
          <w:p>
            <w:pPr>
              <w:spacing w:after="0" w:line="240" w:lineRule="auto"/>
              <w:jc w:val="center"/>
            </w:pPr>
            <w:r/>
            <w:r>
              <w:rPr>
                <w:color w:val="232D34"/>
                <w:sz w:val="16"/>
              </w:rPr>
              <w:t>$3.8559B / 28.19%</w:t>
            </w:r>
          </w:p>
        </w:tc>
        <w:tc>
          <w:tcPr>
            <w:tcW w:type="dxa" w:w="1007"/>
            <w:vAlign w:val="center"/>
            <w:tcMar>
              <w:top w:w="90" w:type="dxa"/>
              <w:start w:w="100" w:type="dxa"/>
              <w:bottom w:w="90" w:type="dxa"/>
              <w:end w:w="100" w:type="dxa"/>
            </w:tcMar>
            <w:shd w:fill="F5F7F8"/>
          </w:tcPr>
          <w:p>
            <w:pPr>
              <w:spacing w:after="0" w:line="240" w:lineRule="auto"/>
              <w:jc w:val="center"/>
            </w:pPr>
            <w:r/>
            <w:r>
              <w:rPr>
                <w:color w:val="2F5E75"/>
                <w:sz w:val="16"/>
              </w:rPr>
              <w:t>S6,DERIVED</w:t>
            </w:r>
          </w:p>
        </w:tc>
      </w:tr>
      <w:tr>
        <w:trPr>
          <w:cantSplit/>
        </w:trPr>
        <w:tc>
          <w:tcPr>
            <w:tcW w:type="dxa" w:w="3024"/>
            <w:vAlign w:val="center"/>
            <w:tcMar>
              <w:top w:w="90" w:type="dxa"/>
              <w:start w:w="100" w:type="dxa"/>
              <w:bottom w:w="90" w:type="dxa"/>
              <w:end w:w="100" w:type="dxa"/>
            </w:tcMar>
          </w:tcPr>
          <w:p>
            <w:pPr>
              <w:spacing w:after="0" w:line="240" w:lineRule="auto"/>
            </w:pPr>
            <w:r/>
            <w:r>
              <w:rPr>
                <w:color w:val="232D34"/>
                <w:sz w:val="16"/>
              </w:rPr>
              <w:t>Call-option reported value</w:t>
            </w:r>
          </w:p>
        </w:tc>
        <w:tc>
          <w:tcPr>
            <w:tcW w:type="dxa" w:w="6408"/>
            <w:vAlign w:val="center"/>
            <w:tcMar>
              <w:top w:w="90" w:type="dxa"/>
              <w:start w:w="100" w:type="dxa"/>
              <w:bottom w:w="90" w:type="dxa"/>
              <w:end w:w="100" w:type="dxa"/>
            </w:tcMar>
          </w:tcPr>
          <w:p>
            <w:pPr>
              <w:spacing w:after="0" w:line="240" w:lineRule="auto"/>
              <w:jc w:val="center"/>
            </w:pPr>
            <w:r/>
            <w:r>
              <w:rPr>
                <w:color w:val="232D34"/>
                <w:sz w:val="16"/>
              </w:rPr>
              <w:t>$1.3618B / 9.96%</w:t>
            </w:r>
          </w:p>
        </w:tc>
        <w:tc>
          <w:tcPr>
            <w:tcW w:type="dxa" w:w="1007"/>
            <w:vAlign w:val="center"/>
            <w:tcMar>
              <w:top w:w="90" w:type="dxa"/>
              <w:start w:w="100" w:type="dxa"/>
              <w:bottom w:w="90" w:type="dxa"/>
              <w:end w:w="100" w:type="dxa"/>
            </w:tcMar>
          </w:tcPr>
          <w:p>
            <w:pPr>
              <w:spacing w:after="0" w:line="240" w:lineRule="auto"/>
              <w:jc w:val="center"/>
            </w:pPr>
            <w:r/>
            <w:r>
              <w:rPr>
                <w:color w:val="2F5E75"/>
                <w:sz w:val="16"/>
              </w:rPr>
              <w:t>S6,DERIVED</w:t>
            </w:r>
          </w:p>
        </w:tc>
      </w:tr>
      <w:tr>
        <w:trPr>
          <w:cantSplit/>
        </w:trPr>
        <w:tc>
          <w:tcPr>
            <w:tcW w:type="dxa" w:w="3024"/>
            <w:vAlign w:val="center"/>
            <w:tcMar>
              <w:top w:w="90" w:type="dxa"/>
              <w:start w:w="100" w:type="dxa"/>
              <w:bottom w:w="90" w:type="dxa"/>
              <w:end w:w="100" w:type="dxa"/>
            </w:tcMar>
            <w:shd w:fill="F5F7F8"/>
          </w:tcPr>
          <w:p>
            <w:pPr>
              <w:spacing w:after="0" w:line="240" w:lineRule="auto"/>
            </w:pPr>
            <w:r/>
            <w:r>
              <w:rPr>
                <w:color w:val="232D34"/>
                <w:sz w:val="16"/>
              </w:rPr>
              <w:t>Press-reported AUM</w:t>
            </w:r>
          </w:p>
        </w:tc>
        <w:tc>
          <w:tcPr>
            <w:tcW w:type="dxa" w:w="6408"/>
            <w:vAlign w:val="center"/>
            <w:tcMar>
              <w:top w:w="90" w:type="dxa"/>
              <w:start w:w="100" w:type="dxa"/>
              <w:bottom w:w="90" w:type="dxa"/>
              <w:end w:w="100" w:type="dxa"/>
            </w:tcMar>
            <w:shd w:fill="F5F7F8"/>
          </w:tcPr>
          <w:p>
            <w:pPr>
              <w:spacing w:after="0" w:line="240" w:lineRule="auto"/>
              <w:jc w:val="center"/>
            </w:pPr>
            <w:r/>
            <w:r>
              <w:rPr>
                <w:color w:val="232D34"/>
                <w:sz w:val="16"/>
              </w:rPr>
              <w:t>Around or above $20B</w:t>
            </w:r>
          </w:p>
        </w:tc>
        <w:tc>
          <w:tcPr>
            <w:tcW w:type="dxa" w:w="1007"/>
            <w:vAlign w:val="center"/>
            <w:tcMar>
              <w:top w:w="90" w:type="dxa"/>
              <w:start w:w="100" w:type="dxa"/>
              <w:bottom w:w="90" w:type="dxa"/>
              <w:end w:w="100" w:type="dxa"/>
            </w:tcMar>
            <w:shd w:fill="F5F7F8"/>
          </w:tcPr>
          <w:p>
            <w:pPr>
              <w:spacing w:after="0" w:line="240" w:lineRule="auto"/>
              <w:jc w:val="center"/>
            </w:pPr>
            <w:r/>
            <w:r>
              <w:rPr>
                <w:color w:val="2F5E75"/>
                <w:sz w:val="16"/>
              </w:rPr>
              <w:t>S7,S8</w:t>
            </w:r>
          </w:p>
        </w:tc>
      </w:tr>
      <w:tr>
        <w:trPr>
          <w:cantSplit/>
        </w:trPr>
        <w:tc>
          <w:tcPr>
            <w:tcW w:type="dxa" w:w="3024"/>
            <w:vAlign w:val="center"/>
            <w:tcMar>
              <w:top w:w="90" w:type="dxa"/>
              <w:start w:w="100" w:type="dxa"/>
              <w:bottom w:w="90" w:type="dxa"/>
              <w:end w:w="100" w:type="dxa"/>
            </w:tcMar>
          </w:tcPr>
          <w:p>
            <w:pPr>
              <w:spacing w:after="0" w:line="240" w:lineRule="auto"/>
            </w:pPr>
            <w:r/>
            <w:r>
              <w:rPr>
                <w:color w:val="232D34"/>
                <w:sz w:val="16"/>
              </w:rPr>
              <w:t>Disposition</w:t>
            </w:r>
          </w:p>
        </w:tc>
        <w:tc>
          <w:tcPr>
            <w:tcW w:type="dxa" w:w="6408"/>
            <w:vAlign w:val="center"/>
            <w:tcMar>
              <w:top w:w="90" w:type="dxa"/>
              <w:start w:w="100" w:type="dxa"/>
              <w:bottom w:w="90" w:type="dxa"/>
              <w:end w:w="100" w:type="dxa"/>
            </w:tcMar>
          </w:tcPr>
          <w:p>
            <w:pPr>
              <w:spacing w:after="0" w:line="240" w:lineRule="auto"/>
            </w:pPr>
            <w:r/>
            <w:r>
              <w:rPr>
                <w:color w:val="232D34"/>
                <w:sz w:val="16"/>
              </w:rPr>
              <w:t>Bulk/all public-equity portfolio transferred to Citadel; terms undisclosed</w:t>
            </w:r>
          </w:p>
        </w:tc>
        <w:tc>
          <w:tcPr>
            <w:tcW w:type="dxa" w:w="1007"/>
            <w:vAlign w:val="center"/>
            <w:tcMar>
              <w:top w:w="90" w:type="dxa"/>
              <w:start w:w="100" w:type="dxa"/>
              <w:bottom w:w="90" w:type="dxa"/>
              <w:end w:w="100" w:type="dxa"/>
            </w:tcMar>
          </w:tcPr>
          <w:p>
            <w:pPr>
              <w:spacing w:after="0" w:line="240" w:lineRule="auto"/>
              <w:jc w:val="center"/>
            </w:pPr>
            <w:r/>
            <w:r>
              <w:rPr>
                <w:color w:val="2F5E75"/>
                <w:sz w:val="16"/>
              </w:rPr>
              <w:t>S7,S8</w:t>
            </w:r>
          </w:p>
        </w:tc>
      </w:tr>
      <w:tr>
        <w:trPr>
          <w:cantSplit/>
        </w:trPr>
        <w:tc>
          <w:tcPr>
            <w:tcW w:type="dxa" w:w="3024"/>
            <w:vAlign w:val="center"/>
            <w:tcMar>
              <w:top w:w="90" w:type="dxa"/>
              <w:start w:w="100" w:type="dxa"/>
              <w:bottom w:w="90" w:type="dxa"/>
              <w:end w:w="100" w:type="dxa"/>
            </w:tcMar>
            <w:shd w:fill="F5F7F8"/>
          </w:tcPr>
          <w:p>
            <w:pPr>
              <w:spacing w:after="0" w:line="240" w:lineRule="auto"/>
            </w:pPr>
            <w:r/>
            <w:r>
              <w:rPr>
                <w:color w:val="232D34"/>
                <w:sz w:val="16"/>
              </w:rPr>
              <w:t>Reported retained assets</w:t>
            </w:r>
          </w:p>
        </w:tc>
        <w:tc>
          <w:tcPr>
            <w:tcW w:type="dxa" w:w="6408"/>
            <w:vAlign w:val="center"/>
            <w:tcMar>
              <w:top w:w="90" w:type="dxa"/>
              <w:start w:w="100" w:type="dxa"/>
              <w:bottom w:w="90" w:type="dxa"/>
              <w:end w:w="100" w:type="dxa"/>
            </w:tcMar>
            <w:shd w:fill="F5F7F8"/>
          </w:tcPr>
          <w:p>
            <w:pPr>
              <w:spacing w:after="0" w:line="240" w:lineRule="auto"/>
            </w:pPr>
            <w:r/>
            <w:r>
              <w:rPr>
                <w:color w:val="232D34"/>
                <w:sz w:val="16"/>
              </w:rPr>
              <w:t>Client-capital-funded assets and private holdings, including Anthropic, according to reporting</w:t>
            </w:r>
          </w:p>
        </w:tc>
        <w:tc>
          <w:tcPr>
            <w:tcW w:type="dxa" w:w="1007"/>
            <w:vAlign w:val="center"/>
            <w:tcMar>
              <w:top w:w="90" w:type="dxa"/>
              <w:start w:w="100" w:type="dxa"/>
              <w:bottom w:w="90" w:type="dxa"/>
              <w:end w:w="100" w:type="dxa"/>
            </w:tcMar>
            <w:shd w:fill="F5F7F8"/>
          </w:tcPr>
          <w:p>
            <w:pPr>
              <w:spacing w:after="0" w:line="240" w:lineRule="auto"/>
              <w:jc w:val="center"/>
            </w:pPr>
            <w:r/>
            <w:r>
              <w:rPr>
                <w:color w:val="2F5E75"/>
                <w:sz w:val="16"/>
              </w:rPr>
              <w:t>S7</w:t>
            </w:r>
          </w:p>
        </w:tc>
      </w:tr>
    </w:tbl>
    <w:p>
      <w:pPr>
        <w:spacing w:after="20"/>
      </w:pPr>
    </w:p>
    <w:p>
      <w:r>
        <w:drawing>
          <wp:inline xmlns:a="http://schemas.openxmlformats.org/drawingml/2006/main" xmlns:pic="http://schemas.openxmlformats.org/drawingml/2006/picture">
            <wp:extent cx="6126480" cy="3089627"/>
            <wp:docPr id="2" name="Picture 2" descr="Image: image2.png"/>
            <wp:cNvGraphicFramePr>
              <a:graphicFrameLocks noChangeAspect="1"/>
            </wp:cNvGraphicFramePr>
            <a:graphic>
              <a:graphicData uri="http://schemas.openxmlformats.org/drawingml/2006/picture">
                <pic:pic>
                  <pic:nvPicPr>
                    <pic:cNvPr id="0" name="sa_13f.png"/>
                    <pic:cNvPicPr/>
                  </pic:nvPicPr>
                  <pic:blipFill>
                    <a:blip r:embed="rId10"/>
                    <a:stretch>
                      <a:fillRect/>
                    </a:stretch>
                  </pic:blipFill>
                  <pic:spPr>
                    <a:xfrm>
                      <a:off x="0" y="0"/>
                      <a:ext cx="6126480" cy="3089627"/>
                    </a:xfrm>
                    <a:prstGeom prst="rect"/>
                  </pic:spPr>
                </pic:pic>
              </a:graphicData>
            </a:graphic>
          </wp:inline>
        </w:drawing>
      </w:r>
    </w:p>
    <w:p>
      <w:pPr>
        <w:pStyle w:val="FigureCaption"/>
      </w:pPr>
      <w:r>
        <w:t>Figure 2. 13F option values are reported values tied to underlying securities, not the premium paid or a complete measure of economic exposure.</w:t>
      </w: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Critical 13F limitation</w:t>
            </w:r>
          </w:p>
          <w:p>
            <w:pPr>
              <w:spacing w:after="0" w:line="252" w:lineRule="auto"/>
            </w:pPr>
            <w:r>
              <w:t>A Form 13F does not disclose most shorts, bilateral swaps, total-return swaps, financing terms, margin calls, foreign-listed securities, private assets, fund-level leverage, LP liabilities or the premium paid for listed options. A put reported at $2.043B is not proof that $2.043B of cash was invested in that put. It is therefore incorrect to equate the $13.677B table with NAV, gross exposure or AUM.</w:t>
            </w:r>
            <w:r>
              <w:rPr>
                <w:color w:val="2F5E75"/>
                <w:sz w:val="16"/>
                <w:vertAlign w:val="superscript"/>
              </w:rPr>
              <w:t xml:space="preserve"> [S5,S6]</w:t>
            </w:r>
          </w:p>
        </w:tc>
      </w:tr>
    </w:tbl>
    <w:p>
      <w:pPr>
        <w:spacing w:after="20"/>
      </w:pPr>
    </w:p>
    <w:p>
      <w:pPr>
        <w:pStyle w:val="Heading2"/>
        <w:keepNext/>
      </w:pPr>
      <w:r>
        <w:t>Full Q1 2026 13F information table</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033"/>
        <w:gridCol w:w="2033"/>
        <w:gridCol w:w="2033"/>
        <w:gridCol w:w="2033"/>
        <w:gridCol w:w="2033"/>
      </w:tblGrid>
      <w:tr>
        <w:trPr>
          <w:tblHeader w:val="true"/>
        </w:trPr>
        <w:tc>
          <w:tcPr>
            <w:tcW w:type="dxa" w:w="3816"/>
            <w:shd w:fill="17324D"/>
            <w:vAlign w:val="center"/>
            <w:tcMar>
              <w:top w:w="100" w:type="dxa"/>
              <w:start w:w="110" w:type="dxa"/>
              <w:bottom w:w="100" w:type="dxa"/>
              <w:end w:w="110" w:type="dxa"/>
            </w:tcMar>
          </w:tcPr>
          <w:p>
            <w:pPr>
              <w:jc w:val="center"/>
            </w:pPr>
            <w:r/>
            <w:r>
              <w:rPr>
                <w:b/>
                <w:color w:val="FFFFFF"/>
                <w:sz w:val="15"/>
              </w:rPr>
              <w:t>Issuer / instrument</w:t>
            </w:r>
          </w:p>
        </w:tc>
        <w:tc>
          <w:tcPr>
            <w:tcW w:type="dxa" w:w="1800"/>
            <w:shd w:fill="17324D"/>
            <w:vAlign w:val="center"/>
            <w:tcMar>
              <w:top w:w="100" w:type="dxa"/>
              <w:start w:w="110" w:type="dxa"/>
              <w:bottom w:w="100" w:type="dxa"/>
              <w:end w:w="110" w:type="dxa"/>
            </w:tcMar>
          </w:tcPr>
          <w:p>
            <w:pPr>
              <w:jc w:val="center"/>
            </w:pPr>
            <w:r/>
            <w:r>
              <w:rPr>
                <w:b/>
                <w:color w:val="FFFFFF"/>
                <w:sz w:val="15"/>
              </w:rPr>
              <w:t>Security type</w:t>
            </w:r>
          </w:p>
        </w:tc>
        <w:tc>
          <w:tcPr>
            <w:tcW w:type="dxa" w:w="1728"/>
            <w:shd w:fill="17324D"/>
            <w:vAlign w:val="center"/>
            <w:tcMar>
              <w:top w:w="100" w:type="dxa"/>
              <w:start w:w="110" w:type="dxa"/>
              <w:bottom w:w="100" w:type="dxa"/>
              <w:end w:w="110" w:type="dxa"/>
            </w:tcMar>
          </w:tcPr>
          <w:p>
            <w:pPr>
              <w:jc w:val="center"/>
            </w:pPr>
            <w:r/>
            <w:r>
              <w:rPr>
                <w:b/>
                <w:color w:val="FFFFFF"/>
                <w:sz w:val="15"/>
              </w:rPr>
              <w:t>Reported value</w:t>
            </w:r>
          </w:p>
        </w:tc>
        <w:tc>
          <w:tcPr>
            <w:tcW w:type="dxa" w:w="1224"/>
            <w:shd w:fill="17324D"/>
            <w:vAlign w:val="center"/>
            <w:tcMar>
              <w:top w:w="100" w:type="dxa"/>
              <w:start w:w="110" w:type="dxa"/>
              <w:bottom w:w="100" w:type="dxa"/>
              <w:end w:w="110" w:type="dxa"/>
            </w:tcMar>
          </w:tcPr>
          <w:p>
            <w:pPr>
              <w:jc w:val="center"/>
            </w:pPr>
            <w:r/>
            <w:r>
              <w:rPr>
                <w:b/>
                <w:color w:val="FFFFFF"/>
                <w:sz w:val="15"/>
              </w:rPr>
              <w:t>Share of table</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VanEck Semiconductor ETF</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$2,043.0M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14.94%</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Nvidia</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$1,568.0M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11.46%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Oracle</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$1,073.0M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7.85%</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Broadcom</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$1,006.0M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7.36%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Advanced Micro Devices</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$969.2M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7.09%</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Bloom Energy</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$878.7M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6.42%</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Sandisk</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$724.4M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5.30%</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Micron Technology</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$583.7M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4.27%</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CoreWeave</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$556.1M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4.07%</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Taiwan Semiconductor</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$535.1M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3.91%</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ASML Holding</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$494.1M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3.61%</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Micron Technology</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Call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$422.3M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3.09%</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IREN</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$401.0M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2.93%</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Core Scientific</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$389.1M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2.84%</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Sandisk</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Call option</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$388.8M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2.84%</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Taiwan Semiconductor</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Call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$354.8M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2.59%</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Applied Digital</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$320.0M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2.34%</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Intel</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$159.1M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1.16%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Riot Platforms</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$142.2M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1.04%</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CoreWeave</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Call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$140.6M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1.03%</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CleanSpark</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$104.5M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0.76%</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Solaris Energy Infrastructure</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$62.5M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0.46%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Bloom Energy</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Call option</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$55.3M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0.40%</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T1 Energy</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$43.9M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0.32%</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Bitfarms</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$38.8M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0.28%</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Bitdeer Technologies</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$29.8M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0.22%</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Power Solutions International</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$26.3M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0.19%</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Corning</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$21.0M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0.15%</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WhiteFiber</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$20.9M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0.15%</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Advanced Micro Devices</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$20.2M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0.15%</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Babcock &amp; Wilcox</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$19.9M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0.15%</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SharonAI</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$18.1M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0.13%</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ProPetro Holding</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$13.1M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0.10%</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VanEck Semiconductor ETF</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$10.3M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0.08%</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Intel</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$8.9M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0.07%</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Taiwan Semiconductor</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$7.6M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0.06%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Infosys</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Put option</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$6.8M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0.05%</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HIVE Digital Technologies</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$6.4M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0.05%</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ASML Holding</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$6.1M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0.04%</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Micron Technology</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$5.9M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0.04%</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tcPr>
          <w:p>
            <w:pPr>
              <w:spacing w:after="0" w:line="240" w:lineRule="auto"/>
            </w:pPr>
            <w:r/>
            <w:r>
              <w:rPr>
                <w:color w:val="232D34"/>
                <w:sz w:val="15"/>
              </w:rPr>
              <w:t>Corning</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tcPr>
          <w:p>
            <w:pPr>
              <w:spacing w:after="0" w:line="240" w:lineRule="auto"/>
              <w:jc w:val="center"/>
            </w:pPr>
            <w:r/>
            <w:r>
              <w:rPr>
                <w:color w:val="232D34"/>
                <w:sz w:val="15"/>
              </w:rPr>
              <w:t>$0.7M</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0.01%</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S6</w:t>
            </w:r>
          </w:p>
        </w:tc>
      </w:tr>
      <w:tr>
        <w:trPr>
          <w:cantSplit/>
        </w:trPr>
        <w:tc>
          <w:tcPr>
            <w:tcW w:type="dxa" w:w="3816"/>
            <w:vAlign w:val="center"/>
            <w:tcMar>
              <w:top w:w="90" w:type="dxa"/>
              <w:start w:w="100" w:type="dxa"/>
              <w:bottom w:w="90" w:type="dxa"/>
              <w:end w:w="100" w:type="dxa"/>
            </w:tcMar>
            <w:shd w:fill="F5F7F8"/>
          </w:tcPr>
          <w:p>
            <w:pPr>
              <w:spacing w:after="0" w:line="240" w:lineRule="auto"/>
            </w:pPr>
            <w:r/>
            <w:r>
              <w:rPr>
                <w:color w:val="232D34"/>
                <w:sz w:val="15"/>
              </w:rPr>
              <w:t>Nvidia</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Common stock</w:t>
            </w:r>
          </w:p>
        </w:tc>
        <w:tc>
          <w:tcPr>
            <w:tcW w:type="dxa" w:w="1728"/>
            <w:vAlign w:val="center"/>
            <w:tcMar>
              <w:top w:w="90" w:type="dxa"/>
              <w:start w:w="100" w:type="dxa"/>
              <w:bottom w:w="90" w:type="dxa"/>
              <w:end w:w="100" w:type="dxa"/>
            </w:tcMar>
            <w:shd w:fill="F5F7F8"/>
          </w:tcPr>
          <w:p>
            <w:pPr>
              <w:spacing w:after="0" w:line="240" w:lineRule="auto"/>
              <w:jc w:val="center"/>
            </w:pPr>
            <w:r/>
            <w:r>
              <w:rPr>
                <w:color w:val="232D34"/>
                <w:sz w:val="15"/>
              </w:rPr>
              <w:t>$0.5M</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0.00%</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S6</w:t>
            </w:r>
          </w:p>
        </w:tc>
      </w:tr>
    </w:tbl>
    <w:p>
      <w:pPr>
        <w:spacing w:after="20"/>
      </w:pPr>
    </w:p>
    <w:p>
      <w:pPr>
        <w:pStyle w:val="Heading2"/>
        <w:keepNext/>
      </w:pPr>
      <w:r>
        <w:t>What moved to Citadel</w:t>
      </w:r>
    </w:p>
    <w:p>
      <w:pPr>
        <w:pStyle w:val="ListBullet"/>
        <w:spacing w:after="60" w:line="250" w:lineRule="auto"/>
      </w:pPr>
      <w:r>
        <w:t>The Wall Street Journal reported that Situational sold the bulk of its stock portfolio to Citadel after deep AI-related losses; Axios reported the entire public-equity portfolio was sold. The purchase price, financing assumption, hedge transfer, collateral haircuts and whether positions were novated or crossed are not public.</w:t>
      </w:r>
      <w:r>
        <w:rPr>
          <w:color w:val="2F5E75"/>
          <w:sz w:val="16"/>
          <w:vertAlign w:val="superscript"/>
        </w:rPr>
        <w:t xml:space="preserve"> [S7,S8]</w:t>
      </w:r>
    </w:p>
    <w:p>
      <w:pPr>
        <w:pStyle w:val="ListBullet"/>
        <w:spacing w:after="60" w:line="250" w:lineRule="auto"/>
      </w:pPr>
      <w:r>
        <w:t>The March 31 filing shows a paired structure: large bearish put positions in Nvidia, VanEck Semiconductor ETF, Oracle, Broadcom, AMD, Micron and TSMC alongside long common and call exposure to power, data centers, memory and AI infrastructure. The economic book likely depended on correlations, timing and leverage rather than a simple directional “AI long.”</w:t>
      </w:r>
      <w:r>
        <w:rPr>
          <w:color w:val="2F5E75"/>
          <w:sz w:val="16"/>
          <w:vertAlign w:val="superscript"/>
        </w:rPr>
        <w:t xml:space="preserve"> [S6]</w:t>
      </w:r>
    </w:p>
    <w:p>
      <w:pPr>
        <w:pStyle w:val="ListBullet"/>
        <w:spacing w:after="60" w:line="250" w:lineRule="auto"/>
      </w:pPr>
      <w:r>
        <w:t>A reported 67% one-month loss has circulated in financial media, but the fund has not published audited July performance in an accessible filing. It should be treated as reported rather than filed.</w:t>
      </w:r>
      <w:r>
        <w:rPr>
          <w:color w:val="2F5E75"/>
          <w:sz w:val="16"/>
          <w:vertAlign w:val="superscript"/>
        </w:rPr>
        <w:t xml:space="preserve"> [S7]</w:t>
      </w:r>
    </w:p>
    <w:p>
      <w:pPr>
        <w:pStyle w:val="Heading2"/>
        <w:keepNext/>
      </w:pPr>
      <w:r>
        <w:t>Publicly visible pressure points</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1800"/>
            <w:shd w:fill="17324D"/>
            <w:vAlign w:val="center"/>
            <w:tcMar>
              <w:top w:w="100" w:type="dxa"/>
              <w:start w:w="110" w:type="dxa"/>
              <w:bottom w:w="100" w:type="dxa"/>
              <w:end w:w="110" w:type="dxa"/>
            </w:tcMar>
          </w:tcPr>
          <w:p>
            <w:pPr>
              <w:jc w:val="center"/>
            </w:pPr>
            <w:r/>
            <w:r>
              <w:rPr>
                <w:b/>
                <w:color w:val="FFFFFF"/>
                <w:sz w:val="16"/>
              </w:rPr>
              <w:t>Pressure point</w:t>
            </w:r>
          </w:p>
        </w:tc>
        <w:tc>
          <w:tcPr>
            <w:tcW w:type="dxa" w:w="2520"/>
            <w:shd w:fill="17324D"/>
            <w:vAlign w:val="center"/>
            <w:tcMar>
              <w:top w:w="100" w:type="dxa"/>
              <w:start w:w="110" w:type="dxa"/>
              <w:bottom w:w="100" w:type="dxa"/>
              <w:end w:w="110" w:type="dxa"/>
            </w:tcMar>
          </w:tcPr>
          <w:p>
            <w:pPr>
              <w:jc w:val="center"/>
            </w:pPr>
            <w:r/>
            <w:r>
              <w:rPr>
                <w:b/>
                <w:color w:val="FFFFFF"/>
                <w:sz w:val="16"/>
              </w:rPr>
              <w:t>Visible number</w:t>
            </w:r>
          </w:p>
        </w:tc>
        <w:tc>
          <w:tcPr>
            <w:tcW w:type="dxa" w:w="5400"/>
            <w:shd w:fill="17324D"/>
            <w:vAlign w:val="center"/>
            <w:tcMar>
              <w:top w:w="100" w:type="dxa"/>
              <w:start w:w="110" w:type="dxa"/>
              <w:bottom w:w="100" w:type="dxa"/>
              <w:end w:w="110" w:type="dxa"/>
            </w:tcMar>
          </w:tcPr>
          <w:p>
            <w:pPr>
              <w:jc w:val="center"/>
            </w:pPr>
            <w:r/>
            <w:r>
              <w:rPr>
                <w:b/>
                <w:color w:val="FFFFFF"/>
                <w:sz w:val="16"/>
              </w:rPr>
              <w:t>Meaning</w:t>
            </w:r>
          </w:p>
        </w:tc>
        <w:tc>
          <w:tcPr>
            <w:tcW w:type="dxa" w:w="792"/>
            <w:shd w:fill="17324D"/>
            <w:vAlign w:val="center"/>
            <w:tcMar>
              <w:top w:w="100" w:type="dxa"/>
              <w:start w:w="110" w:type="dxa"/>
              <w:bottom w:w="100" w:type="dxa"/>
              <w:end w:w="110" w:type="dxa"/>
            </w:tcMar>
          </w:tcPr>
          <w:p>
            <w:pPr>
              <w:jc w:val="center"/>
            </w:pPr>
            <w:r/>
            <w:r>
              <w:rPr>
                <w:b/>
                <w:color w:val="FFFFFF"/>
                <w:sz w:val="16"/>
              </w:rPr>
              <w:t>Source</w:t>
            </w:r>
          </w:p>
        </w:tc>
      </w:tr>
      <w:tr>
        <w:trPr>
          <w:cantSplit/>
        </w:trPr>
        <w:tc>
          <w:tcPr>
            <w:tcW w:type="dxa" w:w="1800"/>
            <w:vAlign w:val="center"/>
            <w:tcMar>
              <w:top w:w="90" w:type="dxa"/>
              <w:start w:w="100" w:type="dxa"/>
              <w:bottom w:w="90" w:type="dxa"/>
              <w:end w:w="100" w:type="dxa"/>
            </w:tcMar>
          </w:tcPr>
          <w:p>
            <w:pPr>
              <w:spacing w:after="0" w:line="240" w:lineRule="auto"/>
            </w:pPr>
            <w:r/>
            <w:r>
              <w:rPr>
                <w:color w:val="232D34"/>
                <w:sz w:val="16"/>
              </w:rPr>
              <w:t>Options concentration</w:t>
            </w:r>
          </w:p>
        </w:tc>
        <w:tc>
          <w:tcPr>
            <w:tcW w:type="dxa" w:w="2520"/>
            <w:vAlign w:val="center"/>
            <w:tcMar>
              <w:top w:w="90" w:type="dxa"/>
              <w:start w:w="100" w:type="dxa"/>
              <w:bottom w:w="90" w:type="dxa"/>
              <w:end w:w="100" w:type="dxa"/>
            </w:tcMar>
          </w:tcPr>
          <w:p>
            <w:pPr>
              <w:spacing w:after="0" w:line="240" w:lineRule="auto"/>
              <w:jc w:val="center"/>
            </w:pPr>
            <w:r/>
            <w:r>
              <w:rPr>
                <w:color w:val="232D34"/>
                <w:sz w:val="16"/>
              </w:rPr>
              <w:t>$8.459B of reported put value</w:t>
            </w:r>
          </w:p>
        </w:tc>
        <w:tc>
          <w:tcPr>
            <w:tcW w:type="dxa" w:w="5400"/>
            <w:vAlign w:val="center"/>
            <w:tcMar>
              <w:top w:w="90" w:type="dxa"/>
              <w:start w:w="100" w:type="dxa"/>
              <w:bottom w:w="90" w:type="dxa"/>
              <w:end w:w="100" w:type="dxa"/>
            </w:tcMar>
          </w:tcPr>
          <w:p>
            <w:pPr>
              <w:spacing w:after="0" w:line="240" w:lineRule="auto"/>
            </w:pPr>
            <w:r/>
            <w:r>
              <w:rPr>
                <w:color w:val="232D34"/>
                <w:sz w:val="16"/>
              </w:rPr>
              <w:t>Potential hedge or directional exposure; premium and delta unknown</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S6</w:t>
            </w:r>
          </w:p>
        </w:tc>
      </w:tr>
      <w:tr>
        <w:trPr>
          <w:cantSplit/>
        </w:trPr>
        <w:tc>
          <w:tcPr>
            <w:tcW w:type="dxa" w:w="1800"/>
            <w:vAlign w:val="center"/>
            <w:tcMar>
              <w:top w:w="90" w:type="dxa"/>
              <w:start w:w="100" w:type="dxa"/>
              <w:bottom w:w="90" w:type="dxa"/>
              <w:end w:w="100" w:type="dxa"/>
            </w:tcMar>
            <w:shd w:fill="F5F7F8"/>
          </w:tcPr>
          <w:p>
            <w:pPr>
              <w:spacing w:after="0" w:line="240" w:lineRule="auto"/>
            </w:pPr>
            <w:r/>
            <w:r>
              <w:rPr>
                <w:color w:val="232D34"/>
                <w:sz w:val="16"/>
              </w:rPr>
              <w:t>Semiconductor correlation</w:t>
            </w:r>
          </w:p>
        </w:tc>
        <w:tc>
          <w:tcPr>
            <w:tcW w:type="dxa" w:w="2520"/>
            <w:vAlign w:val="center"/>
            <w:tcMar>
              <w:top w:w="90" w:type="dxa"/>
              <w:start w:w="100" w:type="dxa"/>
              <w:bottom w:w="90" w:type="dxa"/>
              <w:end w:w="100" w:type="dxa"/>
            </w:tcMar>
            <w:shd w:fill="F5F7F8"/>
          </w:tcPr>
          <w:p>
            <w:pPr>
              <w:spacing w:after="0" w:line="240" w:lineRule="auto"/>
            </w:pPr>
            <w:r/>
            <w:r>
              <w:rPr>
                <w:color w:val="232D34"/>
                <w:sz w:val="16"/>
              </w:rPr>
              <w:t>Large puts across SMH, Nvidia, Oracle, Broadcom, AMD, Micron and TSMC</w:t>
            </w:r>
          </w:p>
        </w:tc>
        <w:tc>
          <w:tcPr>
            <w:tcW w:type="dxa" w:w="5400"/>
            <w:vAlign w:val="center"/>
            <w:tcMar>
              <w:top w:w="90" w:type="dxa"/>
              <w:start w:w="100" w:type="dxa"/>
              <w:bottom w:w="90" w:type="dxa"/>
              <w:end w:w="100" w:type="dxa"/>
            </w:tcMar>
            <w:shd w:fill="F5F7F8"/>
          </w:tcPr>
          <w:p>
            <w:pPr>
              <w:spacing w:after="0" w:line="240" w:lineRule="auto"/>
            </w:pPr>
            <w:r/>
            <w:r>
              <w:rPr>
                <w:color w:val="232D34"/>
                <w:sz w:val="16"/>
              </w:rPr>
              <w:t>Correlated moves can overwhelm a spread book when leverage or timing is wrong</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S6</w:t>
            </w:r>
          </w:p>
        </w:tc>
      </w:tr>
      <w:tr>
        <w:trPr>
          <w:cantSplit/>
        </w:trPr>
        <w:tc>
          <w:tcPr>
            <w:tcW w:type="dxa" w:w="1800"/>
            <w:vAlign w:val="center"/>
            <w:tcMar>
              <w:top w:w="90" w:type="dxa"/>
              <w:start w:w="100" w:type="dxa"/>
              <w:bottom w:w="90" w:type="dxa"/>
              <w:end w:w="100" w:type="dxa"/>
            </w:tcMar>
          </w:tcPr>
          <w:p>
            <w:pPr>
              <w:spacing w:after="0" w:line="240" w:lineRule="auto"/>
            </w:pPr>
            <w:r/>
            <w:r>
              <w:rPr>
                <w:color w:val="232D34"/>
                <w:sz w:val="16"/>
              </w:rPr>
              <w:t>Power / data-center longs</w:t>
            </w:r>
          </w:p>
        </w:tc>
        <w:tc>
          <w:tcPr>
            <w:tcW w:type="dxa" w:w="2520"/>
            <w:vAlign w:val="center"/>
            <w:tcMar>
              <w:top w:w="90" w:type="dxa"/>
              <w:start w:w="100" w:type="dxa"/>
              <w:bottom w:w="90" w:type="dxa"/>
              <w:end w:w="100" w:type="dxa"/>
            </w:tcMar>
          </w:tcPr>
          <w:p>
            <w:pPr>
              <w:spacing w:after="0" w:line="240" w:lineRule="auto"/>
            </w:pPr>
            <w:r/>
            <w:r>
              <w:rPr>
                <w:color w:val="232D34"/>
                <w:sz w:val="16"/>
              </w:rPr>
              <w:t>Bloom $878.7M; Sandisk $724.4M; CoreWeave $556.1M; IREN $401.0M; Core Scientific $389.1M</w:t>
            </w:r>
          </w:p>
        </w:tc>
        <w:tc>
          <w:tcPr>
            <w:tcW w:type="dxa" w:w="5400"/>
            <w:vAlign w:val="center"/>
            <w:tcMar>
              <w:top w:w="90" w:type="dxa"/>
              <w:start w:w="100" w:type="dxa"/>
              <w:bottom w:w="90" w:type="dxa"/>
              <w:end w:w="100" w:type="dxa"/>
            </w:tcMar>
          </w:tcPr>
          <w:p>
            <w:pPr>
              <w:spacing w:after="0" w:line="240" w:lineRule="auto"/>
            </w:pPr>
            <w:r/>
            <w:r>
              <w:rPr>
                <w:color w:val="232D34"/>
                <w:sz w:val="16"/>
              </w:rPr>
              <w:t>Public long book concentrated in high-beta AI infrastructure</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S6</w:t>
            </w:r>
          </w:p>
        </w:tc>
      </w:tr>
      <w:tr>
        <w:trPr>
          <w:cantSplit/>
        </w:trPr>
        <w:tc>
          <w:tcPr>
            <w:tcW w:type="dxa" w:w="1800"/>
            <w:vAlign w:val="center"/>
            <w:tcMar>
              <w:top w:w="90" w:type="dxa"/>
              <w:start w:w="100" w:type="dxa"/>
              <w:bottom w:w="90" w:type="dxa"/>
              <w:end w:w="100" w:type="dxa"/>
            </w:tcMar>
            <w:shd w:fill="F5F7F8"/>
          </w:tcPr>
          <w:p>
            <w:pPr>
              <w:spacing w:after="0" w:line="240" w:lineRule="auto"/>
            </w:pPr>
            <w:r/>
            <w:r>
              <w:rPr>
                <w:color w:val="232D34"/>
                <w:sz w:val="16"/>
              </w:rPr>
              <w:t>AUM / filing gap</w:t>
            </w:r>
          </w:p>
        </w:tc>
        <w:tc>
          <w:tcPr>
            <w:tcW w:type="dxa" w:w="2520"/>
            <w:vAlign w:val="center"/>
            <w:tcMar>
              <w:top w:w="90" w:type="dxa"/>
              <w:start w:w="100" w:type="dxa"/>
              <w:bottom w:w="90" w:type="dxa"/>
              <w:end w:w="100" w:type="dxa"/>
            </w:tcMar>
            <w:shd w:fill="F5F7F8"/>
          </w:tcPr>
          <w:p>
            <w:pPr>
              <w:spacing w:after="0" w:line="240" w:lineRule="auto"/>
            </w:pPr>
            <w:r/>
            <w:r>
              <w:rPr>
                <w:color w:val="232D34"/>
                <w:sz w:val="16"/>
              </w:rPr>
              <w:t>~$20B reported AUM vs $13.677B 13F table</w:t>
            </w:r>
          </w:p>
        </w:tc>
        <w:tc>
          <w:tcPr>
            <w:tcW w:type="dxa" w:w="5400"/>
            <w:vAlign w:val="center"/>
            <w:tcMar>
              <w:top w:w="90" w:type="dxa"/>
              <w:start w:w="100" w:type="dxa"/>
              <w:bottom w:w="90" w:type="dxa"/>
              <w:end w:w="100" w:type="dxa"/>
            </w:tcMar>
            <w:shd w:fill="F5F7F8"/>
          </w:tcPr>
          <w:p>
            <w:pPr>
              <w:spacing w:after="0" w:line="240" w:lineRule="auto"/>
            </w:pPr>
            <w:r/>
            <w:r>
              <w:rPr>
                <w:color w:val="232D34"/>
                <w:sz w:val="16"/>
              </w:rPr>
              <w:t>Private assets, foreign holdings, cash, shorts, swaps and leverage can explain the gap; exact reconciliation impossible</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S5,S7,S8</w:t>
            </w:r>
          </w:p>
        </w:tc>
      </w:tr>
      <w:tr>
        <w:trPr>
          <w:cantSplit/>
        </w:trPr>
        <w:tc>
          <w:tcPr>
            <w:tcW w:type="dxa" w:w="1800"/>
            <w:vAlign w:val="center"/>
            <w:tcMar>
              <w:top w:w="90" w:type="dxa"/>
              <w:start w:w="100" w:type="dxa"/>
              <w:bottom w:w="90" w:type="dxa"/>
              <w:end w:w="100" w:type="dxa"/>
            </w:tcMar>
          </w:tcPr>
          <w:p>
            <w:pPr>
              <w:spacing w:after="0" w:line="240" w:lineRule="auto"/>
            </w:pPr>
            <w:r/>
            <w:r>
              <w:rPr>
                <w:color w:val="232D34"/>
                <w:sz w:val="16"/>
              </w:rPr>
              <w:t>Liquidity event</w:t>
            </w:r>
          </w:p>
        </w:tc>
        <w:tc>
          <w:tcPr>
            <w:tcW w:type="dxa" w:w="2520"/>
            <w:vAlign w:val="center"/>
            <w:tcMar>
              <w:top w:w="90" w:type="dxa"/>
              <w:start w:w="100" w:type="dxa"/>
              <w:bottom w:w="90" w:type="dxa"/>
              <w:end w:w="100" w:type="dxa"/>
            </w:tcMar>
          </w:tcPr>
          <w:p>
            <w:pPr>
              <w:spacing w:after="0" w:line="240" w:lineRule="auto"/>
            </w:pPr>
            <w:r/>
            <w:r>
              <w:rPr>
                <w:color w:val="232D34"/>
                <w:sz w:val="16"/>
              </w:rPr>
              <w:t>Public book transferred to Citadel</w:t>
            </w:r>
          </w:p>
        </w:tc>
        <w:tc>
          <w:tcPr>
            <w:tcW w:type="dxa" w:w="5400"/>
            <w:vAlign w:val="center"/>
            <w:tcMar>
              <w:top w:w="90" w:type="dxa"/>
              <w:start w:w="100" w:type="dxa"/>
              <w:bottom w:w="90" w:type="dxa"/>
              <w:end w:w="100" w:type="dxa"/>
            </w:tcMar>
          </w:tcPr>
          <w:p>
            <w:pPr>
              <w:spacing w:after="0" w:line="240" w:lineRule="auto"/>
            </w:pPr>
            <w:r/>
            <w:r>
              <w:rPr>
                <w:color w:val="232D34"/>
                <w:sz w:val="16"/>
              </w:rPr>
              <w:t>Price discovery occurred privately under pressure; loss allocation and LP liquidity undisclosed</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S7,S8</w:t>
            </w:r>
          </w:p>
        </w:tc>
      </w:tr>
    </w:tbl>
    <w:p>
      <w:pPr>
        <w:spacing w:after="20"/>
      </w:pPr>
    </w:p>
    <w:p>
      <w:pPr>
        <w:pStyle w:val="Heading1"/>
        <w:keepNext/>
      </w:pPr>
      <w:r>
        <w:t>4. Private-credit liquidity and redemption gates</w:t>
      </w:r>
    </w:p>
    <w:p>
      <w:pPr>
        <w:spacing w:after="100" w:line="259" w:lineRule="auto"/>
      </w:pPr>
      <w:r>
        <w:t>The immediate issue is not necessarily insolvency. It is the mismatch between illiquid multi-year loans and wealth products that offer limited quarterly repurchases. When requests exceed the offer, shareholders are paid pro rata and the remainder stays invested.</w:t>
      </w:r>
    </w:p>
    <w:p>
      <w:r>
        <w:drawing>
          <wp:inline xmlns:a="http://schemas.openxmlformats.org/drawingml/2006/main" xmlns:pic="http://schemas.openxmlformats.org/drawingml/2006/picture">
            <wp:extent cx="6126480" cy="2935998"/>
            <wp:docPr id="3" name="Picture 3" descr="Image: image3.png"/>
            <wp:cNvGraphicFramePr>
              <a:graphicFrameLocks noChangeAspect="1"/>
            </wp:cNvGraphicFramePr>
            <a:graphic>
              <a:graphicData uri="http://schemas.openxmlformats.org/drawingml/2006/picture">
                <pic:pic>
                  <pic:nvPicPr>
                    <pic:cNvPr id="0" name="redemptions.png"/>
                    <pic:cNvPicPr/>
                  </pic:nvPicPr>
                  <pic:blipFill>
                    <a:blip r:embed="rId11"/>
                    <a:stretch>
                      <a:fillRect/>
                    </a:stretch>
                  </pic:blipFill>
                  <pic:spPr>
                    <a:xfrm>
                      <a:off x="0" y="0"/>
                      <a:ext cx="6126480" cy="2935998"/>
                    </a:xfrm>
                    <a:prstGeom prst="rect"/>
                  </pic:spPr>
                </pic:pic>
              </a:graphicData>
            </a:graphic>
          </wp:inline>
        </w:drawing>
      </w:r>
    </w:p>
    <w:p>
      <w:pPr>
        <w:pStyle w:val="FigureCaption"/>
      </w:pPr>
      <w:r>
        <w:t>Figure 3. Requested and paid amounts use different fund bases and include estimates; the industry total is the broadest comparable measure.</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1452"/>
        <w:gridCol w:w="1452"/>
        <w:gridCol w:w="1452"/>
        <w:gridCol w:w="1452"/>
        <w:gridCol w:w="1452"/>
        <w:gridCol w:w="1452"/>
        <w:gridCol w:w="1452"/>
      </w:tblGrid>
      <w:tr>
        <w:trPr>
          <w:tblHeader w:val="true"/>
        </w:trPr>
        <w:tc>
          <w:tcPr>
            <w:tcW w:type="dxa" w:w="2160"/>
            <w:shd w:fill="17324D"/>
            <w:vAlign w:val="center"/>
            <w:tcMar>
              <w:top w:w="100" w:type="dxa"/>
              <w:start w:w="110" w:type="dxa"/>
              <w:bottom w:w="100" w:type="dxa"/>
              <w:end w:w="110" w:type="dxa"/>
            </w:tcMar>
          </w:tcPr>
          <w:p>
            <w:pPr>
              <w:jc w:val="center"/>
            </w:pPr>
            <w:r/>
            <w:r>
              <w:rPr>
                <w:b/>
                <w:color w:val="FFFFFF"/>
                <w:sz w:val="14"/>
              </w:rPr>
              <w:t>Vehicle</w:t>
            </w:r>
          </w:p>
        </w:tc>
        <w:tc>
          <w:tcPr>
            <w:tcW w:type="dxa" w:w="1655"/>
            <w:shd w:fill="17324D"/>
            <w:vAlign w:val="center"/>
            <w:tcMar>
              <w:top w:w="100" w:type="dxa"/>
              <w:start w:w="110" w:type="dxa"/>
              <w:bottom w:w="100" w:type="dxa"/>
              <w:end w:w="110" w:type="dxa"/>
            </w:tcMar>
          </w:tcPr>
          <w:p>
            <w:pPr>
              <w:jc w:val="center"/>
            </w:pPr>
            <w:r/>
            <w:r>
              <w:rPr>
                <w:b/>
                <w:color w:val="FFFFFF"/>
                <w:sz w:val="14"/>
              </w:rPr>
              <w:t>Structure</w:t>
            </w:r>
          </w:p>
        </w:tc>
        <w:tc>
          <w:tcPr>
            <w:tcW w:type="dxa" w:w="1080"/>
            <w:shd w:fill="17324D"/>
            <w:vAlign w:val="center"/>
            <w:tcMar>
              <w:top w:w="100" w:type="dxa"/>
              <w:start w:w="110" w:type="dxa"/>
              <w:bottom w:w="100" w:type="dxa"/>
              <w:end w:w="110" w:type="dxa"/>
            </w:tcMar>
          </w:tcPr>
          <w:p>
            <w:pPr>
              <w:jc w:val="center"/>
            </w:pPr>
            <w:r/>
            <w:r>
              <w:rPr>
                <w:b/>
                <w:color w:val="FFFFFF"/>
                <w:sz w:val="14"/>
              </w:rPr>
              <w:t>Period</w:t>
            </w:r>
          </w:p>
        </w:tc>
        <w:tc>
          <w:tcPr>
            <w:tcW w:type="dxa" w:w="1584"/>
            <w:shd w:fill="17324D"/>
            <w:vAlign w:val="center"/>
            <w:tcMar>
              <w:top w:w="100" w:type="dxa"/>
              <w:start w:w="110" w:type="dxa"/>
              <w:bottom w:w="100" w:type="dxa"/>
              <w:end w:w="110" w:type="dxa"/>
            </w:tcMar>
          </w:tcPr>
          <w:p>
            <w:pPr>
              <w:jc w:val="center"/>
            </w:pPr>
            <w:r/>
            <w:r>
              <w:rPr>
                <w:b/>
                <w:color w:val="FFFFFF"/>
                <w:sz w:val="14"/>
              </w:rPr>
              <w:t>Requested</w:t>
            </w:r>
          </w:p>
        </w:tc>
        <w:tc>
          <w:tcPr>
            <w:tcW w:type="dxa" w:w="1440"/>
            <w:shd w:fill="17324D"/>
            <w:vAlign w:val="center"/>
            <w:tcMar>
              <w:top w:w="100" w:type="dxa"/>
              <w:start w:w="110" w:type="dxa"/>
              <w:bottom w:w="100" w:type="dxa"/>
              <w:end w:w="110" w:type="dxa"/>
            </w:tcMar>
          </w:tcPr>
          <w:p>
            <w:pPr>
              <w:jc w:val="center"/>
            </w:pPr>
            <w:r/>
            <w:r>
              <w:rPr>
                <w:b/>
                <w:color w:val="FFFFFF"/>
                <w:sz w:val="14"/>
              </w:rPr>
              <w:t>Paid / offered</w:t>
            </w:r>
          </w:p>
        </w:tc>
        <w:tc>
          <w:tcPr>
            <w:tcW w:type="dxa" w:w="3096"/>
            <w:shd w:fill="17324D"/>
            <w:vAlign w:val="center"/>
            <w:tcMar>
              <w:top w:w="100" w:type="dxa"/>
              <w:start w:w="110" w:type="dxa"/>
              <w:bottom w:w="100" w:type="dxa"/>
              <w:end w:w="110" w:type="dxa"/>
            </w:tcMar>
          </w:tcPr>
          <w:p>
            <w:pPr>
              <w:jc w:val="center"/>
            </w:pPr>
            <w:r/>
            <w:r>
              <w:rPr>
                <w:b/>
                <w:color w:val="FFFFFF"/>
                <w:sz w:val="14"/>
              </w:rPr>
              <w:t>Additional numbers</w:t>
            </w:r>
          </w:p>
        </w:tc>
        <w:tc>
          <w:tcPr>
            <w:tcW w:type="dxa" w:w="792"/>
            <w:shd w:fill="17324D"/>
            <w:vAlign w:val="center"/>
            <w:tcMar>
              <w:top w:w="100" w:type="dxa"/>
              <w:start w:w="110" w:type="dxa"/>
              <w:bottom w:w="100" w:type="dxa"/>
              <w:end w:w="110" w:type="dxa"/>
            </w:tcMar>
          </w:tcPr>
          <w:p>
            <w:pPr>
              <w:jc w:val="center"/>
            </w:pPr>
            <w:r/>
            <w:r>
              <w:rPr>
                <w:b/>
                <w:color w:val="FFFFFF"/>
                <w:sz w:val="14"/>
              </w:rPr>
              <w:t>Source</w:t>
            </w:r>
          </w:p>
        </w:tc>
      </w:tr>
      <w:tr>
        <w:trPr>
          <w:cantSplit/>
        </w:trPr>
        <w:tc>
          <w:tcPr>
            <w:tcW w:type="dxa" w:w="2160"/>
            <w:vAlign w:val="center"/>
            <w:tcMar>
              <w:top w:w="90" w:type="dxa"/>
              <w:start w:w="100" w:type="dxa"/>
              <w:bottom w:w="90" w:type="dxa"/>
              <w:end w:w="100" w:type="dxa"/>
            </w:tcMar>
          </w:tcPr>
          <w:p>
            <w:pPr>
              <w:spacing w:after="0" w:line="240" w:lineRule="auto"/>
            </w:pPr>
            <w:r/>
            <w:r>
              <w:rPr>
                <w:color w:val="232D34"/>
                <w:sz w:val="14"/>
              </w:rPr>
              <w:t>Industry total, widely held funds</w:t>
            </w:r>
          </w:p>
        </w:tc>
        <w:tc>
          <w:tcPr>
            <w:tcW w:type="dxa" w:w="1655"/>
            <w:vAlign w:val="center"/>
            <w:tcMar>
              <w:top w:w="90" w:type="dxa"/>
              <w:start w:w="100" w:type="dxa"/>
              <w:bottom w:w="90" w:type="dxa"/>
              <w:end w:w="100" w:type="dxa"/>
            </w:tcMar>
          </w:tcPr>
          <w:p>
            <w:pPr>
              <w:spacing w:after="0" w:line="240" w:lineRule="auto"/>
              <w:jc w:val="center"/>
            </w:pPr>
            <w:r/>
            <w:r>
              <w:rPr>
                <w:color w:val="232D34"/>
                <w:sz w:val="14"/>
              </w:rPr>
              <w:t>Multiple</w:t>
            </w:r>
          </w:p>
        </w:tc>
        <w:tc>
          <w:tcPr>
            <w:tcW w:type="dxa" w:w="1080"/>
            <w:vAlign w:val="center"/>
            <w:tcMar>
              <w:top w:w="90" w:type="dxa"/>
              <w:start w:w="100" w:type="dxa"/>
              <w:bottom w:w="90" w:type="dxa"/>
              <w:end w:w="100" w:type="dxa"/>
            </w:tcMar>
          </w:tcPr>
          <w:p>
            <w:pPr>
              <w:spacing w:after="0" w:line="240" w:lineRule="auto"/>
              <w:jc w:val="center"/>
            </w:pPr>
            <w:r/>
            <w:r>
              <w:rPr>
                <w:color w:val="232D34"/>
                <w:sz w:val="14"/>
              </w:rPr>
              <w:t>Q2 2026</w:t>
            </w:r>
          </w:p>
        </w:tc>
        <w:tc>
          <w:tcPr>
            <w:tcW w:type="dxa" w:w="1584"/>
            <w:vAlign w:val="center"/>
            <w:tcMar>
              <w:top w:w="90" w:type="dxa"/>
              <w:start w:w="100" w:type="dxa"/>
              <w:bottom w:w="90" w:type="dxa"/>
              <w:end w:w="100" w:type="dxa"/>
            </w:tcMar>
          </w:tcPr>
          <w:p>
            <w:pPr>
              <w:spacing w:after="0" w:line="240" w:lineRule="auto"/>
              <w:jc w:val="center"/>
            </w:pPr>
            <w:r/>
            <w:r>
              <w:rPr>
                <w:color w:val="232D34"/>
                <w:sz w:val="14"/>
              </w:rPr>
              <w:t>$15.6B requested</w:t>
            </w:r>
          </w:p>
        </w:tc>
        <w:tc>
          <w:tcPr>
            <w:tcW w:type="dxa" w:w="1440"/>
            <w:vAlign w:val="center"/>
            <w:tcMar>
              <w:top w:w="90" w:type="dxa"/>
              <w:start w:w="100" w:type="dxa"/>
              <w:bottom w:w="90" w:type="dxa"/>
              <w:end w:w="100" w:type="dxa"/>
            </w:tcMar>
          </w:tcPr>
          <w:p>
            <w:pPr>
              <w:spacing w:after="0" w:line="240" w:lineRule="auto"/>
              <w:jc w:val="center"/>
            </w:pPr>
            <w:r/>
            <w:r>
              <w:rPr>
                <w:color w:val="232D34"/>
                <w:sz w:val="14"/>
              </w:rPr>
              <w:t>$5.9B paid</w:t>
            </w:r>
          </w:p>
        </w:tc>
        <w:tc>
          <w:tcPr>
            <w:tcW w:type="dxa" w:w="3096"/>
            <w:vAlign w:val="center"/>
            <w:tcMar>
              <w:top w:w="90" w:type="dxa"/>
              <w:start w:w="100" w:type="dxa"/>
              <w:bottom w:w="90" w:type="dxa"/>
              <w:end w:w="100" w:type="dxa"/>
            </w:tcMar>
          </w:tcPr>
          <w:p>
            <w:pPr>
              <w:spacing w:after="0" w:line="240" w:lineRule="auto"/>
            </w:pPr>
            <w:r/>
            <w:r>
              <w:rPr>
                <w:color w:val="232D34"/>
                <w:sz w:val="14"/>
              </w:rPr>
              <w:t>$9.7B unmet; 37.8% payout/request ratio</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S31</w:t>
            </w:r>
          </w:p>
        </w:tc>
      </w:tr>
      <w:tr>
        <w:trPr>
          <w:cantSplit/>
        </w:trPr>
        <w:tc>
          <w:tcPr>
            <w:tcW w:type="dxa" w:w="2160"/>
            <w:vAlign w:val="center"/>
            <w:tcMar>
              <w:top w:w="90" w:type="dxa"/>
              <w:start w:w="100" w:type="dxa"/>
              <w:bottom w:w="90" w:type="dxa"/>
              <w:end w:w="100" w:type="dxa"/>
            </w:tcMar>
            <w:shd w:fill="F5F7F8"/>
          </w:tcPr>
          <w:p>
            <w:pPr>
              <w:spacing w:after="0" w:line="240" w:lineRule="auto"/>
            </w:pPr>
            <w:r/>
            <w:r>
              <w:rPr>
                <w:color w:val="232D34"/>
                <w:sz w:val="14"/>
              </w:rPr>
              <w:t>Blackstone Private Credit Fund (BCRED)</w:t>
            </w:r>
          </w:p>
        </w:tc>
        <w:tc>
          <w:tcPr>
            <w:tcW w:type="dxa" w:w="1655"/>
            <w:vAlign w:val="center"/>
            <w:tcMar>
              <w:top w:w="90" w:type="dxa"/>
              <w:start w:w="100" w:type="dxa"/>
              <w:bottom w:w="90" w:type="dxa"/>
              <w:end w:w="100" w:type="dxa"/>
            </w:tcMar>
            <w:shd w:fill="F5F7F8"/>
          </w:tcPr>
          <w:p>
            <w:pPr>
              <w:spacing w:after="0" w:line="240" w:lineRule="auto"/>
              <w:jc w:val="center"/>
            </w:pPr>
            <w:r/>
            <w:r>
              <w:rPr>
                <w:color w:val="232D34"/>
                <w:sz w:val="14"/>
              </w:rPr>
              <w:t>Nontraded BDC</w:t>
            </w:r>
          </w:p>
        </w:tc>
        <w:tc>
          <w:tcPr>
            <w:tcW w:type="dxa" w:w="1080"/>
            <w:vAlign w:val="center"/>
            <w:tcMar>
              <w:top w:w="90" w:type="dxa"/>
              <w:start w:w="100" w:type="dxa"/>
              <w:bottom w:w="90" w:type="dxa"/>
              <w:end w:w="100" w:type="dxa"/>
            </w:tcMar>
            <w:shd w:fill="F5F7F8"/>
          </w:tcPr>
          <w:p>
            <w:pPr>
              <w:spacing w:after="0" w:line="240" w:lineRule="auto"/>
              <w:jc w:val="center"/>
            </w:pPr>
            <w:r/>
            <w:r>
              <w:rPr>
                <w:color w:val="232D34"/>
                <w:sz w:val="14"/>
              </w:rPr>
              <w:t>Q2 2026</w:t>
            </w:r>
          </w:p>
        </w:tc>
        <w:tc>
          <w:tcPr>
            <w:tcW w:type="dxa" w:w="1584"/>
            <w:vAlign w:val="center"/>
            <w:tcMar>
              <w:top w:w="90" w:type="dxa"/>
              <w:start w:w="100" w:type="dxa"/>
              <w:bottom w:w="90" w:type="dxa"/>
              <w:end w:w="100" w:type="dxa"/>
            </w:tcMar>
            <w:shd w:fill="F5F7F8"/>
          </w:tcPr>
          <w:p>
            <w:pPr>
              <w:spacing w:after="0" w:line="240" w:lineRule="auto"/>
            </w:pPr>
            <w:r/>
            <w:r>
              <w:rPr>
                <w:color w:val="232D34"/>
                <w:sz w:val="14"/>
              </w:rPr>
              <w:t>~10% of shares; press estimate ~$4.5B</w:t>
            </w:r>
          </w:p>
        </w:tc>
        <w:tc>
          <w:tcPr>
            <w:tcW w:type="dxa" w:w="1440"/>
            <w:vAlign w:val="center"/>
            <w:tcMar>
              <w:top w:w="90" w:type="dxa"/>
              <w:start w:w="100" w:type="dxa"/>
              <w:bottom w:w="90" w:type="dxa"/>
              <w:end w:w="100" w:type="dxa"/>
            </w:tcMar>
            <w:shd w:fill="F5F7F8"/>
          </w:tcPr>
          <w:p>
            <w:pPr>
              <w:spacing w:after="0" w:line="240" w:lineRule="auto"/>
              <w:jc w:val="center"/>
            </w:pPr>
            <w:r/>
            <w:r>
              <w:rPr>
                <w:color w:val="232D34"/>
                <w:sz w:val="14"/>
              </w:rPr>
              <w:t>5% quarterly target</w:t>
            </w:r>
          </w:p>
        </w:tc>
        <w:tc>
          <w:tcPr>
            <w:tcW w:type="dxa" w:w="3096"/>
            <w:vAlign w:val="center"/>
            <w:tcMar>
              <w:top w:w="90" w:type="dxa"/>
              <w:start w:w="100" w:type="dxa"/>
              <w:bottom w:w="90" w:type="dxa"/>
              <w:end w:w="100" w:type="dxa"/>
            </w:tcMar>
            <w:shd w:fill="F5F7F8"/>
          </w:tcPr>
          <w:p>
            <w:pPr>
              <w:spacing w:after="0" w:line="240" w:lineRule="auto"/>
            </w:pPr>
            <w:r/>
            <w:r>
              <w:rPr>
                <w:color w:val="232D34"/>
                <w:sz w:val="14"/>
              </w:rPr>
              <w:t>Portfolio mark 96.1; bottom 5% of private debt marked 68.3; 9.3% annualized Class I return; 10.0% distribution rate</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S32,S45</w:t>
            </w:r>
          </w:p>
        </w:tc>
      </w:tr>
      <w:tr>
        <w:trPr>
          <w:cantSplit/>
        </w:trPr>
        <w:tc>
          <w:tcPr>
            <w:tcW w:type="dxa" w:w="2160"/>
            <w:vAlign w:val="center"/>
            <w:tcMar>
              <w:top w:w="90" w:type="dxa"/>
              <w:start w:w="100" w:type="dxa"/>
              <w:bottom w:w="90" w:type="dxa"/>
              <w:end w:w="100" w:type="dxa"/>
            </w:tcMar>
          </w:tcPr>
          <w:p>
            <w:pPr>
              <w:spacing w:after="0" w:line="240" w:lineRule="auto"/>
            </w:pPr>
            <w:r/>
            <w:r>
              <w:rPr>
                <w:color w:val="232D34"/>
                <w:sz w:val="14"/>
              </w:rPr>
              <w:t>Blue Owl Credit Income Corp. (OCIC)</w:t>
            </w:r>
          </w:p>
        </w:tc>
        <w:tc>
          <w:tcPr>
            <w:tcW w:type="dxa" w:w="1655"/>
            <w:vAlign w:val="center"/>
            <w:tcMar>
              <w:top w:w="90" w:type="dxa"/>
              <w:start w:w="100" w:type="dxa"/>
              <w:bottom w:w="90" w:type="dxa"/>
              <w:end w:w="100" w:type="dxa"/>
            </w:tcMar>
          </w:tcPr>
          <w:p>
            <w:pPr>
              <w:spacing w:after="0" w:line="240" w:lineRule="auto"/>
              <w:jc w:val="center"/>
            </w:pPr>
            <w:r/>
            <w:r>
              <w:rPr>
                <w:color w:val="232D34"/>
                <w:sz w:val="14"/>
              </w:rPr>
              <w:t>Nontraded BDC</w:t>
            </w:r>
          </w:p>
        </w:tc>
        <w:tc>
          <w:tcPr>
            <w:tcW w:type="dxa" w:w="1080"/>
            <w:vAlign w:val="center"/>
            <w:tcMar>
              <w:top w:w="90" w:type="dxa"/>
              <w:start w:w="100" w:type="dxa"/>
              <w:bottom w:w="90" w:type="dxa"/>
              <w:end w:w="100" w:type="dxa"/>
            </w:tcMar>
          </w:tcPr>
          <w:p>
            <w:pPr>
              <w:spacing w:after="0" w:line="240" w:lineRule="auto"/>
              <w:jc w:val="center"/>
            </w:pPr>
            <w:r/>
            <w:r>
              <w:rPr>
                <w:color w:val="232D34"/>
                <w:sz w:val="14"/>
              </w:rPr>
              <w:t>Q2 2026</w:t>
            </w:r>
          </w:p>
        </w:tc>
        <w:tc>
          <w:tcPr>
            <w:tcW w:type="dxa" w:w="1584"/>
            <w:vAlign w:val="center"/>
            <w:tcMar>
              <w:top w:w="90" w:type="dxa"/>
              <w:start w:w="100" w:type="dxa"/>
              <w:bottom w:w="90" w:type="dxa"/>
              <w:end w:w="100" w:type="dxa"/>
            </w:tcMar>
          </w:tcPr>
          <w:p>
            <w:pPr>
              <w:spacing w:after="0" w:line="240" w:lineRule="auto"/>
            </w:pPr>
            <w:r/>
            <w:r>
              <w:rPr>
                <w:color w:val="232D34"/>
                <w:sz w:val="14"/>
              </w:rPr>
              <w:t>~18.8% of shares; reported ~$3.6B</w:t>
            </w:r>
          </w:p>
        </w:tc>
        <w:tc>
          <w:tcPr>
            <w:tcW w:type="dxa" w:w="1440"/>
            <w:vAlign w:val="center"/>
            <w:tcMar>
              <w:top w:w="90" w:type="dxa"/>
              <w:start w:w="100" w:type="dxa"/>
              <w:bottom w:w="90" w:type="dxa"/>
              <w:end w:w="100" w:type="dxa"/>
            </w:tcMar>
          </w:tcPr>
          <w:p>
            <w:pPr>
              <w:spacing w:after="0" w:line="240" w:lineRule="auto"/>
              <w:jc w:val="center"/>
            </w:pPr>
            <w:r/>
            <w:r>
              <w:rPr>
                <w:color w:val="232D34"/>
                <w:sz w:val="14"/>
              </w:rPr>
              <w:t>$957.8M / 5% tender amount</w:t>
            </w:r>
          </w:p>
        </w:tc>
        <w:tc>
          <w:tcPr>
            <w:tcW w:type="dxa" w:w="3096"/>
            <w:vAlign w:val="center"/>
            <w:tcMar>
              <w:top w:w="90" w:type="dxa"/>
              <w:start w:w="100" w:type="dxa"/>
              <w:bottom w:w="90" w:type="dxa"/>
              <w:end w:w="100" w:type="dxa"/>
            </w:tcMar>
          </w:tcPr>
          <w:p>
            <w:pPr>
              <w:spacing w:after="0" w:line="240" w:lineRule="auto"/>
            </w:pPr>
            <w:r/>
            <w:r>
              <w:rPr>
                <w:color w:val="232D34"/>
                <w:sz w:val="14"/>
              </w:rPr>
              <w:t>Large oversubscription; 6.550% $500M notes due 2031 issued in June</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S35,S37</w:t>
            </w:r>
          </w:p>
        </w:tc>
      </w:tr>
      <w:tr>
        <w:trPr>
          <w:cantSplit/>
        </w:trPr>
        <w:tc>
          <w:tcPr>
            <w:tcW w:type="dxa" w:w="2160"/>
            <w:vAlign w:val="center"/>
            <w:tcMar>
              <w:top w:w="90" w:type="dxa"/>
              <w:start w:w="100" w:type="dxa"/>
              <w:bottom w:w="90" w:type="dxa"/>
              <w:end w:w="100" w:type="dxa"/>
            </w:tcMar>
            <w:shd w:fill="F5F7F8"/>
          </w:tcPr>
          <w:p>
            <w:pPr>
              <w:spacing w:after="0" w:line="240" w:lineRule="auto"/>
            </w:pPr>
            <w:r/>
            <w:r>
              <w:rPr>
                <w:color w:val="232D34"/>
                <w:sz w:val="14"/>
              </w:rPr>
              <w:t>Blue Owl Technology Income Corp. (OTIC)</w:t>
            </w:r>
          </w:p>
        </w:tc>
        <w:tc>
          <w:tcPr>
            <w:tcW w:type="dxa" w:w="1655"/>
            <w:vAlign w:val="center"/>
            <w:tcMar>
              <w:top w:w="90" w:type="dxa"/>
              <w:start w:w="100" w:type="dxa"/>
              <w:bottom w:w="90" w:type="dxa"/>
              <w:end w:w="100" w:type="dxa"/>
            </w:tcMar>
            <w:shd w:fill="F5F7F8"/>
          </w:tcPr>
          <w:p>
            <w:pPr>
              <w:spacing w:after="0" w:line="240" w:lineRule="auto"/>
            </w:pPr>
            <w:r/>
            <w:r>
              <w:rPr>
                <w:color w:val="232D34"/>
                <w:sz w:val="14"/>
              </w:rPr>
              <w:t>Technology-focused nontraded BDC</w:t>
            </w:r>
          </w:p>
        </w:tc>
        <w:tc>
          <w:tcPr>
            <w:tcW w:type="dxa" w:w="1080"/>
            <w:vAlign w:val="center"/>
            <w:tcMar>
              <w:top w:w="90" w:type="dxa"/>
              <w:start w:w="100" w:type="dxa"/>
              <w:bottom w:w="90" w:type="dxa"/>
              <w:end w:w="100" w:type="dxa"/>
            </w:tcMar>
            <w:shd w:fill="F5F7F8"/>
          </w:tcPr>
          <w:p>
            <w:pPr>
              <w:spacing w:after="0" w:line="240" w:lineRule="auto"/>
              <w:jc w:val="center"/>
            </w:pPr>
            <w:r/>
            <w:r>
              <w:rPr>
                <w:color w:val="232D34"/>
                <w:sz w:val="14"/>
              </w:rPr>
              <w:t>Q2 2026</w:t>
            </w:r>
          </w:p>
        </w:tc>
        <w:tc>
          <w:tcPr>
            <w:tcW w:type="dxa" w:w="1584"/>
            <w:vAlign w:val="center"/>
            <w:tcMar>
              <w:top w:w="90" w:type="dxa"/>
              <w:start w:w="100" w:type="dxa"/>
              <w:bottom w:w="90" w:type="dxa"/>
              <w:end w:w="100" w:type="dxa"/>
            </w:tcMar>
            <w:shd w:fill="F5F7F8"/>
          </w:tcPr>
          <w:p>
            <w:pPr>
              <w:spacing w:after="0" w:line="240" w:lineRule="auto"/>
              <w:jc w:val="center"/>
            </w:pPr>
            <w:r/>
            <w:r>
              <w:rPr>
                <w:color w:val="232D34"/>
                <w:sz w:val="14"/>
              </w:rPr>
              <w:t>38.1% of shares; $1.1B</w:t>
            </w:r>
          </w:p>
        </w:tc>
        <w:tc>
          <w:tcPr>
            <w:tcW w:type="dxa" w:w="1440"/>
            <w:vAlign w:val="center"/>
            <w:tcMar>
              <w:top w:w="90" w:type="dxa"/>
              <w:start w:w="100" w:type="dxa"/>
              <w:bottom w:w="90" w:type="dxa"/>
              <w:end w:w="100" w:type="dxa"/>
            </w:tcMar>
            <w:shd w:fill="F5F7F8"/>
          </w:tcPr>
          <w:p>
            <w:pPr>
              <w:spacing w:after="0" w:line="240" w:lineRule="auto"/>
              <w:jc w:val="center"/>
            </w:pPr>
            <w:r/>
            <w:r>
              <w:rPr>
                <w:color w:val="232D34"/>
                <w:sz w:val="14"/>
              </w:rPr>
              <w:t>$141.8M / 5% tender amount</w:t>
            </w:r>
          </w:p>
        </w:tc>
        <w:tc>
          <w:tcPr>
            <w:tcW w:type="dxa" w:w="3096"/>
            <w:vAlign w:val="center"/>
            <w:tcMar>
              <w:top w:w="90" w:type="dxa"/>
              <w:start w:w="100" w:type="dxa"/>
              <w:bottom w:w="90" w:type="dxa"/>
              <w:end w:w="100" w:type="dxa"/>
            </w:tcMar>
            <w:shd w:fill="F5F7F8"/>
          </w:tcPr>
          <w:p>
            <w:pPr>
              <w:spacing w:after="0" w:line="240" w:lineRule="auto"/>
            </w:pPr>
            <w:r/>
            <w:r>
              <w:rPr>
                <w:color w:val="232D34"/>
                <w:sz w:val="14"/>
              </w:rPr>
              <w:t>Fulfilled ~13% of tendered shares; $1.3B liquidity; 0.78x net debt/equity</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S34,S46</w:t>
            </w:r>
          </w:p>
        </w:tc>
      </w:tr>
      <w:tr>
        <w:trPr>
          <w:cantSplit/>
        </w:trPr>
        <w:tc>
          <w:tcPr>
            <w:tcW w:type="dxa" w:w="2160"/>
            <w:vAlign w:val="center"/>
            <w:tcMar>
              <w:top w:w="90" w:type="dxa"/>
              <w:start w:w="100" w:type="dxa"/>
              <w:bottom w:w="90" w:type="dxa"/>
              <w:end w:w="100" w:type="dxa"/>
            </w:tcMar>
          </w:tcPr>
          <w:p>
            <w:pPr>
              <w:spacing w:after="0" w:line="240" w:lineRule="auto"/>
            </w:pPr>
            <w:r/>
            <w:r>
              <w:rPr>
                <w:color w:val="232D34"/>
                <w:sz w:val="14"/>
              </w:rPr>
              <w:t>Apollo Debt Solutions (ADS)</w:t>
            </w:r>
          </w:p>
        </w:tc>
        <w:tc>
          <w:tcPr>
            <w:tcW w:type="dxa" w:w="1655"/>
            <w:vAlign w:val="center"/>
            <w:tcMar>
              <w:top w:w="90" w:type="dxa"/>
              <w:start w:w="100" w:type="dxa"/>
              <w:bottom w:w="90" w:type="dxa"/>
              <w:end w:w="100" w:type="dxa"/>
            </w:tcMar>
          </w:tcPr>
          <w:p>
            <w:pPr>
              <w:spacing w:after="0" w:line="240" w:lineRule="auto"/>
              <w:jc w:val="center"/>
            </w:pPr>
            <w:r/>
            <w:r>
              <w:rPr>
                <w:color w:val="232D34"/>
                <w:sz w:val="14"/>
              </w:rPr>
              <w:t>Nontraded BDC</w:t>
            </w:r>
          </w:p>
        </w:tc>
        <w:tc>
          <w:tcPr>
            <w:tcW w:type="dxa" w:w="1080"/>
            <w:vAlign w:val="center"/>
            <w:tcMar>
              <w:top w:w="90" w:type="dxa"/>
              <w:start w:w="100" w:type="dxa"/>
              <w:bottom w:w="90" w:type="dxa"/>
              <w:end w:w="100" w:type="dxa"/>
            </w:tcMar>
          </w:tcPr>
          <w:p>
            <w:pPr>
              <w:spacing w:after="0" w:line="240" w:lineRule="auto"/>
              <w:jc w:val="center"/>
            </w:pPr>
            <w:r/>
            <w:r>
              <w:rPr>
                <w:color w:val="232D34"/>
                <w:sz w:val="14"/>
              </w:rPr>
              <w:t>Q2 2026</w:t>
            </w:r>
          </w:p>
        </w:tc>
        <w:tc>
          <w:tcPr>
            <w:tcW w:type="dxa" w:w="1584"/>
            <w:vAlign w:val="center"/>
            <w:tcMar>
              <w:top w:w="90" w:type="dxa"/>
              <w:start w:w="100" w:type="dxa"/>
              <w:bottom w:w="90" w:type="dxa"/>
              <w:end w:w="100" w:type="dxa"/>
            </w:tcMar>
          </w:tcPr>
          <w:p>
            <w:pPr>
              <w:spacing w:after="0" w:line="240" w:lineRule="auto"/>
            </w:pPr>
            <w:r/>
            <w:r>
              <w:rPr>
                <w:color w:val="232D34"/>
                <w:sz w:val="14"/>
              </w:rPr>
              <w:t>16.8% of shares; press estimate ~$2.4B</w:t>
            </w:r>
          </w:p>
        </w:tc>
        <w:tc>
          <w:tcPr>
            <w:tcW w:type="dxa" w:w="1440"/>
            <w:vAlign w:val="center"/>
            <w:tcMar>
              <w:top w:w="90" w:type="dxa"/>
              <w:start w:w="100" w:type="dxa"/>
              <w:bottom w:w="90" w:type="dxa"/>
              <w:end w:w="100" w:type="dxa"/>
            </w:tcMar>
          </w:tcPr>
          <w:p>
            <w:pPr>
              <w:spacing w:after="0" w:line="240" w:lineRule="auto"/>
              <w:jc w:val="center"/>
            </w:pPr>
            <w:r/>
            <w:r>
              <w:rPr>
                <w:color w:val="232D34"/>
                <w:sz w:val="14"/>
              </w:rPr>
              <w:t>~$0.7B / 5% of shares</w:t>
            </w:r>
          </w:p>
        </w:tc>
        <w:tc>
          <w:tcPr>
            <w:tcW w:type="dxa" w:w="3096"/>
            <w:vAlign w:val="center"/>
            <w:tcMar>
              <w:top w:w="90" w:type="dxa"/>
              <w:start w:w="100" w:type="dxa"/>
              <w:bottom w:w="90" w:type="dxa"/>
              <w:end w:w="100" w:type="dxa"/>
            </w:tcMar>
          </w:tcPr>
          <w:p>
            <w:pPr>
              <w:spacing w:after="0" w:line="240" w:lineRule="auto"/>
            </w:pPr>
            <w:r/>
            <w:r>
              <w:rPr>
                <w:color w:val="232D34"/>
                <w:sz w:val="14"/>
              </w:rPr>
              <w:t>$0.3B inflows; ~$0.4B net outflow; 4.3% onshore + 12.5% offshore requests</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S33</w:t>
            </w:r>
          </w:p>
        </w:tc>
      </w:tr>
    </w:tbl>
    <w:p>
      <w:pPr>
        <w:spacing w:after="20"/>
      </w:pPr>
    </w:p>
    <w:p>
      <w:pPr>
        <w:pStyle w:val="Heading2"/>
        <w:keepNext/>
      </w:pPr>
      <w:r>
        <w:t>Liquidity arithmetic</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3311"/>
            <w:shd w:fill="17324D"/>
            <w:vAlign w:val="center"/>
            <w:tcMar>
              <w:top w:w="100" w:type="dxa"/>
              <w:start w:w="110" w:type="dxa"/>
              <w:bottom w:w="100" w:type="dxa"/>
              <w:end w:w="110" w:type="dxa"/>
            </w:tcMar>
          </w:tcPr>
          <w:p>
            <w:pPr>
              <w:jc w:val="center"/>
            </w:pPr>
            <w:r/>
            <w:r>
              <w:rPr>
                <w:b/>
                <w:color w:val="FFFFFF"/>
                <w:sz w:val="17"/>
              </w:rPr>
              <w:t>Measure</w:t>
            </w:r>
          </w:p>
        </w:tc>
        <w:tc>
          <w:tcPr>
            <w:tcW w:type="dxa" w:w="1944"/>
            <w:shd w:fill="17324D"/>
            <w:vAlign w:val="center"/>
            <w:tcMar>
              <w:top w:w="100" w:type="dxa"/>
              <w:start w:w="110" w:type="dxa"/>
              <w:bottom w:w="100" w:type="dxa"/>
              <w:end w:w="110" w:type="dxa"/>
            </w:tcMar>
          </w:tcPr>
          <w:p>
            <w:pPr>
              <w:jc w:val="center"/>
            </w:pPr>
            <w:r/>
            <w:r>
              <w:rPr>
                <w:b/>
                <w:color w:val="FFFFFF"/>
                <w:sz w:val="17"/>
              </w:rPr>
              <w:t>Amount</w:t>
            </w:r>
          </w:p>
        </w:tc>
        <w:tc>
          <w:tcPr>
            <w:tcW w:type="dxa" w:w="5112"/>
            <w:shd w:fill="17324D"/>
            <w:vAlign w:val="center"/>
            <w:tcMar>
              <w:top w:w="100" w:type="dxa"/>
              <w:start w:w="110" w:type="dxa"/>
              <w:bottom w:w="100" w:type="dxa"/>
              <w:end w:w="110" w:type="dxa"/>
            </w:tcMar>
          </w:tcPr>
          <w:p>
            <w:pPr>
              <w:jc w:val="center"/>
            </w:pPr>
            <w:r/>
            <w:r>
              <w:rPr>
                <w:b/>
                <w:color w:val="FFFFFF"/>
                <w:sz w:val="17"/>
              </w:rPr>
              <w:t>Source / calculation</w:t>
            </w:r>
          </w:p>
        </w:tc>
      </w:tr>
      <w:tr>
        <w:trPr>
          <w:cantSplit/>
        </w:trPr>
        <w:tc>
          <w:tcPr>
            <w:tcW w:type="dxa" w:w="3311"/>
            <w:vAlign w:val="center"/>
            <w:tcMar>
              <w:top w:w="90" w:type="dxa"/>
              <w:start w:w="100" w:type="dxa"/>
              <w:bottom w:w="90" w:type="dxa"/>
              <w:end w:w="100" w:type="dxa"/>
            </w:tcMar>
          </w:tcPr>
          <w:p>
            <w:pPr>
              <w:spacing w:after="0" w:line="240" w:lineRule="auto"/>
            </w:pPr>
            <w:r/>
            <w:r>
              <w:rPr>
                <w:color w:val="232D34"/>
                <w:sz w:val="17"/>
              </w:rPr>
              <w:t>Industry requested</w:t>
            </w:r>
          </w:p>
        </w:tc>
        <w:tc>
          <w:tcPr>
            <w:tcW w:type="dxa" w:w="1944"/>
            <w:vAlign w:val="center"/>
            <w:tcMar>
              <w:top w:w="90" w:type="dxa"/>
              <w:start w:w="100" w:type="dxa"/>
              <w:bottom w:w="90" w:type="dxa"/>
              <w:end w:w="100" w:type="dxa"/>
            </w:tcMar>
          </w:tcPr>
          <w:p>
            <w:pPr>
              <w:spacing w:after="0" w:line="240" w:lineRule="auto"/>
              <w:jc w:val="center"/>
            </w:pPr>
            <w:r/>
            <w:r>
              <w:rPr>
                <w:color w:val="232D34"/>
                <w:sz w:val="17"/>
              </w:rPr>
              <w:t>$15.6B</w:t>
            </w:r>
          </w:p>
        </w:tc>
        <w:tc>
          <w:tcPr>
            <w:tcW w:type="dxa" w:w="5112"/>
            <w:vAlign w:val="center"/>
            <w:tcMar>
              <w:top w:w="90" w:type="dxa"/>
              <w:start w:w="100" w:type="dxa"/>
              <w:bottom w:w="90" w:type="dxa"/>
              <w:end w:w="100" w:type="dxa"/>
            </w:tcMar>
          </w:tcPr>
          <w:p>
            <w:pPr>
              <w:spacing w:after="0" w:line="240" w:lineRule="auto"/>
              <w:jc w:val="center"/>
            </w:pPr>
            <w:r/>
            <w:r>
              <w:rPr>
                <w:color w:val="232D34"/>
                <w:sz w:val="17"/>
              </w:rPr>
              <w:t>S31</w:t>
            </w:r>
          </w:p>
        </w:tc>
      </w:tr>
      <w:tr>
        <w:trPr>
          <w:cantSplit/>
        </w:trPr>
        <w:tc>
          <w:tcPr>
            <w:tcW w:type="dxa" w:w="3311"/>
            <w:vAlign w:val="center"/>
            <w:tcMar>
              <w:top w:w="90" w:type="dxa"/>
              <w:start w:w="100" w:type="dxa"/>
              <w:bottom w:w="90" w:type="dxa"/>
              <w:end w:w="100" w:type="dxa"/>
            </w:tcMar>
            <w:shd w:fill="F5F7F8"/>
          </w:tcPr>
          <w:p>
            <w:pPr>
              <w:spacing w:after="0" w:line="240" w:lineRule="auto"/>
            </w:pPr>
            <w:r/>
            <w:r>
              <w:rPr>
                <w:color w:val="232D34"/>
                <w:sz w:val="17"/>
              </w:rPr>
              <w:t>Industry paid</w:t>
            </w:r>
          </w:p>
        </w:tc>
        <w:tc>
          <w:tcPr>
            <w:tcW w:type="dxa" w:w="1944"/>
            <w:vAlign w:val="center"/>
            <w:tcMar>
              <w:top w:w="90" w:type="dxa"/>
              <w:start w:w="100" w:type="dxa"/>
              <w:bottom w:w="90" w:type="dxa"/>
              <w:end w:w="100" w:type="dxa"/>
            </w:tcMar>
            <w:shd w:fill="F5F7F8"/>
          </w:tcPr>
          <w:p>
            <w:pPr>
              <w:spacing w:after="0" w:line="240" w:lineRule="auto"/>
              <w:jc w:val="center"/>
            </w:pPr>
            <w:r/>
            <w:r>
              <w:rPr>
                <w:color w:val="232D34"/>
                <w:sz w:val="17"/>
              </w:rPr>
              <w:t>$5.9B</w:t>
            </w:r>
          </w:p>
        </w:tc>
        <w:tc>
          <w:tcPr>
            <w:tcW w:type="dxa" w:w="5112"/>
            <w:vAlign w:val="center"/>
            <w:tcMar>
              <w:top w:w="90" w:type="dxa"/>
              <w:start w:w="100" w:type="dxa"/>
              <w:bottom w:w="90" w:type="dxa"/>
              <w:end w:w="100" w:type="dxa"/>
            </w:tcMar>
            <w:shd w:fill="F5F7F8"/>
          </w:tcPr>
          <w:p>
            <w:pPr>
              <w:spacing w:after="0" w:line="240" w:lineRule="auto"/>
              <w:jc w:val="center"/>
            </w:pPr>
            <w:r/>
            <w:r>
              <w:rPr>
                <w:color w:val="232D34"/>
                <w:sz w:val="17"/>
              </w:rPr>
              <w:t>S31</w:t>
            </w:r>
          </w:p>
        </w:tc>
      </w:tr>
      <w:tr>
        <w:trPr>
          <w:cantSplit/>
        </w:trPr>
        <w:tc>
          <w:tcPr>
            <w:tcW w:type="dxa" w:w="3311"/>
            <w:vAlign w:val="center"/>
            <w:tcMar>
              <w:top w:w="90" w:type="dxa"/>
              <w:start w:w="100" w:type="dxa"/>
              <w:bottom w:w="90" w:type="dxa"/>
              <w:end w:w="100" w:type="dxa"/>
            </w:tcMar>
          </w:tcPr>
          <w:p>
            <w:pPr>
              <w:spacing w:after="0" w:line="240" w:lineRule="auto"/>
            </w:pPr>
            <w:r/>
            <w:r>
              <w:rPr>
                <w:color w:val="232D34"/>
                <w:sz w:val="17"/>
              </w:rPr>
              <w:t>Unmet requests</w:t>
            </w:r>
          </w:p>
        </w:tc>
        <w:tc>
          <w:tcPr>
            <w:tcW w:type="dxa" w:w="1944"/>
            <w:vAlign w:val="center"/>
            <w:tcMar>
              <w:top w:w="90" w:type="dxa"/>
              <w:start w:w="100" w:type="dxa"/>
              <w:bottom w:w="90" w:type="dxa"/>
              <w:end w:w="100" w:type="dxa"/>
            </w:tcMar>
          </w:tcPr>
          <w:p>
            <w:pPr>
              <w:spacing w:after="0" w:line="240" w:lineRule="auto"/>
              <w:jc w:val="center"/>
            </w:pPr>
            <w:r/>
            <w:r>
              <w:rPr>
                <w:color w:val="232D34"/>
                <w:sz w:val="17"/>
              </w:rPr>
              <w:t>$9.7B</w:t>
            </w:r>
          </w:p>
        </w:tc>
        <w:tc>
          <w:tcPr>
            <w:tcW w:type="dxa" w:w="5112"/>
            <w:vAlign w:val="center"/>
            <w:tcMar>
              <w:top w:w="90" w:type="dxa"/>
              <w:start w:w="100" w:type="dxa"/>
              <w:bottom w:w="90" w:type="dxa"/>
              <w:end w:w="100" w:type="dxa"/>
            </w:tcMar>
          </w:tcPr>
          <w:p>
            <w:pPr>
              <w:spacing w:after="0" w:line="240" w:lineRule="auto"/>
              <w:jc w:val="center"/>
            </w:pPr>
            <w:r/>
            <w:r>
              <w:rPr>
                <w:color w:val="232D34"/>
                <w:sz w:val="17"/>
              </w:rPr>
              <w:t>$15.6B - $5.9B; DERIVED</w:t>
            </w:r>
          </w:p>
        </w:tc>
      </w:tr>
      <w:tr>
        <w:trPr>
          <w:cantSplit/>
        </w:trPr>
        <w:tc>
          <w:tcPr>
            <w:tcW w:type="dxa" w:w="3311"/>
            <w:vAlign w:val="center"/>
            <w:tcMar>
              <w:top w:w="90" w:type="dxa"/>
              <w:start w:w="100" w:type="dxa"/>
              <w:bottom w:w="90" w:type="dxa"/>
              <w:end w:w="100" w:type="dxa"/>
            </w:tcMar>
            <w:shd w:fill="F5F7F8"/>
          </w:tcPr>
          <w:p>
            <w:pPr>
              <w:spacing w:after="0" w:line="240" w:lineRule="auto"/>
            </w:pPr>
            <w:r/>
            <w:r>
              <w:rPr>
                <w:color w:val="232D34"/>
                <w:sz w:val="17"/>
              </w:rPr>
              <w:t>Payout / request ratio</w:t>
            </w:r>
          </w:p>
        </w:tc>
        <w:tc>
          <w:tcPr>
            <w:tcW w:type="dxa" w:w="1944"/>
            <w:vAlign w:val="center"/>
            <w:tcMar>
              <w:top w:w="90" w:type="dxa"/>
              <w:start w:w="100" w:type="dxa"/>
              <w:bottom w:w="90" w:type="dxa"/>
              <w:end w:w="100" w:type="dxa"/>
            </w:tcMar>
            <w:shd w:fill="F5F7F8"/>
          </w:tcPr>
          <w:p>
            <w:pPr>
              <w:spacing w:after="0" w:line="240" w:lineRule="auto"/>
              <w:jc w:val="center"/>
            </w:pPr>
            <w:r/>
            <w:r>
              <w:rPr>
                <w:color w:val="232D34"/>
                <w:sz w:val="17"/>
              </w:rPr>
              <w:t>37.82%</w:t>
            </w:r>
          </w:p>
        </w:tc>
        <w:tc>
          <w:tcPr>
            <w:tcW w:type="dxa" w:w="5112"/>
            <w:vAlign w:val="center"/>
            <w:tcMar>
              <w:top w:w="90" w:type="dxa"/>
              <w:start w:w="100" w:type="dxa"/>
              <w:bottom w:w="90" w:type="dxa"/>
              <w:end w:w="100" w:type="dxa"/>
            </w:tcMar>
            <w:shd w:fill="F5F7F8"/>
          </w:tcPr>
          <w:p>
            <w:pPr>
              <w:spacing w:after="0" w:line="240" w:lineRule="auto"/>
              <w:jc w:val="center"/>
            </w:pPr>
            <w:r/>
            <w:r>
              <w:rPr>
                <w:color w:val="232D34"/>
                <w:sz w:val="17"/>
              </w:rPr>
              <w:t>$5.9B / $15.6B; DERIVED</w:t>
            </w:r>
          </w:p>
        </w:tc>
      </w:tr>
      <w:tr>
        <w:trPr>
          <w:cantSplit/>
        </w:trPr>
        <w:tc>
          <w:tcPr>
            <w:tcW w:type="dxa" w:w="3311"/>
            <w:vAlign w:val="center"/>
            <w:tcMar>
              <w:top w:w="90" w:type="dxa"/>
              <w:start w:w="100" w:type="dxa"/>
              <w:bottom w:w="90" w:type="dxa"/>
              <w:end w:w="100" w:type="dxa"/>
            </w:tcMar>
          </w:tcPr>
          <w:p>
            <w:pPr>
              <w:spacing w:after="0" w:line="240" w:lineRule="auto"/>
            </w:pPr>
            <w:r/>
            <w:r>
              <w:rPr>
                <w:color w:val="232D34"/>
                <w:sz w:val="17"/>
              </w:rPr>
              <w:t>Q1 requested</w:t>
            </w:r>
          </w:p>
        </w:tc>
        <w:tc>
          <w:tcPr>
            <w:tcW w:type="dxa" w:w="1944"/>
            <w:vAlign w:val="center"/>
            <w:tcMar>
              <w:top w:w="90" w:type="dxa"/>
              <w:start w:w="100" w:type="dxa"/>
              <w:bottom w:w="90" w:type="dxa"/>
              <w:end w:w="100" w:type="dxa"/>
            </w:tcMar>
          </w:tcPr>
          <w:p>
            <w:pPr>
              <w:spacing w:after="0" w:line="240" w:lineRule="auto"/>
              <w:jc w:val="center"/>
            </w:pPr>
            <w:r/>
            <w:r>
              <w:rPr>
                <w:color w:val="232D34"/>
                <w:sz w:val="17"/>
              </w:rPr>
              <w:t>$13.9B</w:t>
            </w:r>
          </w:p>
        </w:tc>
        <w:tc>
          <w:tcPr>
            <w:tcW w:type="dxa" w:w="5112"/>
            <w:vAlign w:val="center"/>
            <w:tcMar>
              <w:top w:w="90" w:type="dxa"/>
              <w:start w:w="100" w:type="dxa"/>
              <w:bottom w:w="90" w:type="dxa"/>
              <w:end w:w="100" w:type="dxa"/>
            </w:tcMar>
          </w:tcPr>
          <w:p>
            <w:pPr>
              <w:spacing w:after="0" w:line="240" w:lineRule="auto"/>
              <w:jc w:val="center"/>
            </w:pPr>
            <w:r/>
            <w:r>
              <w:rPr>
                <w:color w:val="232D34"/>
                <w:sz w:val="17"/>
              </w:rPr>
              <w:t>S31</w:t>
            </w:r>
          </w:p>
        </w:tc>
      </w:tr>
      <w:tr>
        <w:trPr>
          <w:cantSplit/>
        </w:trPr>
        <w:tc>
          <w:tcPr>
            <w:tcW w:type="dxa" w:w="3311"/>
            <w:vAlign w:val="center"/>
            <w:tcMar>
              <w:top w:w="90" w:type="dxa"/>
              <w:start w:w="100" w:type="dxa"/>
              <w:bottom w:w="90" w:type="dxa"/>
              <w:end w:w="100" w:type="dxa"/>
            </w:tcMar>
            <w:shd w:fill="F5F7F8"/>
          </w:tcPr>
          <w:p>
            <w:pPr>
              <w:spacing w:after="0" w:line="240" w:lineRule="auto"/>
            </w:pPr>
            <w:r/>
            <w:r>
              <w:rPr>
                <w:color w:val="232D34"/>
                <w:sz w:val="17"/>
              </w:rPr>
              <w:t>Sequential request increase</w:t>
            </w:r>
          </w:p>
        </w:tc>
        <w:tc>
          <w:tcPr>
            <w:tcW w:type="dxa" w:w="1944"/>
            <w:vAlign w:val="center"/>
            <w:tcMar>
              <w:top w:w="90" w:type="dxa"/>
              <w:start w:w="100" w:type="dxa"/>
              <w:bottom w:w="90" w:type="dxa"/>
              <w:end w:w="100" w:type="dxa"/>
            </w:tcMar>
            <w:shd w:fill="F5F7F8"/>
          </w:tcPr>
          <w:p>
            <w:pPr>
              <w:spacing w:after="0" w:line="240" w:lineRule="auto"/>
              <w:jc w:val="center"/>
            </w:pPr>
            <w:r/>
            <w:r>
              <w:rPr>
                <w:color w:val="232D34"/>
                <w:sz w:val="17"/>
              </w:rPr>
              <w:t>$1.7B / 12.23%</w:t>
            </w:r>
          </w:p>
        </w:tc>
        <w:tc>
          <w:tcPr>
            <w:tcW w:type="dxa" w:w="5112"/>
            <w:vAlign w:val="center"/>
            <w:tcMar>
              <w:top w:w="90" w:type="dxa"/>
              <w:start w:w="100" w:type="dxa"/>
              <w:bottom w:w="90" w:type="dxa"/>
              <w:end w:w="100" w:type="dxa"/>
            </w:tcMar>
            <w:shd w:fill="F5F7F8"/>
          </w:tcPr>
          <w:p>
            <w:pPr>
              <w:spacing w:after="0" w:line="240" w:lineRule="auto"/>
              <w:jc w:val="center"/>
            </w:pPr>
            <w:r/>
            <w:r>
              <w:rPr>
                <w:color w:val="232D34"/>
                <w:sz w:val="17"/>
              </w:rPr>
              <w:t>DERIVED</w:t>
            </w:r>
          </w:p>
        </w:tc>
      </w:tr>
    </w:tbl>
    <w:p>
      <w:pPr>
        <w:spacing w:after="20"/>
      </w:pPr>
    </w:p>
    <w:p>
      <w:pPr>
        <w:pStyle w:val="Heading2"/>
        <w:keepNext/>
      </w:pPr>
      <w:r>
        <w:t>Vehicle-specific signals</w:t>
      </w:r>
    </w:p>
    <w:p>
      <w:pPr>
        <w:spacing w:after="100" w:line="259" w:lineRule="auto"/>
      </w:pPr>
      <w:r>
        <w:t>BCRED disclosed a 96.1 overall portfolio mark as of April 30, 2026, while the bottom 5% of its private-debt portfolio was marked at 68.3. That dispersion matters more than the headline NAV: the bulk of the book can remain near par while a small set of sponsor-backed loans absorbs most impairment. BCRED’s Class I shares had generated a 9.3% annualized total return since inception and paid a 10.0% distribution rate, numbers that should be compared with the fund’s nonaccruals, PIK income and realized losses rather than treated as cash yield alone.</w:t>
      </w:r>
      <w:r>
        <w:rPr>
          <w:color w:val="2F5E75"/>
          <w:sz w:val="16"/>
          <w:vertAlign w:val="superscript"/>
        </w:rPr>
        <w:t xml:space="preserve"> [S32]</w:t>
      </w:r>
    </w:p>
    <w:p>
      <w:pPr>
        <w:spacing w:after="100" w:line="259" w:lineRule="auto"/>
      </w:pPr>
      <w:r>
        <w:t>OTIC received $1.1B of Q2 tender demand, equal to 38.1% of March 31 shares. It offered $141.8M, equal to 5%, and said that represented roughly 13% of shares tendered. The fund disclosed $1.3B of liquidity and 0.78x net debt-to-equity, below its stated 0.90x–1.25x target range.</w:t>
      </w:r>
      <w:r>
        <w:rPr>
          <w:color w:val="2F5E75"/>
          <w:sz w:val="16"/>
          <w:vertAlign w:val="superscript"/>
        </w:rPr>
        <w:t xml:space="preserve"> [S34,S46]</w:t>
      </w:r>
    </w:p>
    <w:p>
      <w:pPr>
        <w:spacing w:after="100" w:line="259" w:lineRule="auto"/>
      </w:pPr>
      <w:r>
        <w:t>OCIC’s Q2 offer was approximately $957.8M, equal to 5% of outstanding shares at March 31. In June it separately issued $500M of 6.550% notes due 2031. Debt issuance can support asset growth and liquidity, but it also makes the BDC’s own liability stack relevant when underlying borrowers are refinancing at higher coupons.</w:t>
      </w:r>
      <w:r>
        <w:rPr>
          <w:color w:val="2F5E75"/>
          <w:sz w:val="16"/>
          <w:vertAlign w:val="superscript"/>
        </w:rPr>
        <w:t xml:space="preserve"> [S35,S37]</w:t>
      </w:r>
    </w:p>
    <w:p>
      <w:pPr>
        <w:spacing w:after="100" w:line="259" w:lineRule="auto"/>
      </w:pPr>
      <w:r>
        <w:t>Apollo Debt Solutions received requests equal to 16.8% of shares, honored 5%, estimated $0.7B of gross outflows, received $0.3B of subscriptions and expected a $0.4B net outflow. Onshore requests were 4.3%; offshore requests were 12.5%.</w:t>
      </w:r>
      <w:r>
        <w:rPr>
          <w:color w:val="2F5E75"/>
          <w:sz w:val="16"/>
          <w:vertAlign w:val="superscript"/>
        </w:rPr>
        <w:t xml:space="preserve"> [S33]</w:t>
      </w: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What a gate means</w:t>
            </w:r>
          </w:p>
          <w:p>
            <w:pPr>
              <w:spacing w:after="0" w:line="252" w:lineRule="auto"/>
            </w:pPr>
            <w:r>
              <w:t>A 5% repurchase limit is a contractual design feature, not itself a default. The stress signal is persistent oversubscription: investors cannot all leave at stated NAV, so the manager must preserve liquidity, slow originations, borrow, sell liquid assets or accept a longer redemption queue. If marks later fall, investors waiting in the queue bear that change.</w:t>
            </w:r>
          </w:p>
        </w:tc>
      </w:tr>
    </w:tbl>
    <w:p>
      <w:pPr>
        <w:spacing w:after="20"/>
      </w:pPr>
    </w:p>
    <w:p>
      <w:pPr>
        <w:pStyle w:val="Heading2"/>
        <w:keepNext/>
      </w:pPr>
      <w:r>
        <w:t>Blue Owl’s strategic pivot</w:t>
      </w:r>
    </w:p>
    <w:p>
      <w:pPr>
        <w:spacing w:after="100" w:line="259" w:lineRule="auto"/>
      </w:pPr>
      <w:r>
        <w:t>Blue Owl’s direct-lending assets fell to about 35% of total assets from nearly 50% two years earlier, while real assets grew from $12B in 2021 to $89.4B at June 2026. This is not a retreat from private markets; it is a shift from sponsor-backed corporate loans toward data centers, infrastructure and long-duration real assets.</w:t>
      </w:r>
      <w:r>
        <w:rPr>
          <w:color w:val="2F5E75"/>
          <w:sz w:val="16"/>
          <w:vertAlign w:val="superscript"/>
        </w:rPr>
        <w:t xml:space="preserve"> [S36]</w:t>
      </w:r>
    </w:p>
    <w:p>
      <w:pPr>
        <w:pStyle w:val="ListBullet"/>
        <w:spacing w:after="60" w:line="250" w:lineRule="auto"/>
      </w:pPr>
      <w:r>
        <w:t>Benefit: real-asset projects can be supported by investment-grade leases, hard assets and contracted payments.</w:t>
      </w:r>
      <w:r>
        <w:rPr>
          <w:color w:val="2F5E75"/>
          <w:sz w:val="16"/>
          <w:vertAlign w:val="superscript"/>
        </w:rPr>
        <w:t xml:space="preserve"> [S11,S36]</w:t>
      </w:r>
    </w:p>
    <w:p>
      <w:pPr>
        <w:pStyle w:val="ListBullet"/>
        <w:spacing w:after="60" w:line="250" w:lineRule="auto"/>
      </w:pPr>
      <w:r>
        <w:t>Risk transfer: technology-utilization and residual-value risk moves into project debt, lease structures and guarantees rather than disappearing.</w:t>
      </w:r>
      <w:r>
        <w:rPr>
          <w:color w:val="2F5E75"/>
          <w:sz w:val="16"/>
          <w:vertAlign w:val="superscript"/>
        </w:rPr>
        <w:t xml:space="preserve"> [S10,S11]</w:t>
      </w:r>
    </w:p>
    <w:p>
      <w:pPr>
        <w:pStyle w:val="ListBullet"/>
        <w:spacing w:after="60" w:line="250" w:lineRule="auto"/>
      </w:pPr>
      <w:r>
        <w:t>Liquidity conflict: wealth vehicles can face redemption pressure at the same time the manager commits capital to 15–30-year infrastructure.</w:t>
      </w:r>
      <w:r>
        <w:rPr>
          <w:color w:val="2F5E75"/>
          <w:sz w:val="16"/>
          <w:vertAlign w:val="superscript"/>
        </w:rPr>
        <w:t xml:space="preserve"> [S34,S35,S36]</w:t>
      </w:r>
    </w:p>
    <w:p>
      <w:pPr>
        <w:pStyle w:val="Heading1"/>
        <w:keepNext/>
      </w:pPr>
      <w:r>
        <w:t>5. Manager map: VC, crossover, hedge fund and private credit</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033"/>
        <w:gridCol w:w="2033"/>
        <w:gridCol w:w="2033"/>
        <w:gridCol w:w="2033"/>
        <w:gridCol w:w="2033"/>
      </w:tblGrid>
      <w:tr>
        <w:trPr>
          <w:tblHeader w:val="true"/>
        </w:trPr>
        <w:tc>
          <w:tcPr>
            <w:tcW w:type="dxa" w:w="1728"/>
            <w:shd w:fill="17324D"/>
            <w:vAlign w:val="center"/>
            <w:tcMar>
              <w:top w:w="100" w:type="dxa"/>
              <w:start w:w="110" w:type="dxa"/>
              <w:bottom w:w="100" w:type="dxa"/>
              <w:end w:w="110" w:type="dxa"/>
            </w:tcMar>
          </w:tcPr>
          <w:p>
            <w:pPr>
              <w:jc w:val="center"/>
            </w:pPr>
            <w:r/>
            <w:r>
              <w:rPr>
                <w:b/>
                <w:color w:val="FFFFFF"/>
                <w:sz w:val="15"/>
              </w:rPr>
              <w:t>Manager</w:t>
            </w:r>
          </w:p>
        </w:tc>
        <w:tc>
          <w:tcPr>
            <w:tcW w:type="dxa" w:w="1800"/>
            <w:shd w:fill="17324D"/>
            <w:vAlign w:val="center"/>
            <w:tcMar>
              <w:top w:w="100" w:type="dxa"/>
              <w:start w:w="110" w:type="dxa"/>
              <w:bottom w:w="100" w:type="dxa"/>
              <w:end w:w="110" w:type="dxa"/>
            </w:tcMar>
          </w:tcPr>
          <w:p>
            <w:pPr>
              <w:jc w:val="center"/>
            </w:pPr>
            <w:r/>
            <w:r>
              <w:rPr>
                <w:b/>
                <w:color w:val="FFFFFF"/>
                <w:sz w:val="15"/>
              </w:rPr>
              <w:t>Actual category</w:t>
            </w:r>
          </w:p>
        </w:tc>
        <w:tc>
          <w:tcPr>
            <w:tcW w:type="dxa" w:w="3168"/>
            <w:shd w:fill="17324D"/>
            <w:vAlign w:val="center"/>
            <w:tcMar>
              <w:top w:w="100" w:type="dxa"/>
              <w:start w:w="110" w:type="dxa"/>
              <w:bottom w:w="100" w:type="dxa"/>
              <w:end w:w="110" w:type="dxa"/>
            </w:tcMar>
          </w:tcPr>
          <w:p>
            <w:pPr>
              <w:jc w:val="center"/>
            </w:pPr>
            <w:r/>
            <w:r>
              <w:rPr>
                <w:b/>
                <w:color w:val="FFFFFF"/>
                <w:sz w:val="15"/>
              </w:rPr>
              <w:t>Publicly visible role</w:t>
            </w:r>
          </w:p>
        </w:tc>
        <w:tc>
          <w:tcPr>
            <w:tcW w:type="dxa" w:w="3600"/>
            <w:shd w:fill="17324D"/>
            <w:vAlign w:val="center"/>
            <w:tcMar>
              <w:top w:w="100" w:type="dxa"/>
              <w:start w:w="110" w:type="dxa"/>
              <w:bottom w:w="100" w:type="dxa"/>
              <w:end w:w="110" w:type="dxa"/>
            </w:tcMar>
          </w:tcPr>
          <w:p>
            <w:pPr>
              <w:jc w:val="center"/>
            </w:pPr>
            <w:r/>
            <w:r>
              <w:rPr>
                <w:b/>
                <w:color w:val="FFFFFF"/>
                <w:sz w:val="15"/>
              </w:rPr>
              <w:t>Book implication</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Benchmark</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Venture capital</w:t>
            </w:r>
          </w:p>
        </w:tc>
        <w:tc>
          <w:tcPr>
            <w:tcW w:type="dxa" w:w="3168"/>
            <w:vAlign w:val="center"/>
            <w:tcMar>
              <w:top w:w="90" w:type="dxa"/>
              <w:start w:w="100" w:type="dxa"/>
              <w:bottom w:w="90" w:type="dxa"/>
              <w:end w:w="100" w:type="dxa"/>
            </w:tcMar>
          </w:tcPr>
          <w:p>
            <w:pPr>
              <w:spacing w:after="0" w:line="240" w:lineRule="auto"/>
            </w:pPr>
            <w:r/>
            <w:r>
              <w:rPr>
                <w:color w:val="232D34"/>
                <w:sz w:val="15"/>
              </w:rPr>
              <w:t>Early and follow-on Airtable investor; exact ownership and realized proceeds undisclosed</w:t>
            </w:r>
          </w:p>
        </w:tc>
        <w:tc>
          <w:tcPr>
            <w:tcW w:type="dxa" w:w="3600"/>
            <w:vAlign w:val="center"/>
            <w:tcMar>
              <w:top w:w="90" w:type="dxa"/>
              <w:start w:w="100" w:type="dxa"/>
              <w:bottom w:w="90" w:type="dxa"/>
              <w:end w:w="100" w:type="dxa"/>
            </w:tcMar>
          </w:tcPr>
          <w:p>
            <w:pPr>
              <w:spacing w:after="0" w:line="240" w:lineRule="auto"/>
            </w:pPr>
            <w:r/>
            <w:r>
              <w:rPr>
                <w:color w:val="232D34"/>
                <w:sz w:val="15"/>
              </w:rPr>
              <w:t>Airtable exit crystallizes company-level value reset, but not necessarily a loss for early cost basis</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S1,S2</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Thrive Capital</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Venture/growth</w:t>
            </w:r>
          </w:p>
        </w:tc>
        <w:tc>
          <w:tcPr>
            <w:tcW w:type="dxa" w:w="3168"/>
            <w:vAlign w:val="center"/>
            <w:tcMar>
              <w:top w:w="90" w:type="dxa"/>
              <w:start w:w="100" w:type="dxa"/>
              <w:bottom w:w="90" w:type="dxa"/>
              <w:end w:w="100" w:type="dxa"/>
            </w:tcMar>
            <w:shd w:fill="F5F7F8"/>
          </w:tcPr>
          <w:p>
            <w:pPr>
              <w:spacing w:after="0" w:line="240" w:lineRule="auto"/>
            </w:pPr>
            <w:r/>
            <w:r>
              <w:rPr>
                <w:color w:val="232D34"/>
                <w:sz w:val="15"/>
              </w:rPr>
              <w:t>Led Airtable’s $185M Series D at $2.4B pre-money; participated in Series F</w:t>
            </w:r>
          </w:p>
        </w:tc>
        <w:tc>
          <w:tcPr>
            <w:tcW w:type="dxa" w:w="3600"/>
            <w:vAlign w:val="center"/>
            <w:tcMar>
              <w:top w:w="90" w:type="dxa"/>
              <w:start w:w="100" w:type="dxa"/>
              <w:bottom w:w="90" w:type="dxa"/>
              <w:end w:w="100" w:type="dxa"/>
            </w:tcMar>
            <w:shd w:fill="F5F7F8"/>
          </w:tcPr>
          <w:p>
            <w:pPr>
              <w:spacing w:after="0" w:line="240" w:lineRule="auto"/>
            </w:pPr>
            <w:r/>
            <w:r>
              <w:rPr>
                <w:color w:val="232D34"/>
                <w:sz w:val="15"/>
              </w:rPr>
              <w:t>Late-stage tranches materially impaired at $2.25B equity sale value unless protected by preferences/secondaries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S1,S3</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Coatue</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Crossover hedge/growth</w:t>
            </w:r>
          </w:p>
        </w:tc>
        <w:tc>
          <w:tcPr>
            <w:tcW w:type="dxa" w:w="3168"/>
            <w:vAlign w:val="center"/>
            <w:tcMar>
              <w:top w:w="90" w:type="dxa"/>
              <w:start w:w="100" w:type="dxa"/>
              <w:bottom w:w="90" w:type="dxa"/>
              <w:end w:w="100" w:type="dxa"/>
            </w:tcMar>
          </w:tcPr>
          <w:p>
            <w:pPr>
              <w:spacing w:after="0" w:line="240" w:lineRule="auto"/>
            </w:pPr>
            <w:r/>
            <w:r>
              <w:rPr>
                <w:color w:val="232D34"/>
                <w:sz w:val="15"/>
              </w:rPr>
              <w:t>Existing Airtable investor in Series F; public and private books</w:t>
            </w:r>
          </w:p>
        </w:tc>
        <w:tc>
          <w:tcPr>
            <w:tcW w:type="dxa" w:w="3600"/>
            <w:vAlign w:val="center"/>
            <w:tcMar>
              <w:top w:w="90" w:type="dxa"/>
              <w:start w:w="100" w:type="dxa"/>
              <w:bottom w:w="90" w:type="dxa"/>
              <w:end w:w="100" w:type="dxa"/>
            </w:tcMar>
          </w:tcPr>
          <w:p>
            <w:pPr>
              <w:spacing w:after="0" w:line="240" w:lineRule="auto"/>
            </w:pPr>
            <w:r/>
            <w:r>
              <w:rPr>
                <w:color w:val="232D34"/>
                <w:sz w:val="15"/>
              </w:rPr>
              <w:t>Private ownership, marks, hedges and secondaries are not visible in 13F</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D1 Capital Partners</w:t>
            </w:r>
          </w:p>
        </w:tc>
        <w:tc>
          <w:tcPr>
            <w:tcW w:type="dxa" w:w="1800"/>
            <w:vAlign w:val="center"/>
            <w:tcMar>
              <w:top w:w="90" w:type="dxa"/>
              <w:start w:w="100" w:type="dxa"/>
              <w:bottom w:w="90" w:type="dxa"/>
              <w:end w:w="100" w:type="dxa"/>
            </w:tcMar>
            <w:shd w:fill="F5F7F8"/>
          </w:tcPr>
          <w:p>
            <w:pPr>
              <w:spacing w:after="0" w:line="240" w:lineRule="auto"/>
              <w:jc w:val="center"/>
            </w:pPr>
            <w:r/>
            <w:r>
              <w:rPr>
                <w:color w:val="232D34"/>
                <w:sz w:val="15"/>
              </w:rPr>
              <w:t>Crossover hedge/growth</w:t>
            </w:r>
          </w:p>
        </w:tc>
        <w:tc>
          <w:tcPr>
            <w:tcW w:type="dxa" w:w="3168"/>
            <w:vAlign w:val="center"/>
            <w:tcMar>
              <w:top w:w="90" w:type="dxa"/>
              <w:start w:w="100" w:type="dxa"/>
              <w:bottom w:w="90" w:type="dxa"/>
              <w:end w:w="100" w:type="dxa"/>
            </w:tcMar>
            <w:shd w:fill="F5F7F8"/>
          </w:tcPr>
          <w:p>
            <w:pPr>
              <w:spacing w:after="0" w:line="240" w:lineRule="auto"/>
            </w:pPr>
            <w:r/>
            <w:r>
              <w:rPr>
                <w:color w:val="232D34"/>
                <w:sz w:val="15"/>
              </w:rPr>
              <w:t>Existing Airtable investor in Series F</w:t>
            </w:r>
          </w:p>
        </w:tc>
        <w:tc>
          <w:tcPr>
            <w:tcW w:type="dxa" w:w="3600"/>
            <w:vAlign w:val="center"/>
            <w:tcMar>
              <w:top w:w="90" w:type="dxa"/>
              <w:start w:w="100" w:type="dxa"/>
              <w:bottom w:w="90" w:type="dxa"/>
              <w:end w:w="100" w:type="dxa"/>
            </w:tcMar>
            <w:shd w:fill="F5F7F8"/>
          </w:tcPr>
          <w:p>
            <w:pPr>
              <w:spacing w:after="0" w:line="240" w:lineRule="auto"/>
            </w:pPr>
            <w:r/>
            <w:r>
              <w:rPr>
                <w:color w:val="232D34"/>
                <w:sz w:val="15"/>
              </w:rPr>
              <w:t>Private-company exposure and financing are not visible in public 13F filings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XN</w:t>
            </w:r>
          </w:p>
        </w:tc>
        <w:tc>
          <w:tcPr>
            <w:tcW w:type="dxa" w:w="1800"/>
            <w:vAlign w:val="center"/>
            <w:tcMar>
              <w:top w:w="90" w:type="dxa"/>
              <w:start w:w="100" w:type="dxa"/>
              <w:bottom w:w="90" w:type="dxa"/>
              <w:end w:w="100" w:type="dxa"/>
            </w:tcMar>
          </w:tcPr>
          <w:p>
            <w:pPr>
              <w:spacing w:after="0" w:line="240" w:lineRule="auto"/>
            </w:pPr>
            <w:r/>
            <w:r>
              <w:rPr>
                <w:color w:val="232D34"/>
                <w:sz w:val="15"/>
              </w:rPr>
              <w:t>Crossover/private investment manager</w:t>
            </w:r>
          </w:p>
        </w:tc>
        <w:tc>
          <w:tcPr>
            <w:tcW w:type="dxa" w:w="3168"/>
            <w:vAlign w:val="center"/>
            <w:tcMar>
              <w:top w:w="90" w:type="dxa"/>
              <w:start w:w="100" w:type="dxa"/>
              <w:bottom w:w="90" w:type="dxa"/>
              <w:end w:w="100" w:type="dxa"/>
            </w:tcMar>
          </w:tcPr>
          <w:p>
            <w:pPr>
              <w:spacing w:after="0" w:line="240" w:lineRule="auto"/>
            </w:pPr>
            <w:r/>
            <w:r>
              <w:rPr>
                <w:color w:val="232D34"/>
                <w:sz w:val="15"/>
              </w:rPr>
              <w:t>Led Airtable’s $735M Series F at $11B pre-money</w:t>
            </w:r>
          </w:p>
        </w:tc>
        <w:tc>
          <w:tcPr>
            <w:tcW w:type="dxa" w:w="3600"/>
            <w:vAlign w:val="center"/>
            <w:tcMar>
              <w:top w:w="90" w:type="dxa"/>
              <w:start w:w="100" w:type="dxa"/>
              <w:bottom w:w="90" w:type="dxa"/>
              <w:end w:w="100" w:type="dxa"/>
            </w:tcMar>
          </w:tcPr>
          <w:p>
            <w:pPr>
              <w:spacing w:after="0" w:line="240" w:lineRule="auto"/>
            </w:pPr>
            <w:r/>
            <w:r>
              <w:rPr>
                <w:color w:val="232D34"/>
                <w:sz w:val="15"/>
              </w:rPr>
              <w:t>Highest identifiable valuation-entry risk in Airtable’s funding history</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Blue Owl</w:t>
            </w:r>
          </w:p>
        </w:tc>
        <w:tc>
          <w:tcPr>
            <w:tcW w:type="dxa" w:w="1800"/>
            <w:vAlign w:val="center"/>
            <w:tcMar>
              <w:top w:w="90" w:type="dxa"/>
              <w:start w:w="100" w:type="dxa"/>
              <w:bottom w:w="90" w:type="dxa"/>
              <w:end w:w="100" w:type="dxa"/>
            </w:tcMar>
            <w:shd w:fill="F5F7F8"/>
          </w:tcPr>
          <w:p>
            <w:pPr>
              <w:spacing w:after="0" w:line="240" w:lineRule="auto"/>
            </w:pPr>
            <w:r/>
            <w:r>
              <w:rPr>
                <w:color w:val="232D34"/>
                <w:sz w:val="15"/>
              </w:rPr>
              <w:t>Alternative manager/private credit/real assets</w:t>
            </w:r>
          </w:p>
        </w:tc>
        <w:tc>
          <w:tcPr>
            <w:tcW w:type="dxa" w:w="3168"/>
            <w:vAlign w:val="center"/>
            <w:tcMar>
              <w:top w:w="90" w:type="dxa"/>
              <w:start w:w="100" w:type="dxa"/>
              <w:bottom w:w="90" w:type="dxa"/>
              <w:end w:w="100" w:type="dxa"/>
            </w:tcMar>
            <w:shd w:fill="F5F7F8"/>
          </w:tcPr>
          <w:p>
            <w:pPr>
              <w:spacing w:after="0" w:line="240" w:lineRule="auto"/>
            </w:pPr>
            <w:r/>
            <w:r>
              <w:rPr>
                <w:color w:val="232D34"/>
                <w:sz w:val="15"/>
              </w:rPr>
              <w:t>OCIC and OTIC lending books; 80% Hyperion JV interest through managed funds</w:t>
            </w:r>
          </w:p>
        </w:tc>
        <w:tc>
          <w:tcPr>
            <w:tcW w:type="dxa" w:w="3600"/>
            <w:vAlign w:val="center"/>
            <w:tcMar>
              <w:top w:w="90" w:type="dxa"/>
              <w:start w:w="100" w:type="dxa"/>
              <w:bottom w:w="90" w:type="dxa"/>
              <w:end w:w="100" w:type="dxa"/>
            </w:tcMar>
            <w:shd w:fill="F5F7F8"/>
          </w:tcPr>
          <w:p>
            <w:pPr>
              <w:spacing w:after="0" w:line="240" w:lineRule="auto"/>
            </w:pPr>
            <w:r/>
            <w:r>
              <w:rPr>
                <w:color w:val="232D34"/>
                <w:sz w:val="15"/>
              </w:rPr>
              <w:t>Software-credit withdrawals coexist with aggressive AI real-asset deployment</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S11,S34,S35,S36</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Blackstone</w:t>
            </w:r>
          </w:p>
        </w:tc>
        <w:tc>
          <w:tcPr>
            <w:tcW w:type="dxa" w:w="1800"/>
            <w:vAlign w:val="center"/>
            <w:tcMar>
              <w:top w:w="90" w:type="dxa"/>
              <w:start w:w="100" w:type="dxa"/>
              <w:bottom w:w="90" w:type="dxa"/>
              <w:end w:w="100" w:type="dxa"/>
            </w:tcMar>
          </w:tcPr>
          <w:p>
            <w:pPr>
              <w:spacing w:after="0" w:line="240" w:lineRule="auto"/>
            </w:pPr>
            <w:r/>
            <w:r>
              <w:rPr>
                <w:color w:val="232D34"/>
                <w:sz w:val="15"/>
              </w:rPr>
              <w:t>Alternative manager/private credit/real assets</w:t>
            </w:r>
          </w:p>
        </w:tc>
        <w:tc>
          <w:tcPr>
            <w:tcW w:type="dxa" w:w="3168"/>
            <w:vAlign w:val="center"/>
            <w:tcMar>
              <w:top w:w="90" w:type="dxa"/>
              <w:start w:w="100" w:type="dxa"/>
              <w:bottom w:w="90" w:type="dxa"/>
              <w:end w:w="100" w:type="dxa"/>
            </w:tcMar>
          </w:tcPr>
          <w:p>
            <w:pPr>
              <w:spacing w:after="0" w:line="240" w:lineRule="auto"/>
            </w:pPr>
            <w:r/>
            <w:r>
              <w:rPr>
                <w:color w:val="232D34"/>
                <w:sz w:val="15"/>
              </w:rPr>
              <w:t>BCRED; Anthropic TPU financing; Medallia creditor/owner</w:t>
            </w:r>
          </w:p>
        </w:tc>
        <w:tc>
          <w:tcPr>
            <w:tcW w:type="dxa" w:w="3600"/>
            <w:vAlign w:val="center"/>
            <w:tcMar>
              <w:top w:w="90" w:type="dxa"/>
              <w:start w:w="100" w:type="dxa"/>
              <w:bottom w:w="90" w:type="dxa"/>
              <w:end w:w="100" w:type="dxa"/>
            </w:tcMar>
          </w:tcPr>
          <w:p>
            <w:pPr>
              <w:spacing w:after="0" w:line="240" w:lineRule="auto"/>
            </w:pPr>
            <w:r/>
            <w:r>
              <w:rPr>
                <w:color w:val="232D34"/>
                <w:sz w:val="15"/>
              </w:rPr>
              <w:t>Liquidity-gated retail credit plus control-equity outcomes in workouts</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S14,S32,S38</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Apollo</w:t>
            </w:r>
          </w:p>
        </w:tc>
        <w:tc>
          <w:tcPr>
            <w:tcW w:type="dxa" w:w="1800"/>
            <w:vAlign w:val="center"/>
            <w:tcMar>
              <w:top w:w="90" w:type="dxa"/>
              <w:start w:w="100" w:type="dxa"/>
              <w:bottom w:w="90" w:type="dxa"/>
              <w:end w:w="100" w:type="dxa"/>
            </w:tcMar>
            <w:shd w:fill="F5F7F8"/>
          </w:tcPr>
          <w:p>
            <w:pPr>
              <w:spacing w:after="0" w:line="240" w:lineRule="auto"/>
            </w:pPr>
            <w:r/>
            <w:r>
              <w:rPr>
                <w:color w:val="232D34"/>
                <w:sz w:val="15"/>
              </w:rPr>
              <w:t>Alternative manager/private credit/insurance</w:t>
            </w:r>
          </w:p>
        </w:tc>
        <w:tc>
          <w:tcPr>
            <w:tcW w:type="dxa" w:w="3168"/>
            <w:vAlign w:val="center"/>
            <w:tcMar>
              <w:top w:w="90" w:type="dxa"/>
              <w:start w:w="100" w:type="dxa"/>
              <w:bottom w:w="90" w:type="dxa"/>
              <w:end w:w="100" w:type="dxa"/>
            </w:tcMar>
            <w:shd w:fill="F5F7F8"/>
          </w:tcPr>
          <w:p>
            <w:pPr>
              <w:spacing w:after="0" w:line="240" w:lineRule="auto"/>
            </w:pPr>
            <w:r/>
            <w:r>
              <w:rPr>
                <w:color w:val="232D34"/>
                <w:sz w:val="15"/>
              </w:rPr>
              <w:t>ADS; Anthropic TPU financing; Medallia creditor/owner</w:t>
            </w:r>
          </w:p>
        </w:tc>
        <w:tc>
          <w:tcPr>
            <w:tcW w:type="dxa" w:w="3600"/>
            <w:vAlign w:val="center"/>
            <w:tcMar>
              <w:top w:w="90" w:type="dxa"/>
              <w:start w:w="100" w:type="dxa"/>
              <w:bottom w:w="90" w:type="dxa"/>
              <w:end w:w="100" w:type="dxa"/>
            </w:tcMar>
            <w:shd w:fill="F5F7F8"/>
          </w:tcPr>
          <w:p>
            <w:pPr>
              <w:spacing w:after="0" w:line="240" w:lineRule="auto"/>
            </w:pPr>
            <w:r/>
            <w:r>
              <w:rPr>
                <w:color w:val="232D34"/>
                <w:sz w:val="15"/>
              </w:rPr>
              <w:t>Insurance and institutional capital supply long-duration asset-backed debt</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S14,S33,S38</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Ares</w:t>
            </w:r>
          </w:p>
        </w:tc>
        <w:tc>
          <w:tcPr>
            <w:tcW w:type="dxa" w:w="1800"/>
            <w:vAlign w:val="center"/>
            <w:tcMar>
              <w:top w:w="90" w:type="dxa"/>
              <w:start w:w="100" w:type="dxa"/>
              <w:bottom w:w="90" w:type="dxa"/>
              <w:end w:w="100" w:type="dxa"/>
            </w:tcMar>
          </w:tcPr>
          <w:p>
            <w:pPr>
              <w:spacing w:after="0" w:line="240" w:lineRule="auto"/>
            </w:pPr>
            <w:r/>
            <w:r>
              <w:rPr>
                <w:color w:val="232D34"/>
                <w:sz w:val="15"/>
              </w:rPr>
              <w:t>Alternative manager/private credit</w:t>
            </w:r>
          </w:p>
        </w:tc>
        <w:tc>
          <w:tcPr>
            <w:tcW w:type="dxa" w:w="3168"/>
            <w:vAlign w:val="center"/>
            <w:tcMar>
              <w:top w:w="90" w:type="dxa"/>
              <w:start w:w="100" w:type="dxa"/>
              <w:bottom w:w="90" w:type="dxa"/>
              <w:end w:w="100" w:type="dxa"/>
            </w:tcMar>
          </w:tcPr>
          <w:p>
            <w:pPr>
              <w:spacing w:after="0" w:line="240" w:lineRule="auto"/>
            </w:pPr>
            <w:r/>
            <w:r>
              <w:rPr>
                <w:color w:val="232D34"/>
                <w:sz w:val="15"/>
              </w:rPr>
              <w:t>Large institutional and wealth credit platform; software and sponsor-backed lending exposure</w:t>
            </w:r>
          </w:p>
        </w:tc>
        <w:tc>
          <w:tcPr>
            <w:tcW w:type="dxa" w:w="3600"/>
            <w:vAlign w:val="center"/>
            <w:tcMar>
              <w:top w:w="90" w:type="dxa"/>
              <w:start w:w="100" w:type="dxa"/>
              <w:bottom w:w="90" w:type="dxa"/>
              <w:end w:w="100" w:type="dxa"/>
            </w:tcMar>
          </w:tcPr>
          <w:p>
            <w:pPr>
              <w:spacing w:after="0" w:line="240" w:lineRule="auto"/>
            </w:pPr>
            <w:r/>
            <w:r>
              <w:rPr>
                <w:color w:val="232D34"/>
                <w:sz w:val="15"/>
              </w:rPr>
              <w:t>Fundraising remains broad, but private software repricing affects marks and refinance economics</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S31,S43</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HPS / BlackRock</w:t>
            </w:r>
          </w:p>
        </w:tc>
        <w:tc>
          <w:tcPr>
            <w:tcW w:type="dxa" w:w="1800"/>
            <w:vAlign w:val="center"/>
            <w:tcMar>
              <w:top w:w="90" w:type="dxa"/>
              <w:start w:w="100" w:type="dxa"/>
              <w:bottom w:w="90" w:type="dxa"/>
              <w:end w:w="100" w:type="dxa"/>
            </w:tcMar>
            <w:shd w:fill="F5F7F8"/>
          </w:tcPr>
          <w:p>
            <w:pPr>
              <w:spacing w:after="0" w:line="240" w:lineRule="auto"/>
            </w:pPr>
            <w:r/>
            <w:r>
              <w:rPr>
                <w:color w:val="232D34"/>
                <w:sz w:val="15"/>
              </w:rPr>
              <w:t>Private credit + infrastructure</w:t>
            </w:r>
          </w:p>
        </w:tc>
        <w:tc>
          <w:tcPr>
            <w:tcW w:type="dxa" w:w="3168"/>
            <w:vAlign w:val="center"/>
            <w:tcMar>
              <w:top w:w="90" w:type="dxa"/>
              <w:start w:w="100" w:type="dxa"/>
              <w:bottom w:w="90" w:type="dxa"/>
              <w:end w:w="100" w:type="dxa"/>
            </w:tcMar>
            <w:shd w:fill="F5F7F8"/>
          </w:tcPr>
          <w:p>
            <w:pPr>
              <w:spacing w:after="0" w:line="240" w:lineRule="auto"/>
            </w:pPr>
            <w:r/>
            <w:r>
              <w:rPr>
                <w:color w:val="232D34"/>
                <w:sz w:val="15"/>
              </w:rPr>
              <w:t>Private credit vehicles and Meta El Paso financing; interval/nontraded structures</w:t>
            </w:r>
          </w:p>
        </w:tc>
        <w:tc>
          <w:tcPr>
            <w:tcW w:type="dxa" w:w="3600"/>
            <w:vAlign w:val="center"/>
            <w:tcMar>
              <w:top w:w="90" w:type="dxa"/>
              <w:start w:w="100" w:type="dxa"/>
              <w:bottom w:w="90" w:type="dxa"/>
              <w:end w:w="100" w:type="dxa"/>
            </w:tcMar>
            <w:shd w:fill="F5F7F8"/>
          </w:tcPr>
          <w:p>
            <w:pPr>
              <w:spacing w:after="0" w:line="240" w:lineRule="auto"/>
            </w:pPr>
            <w:r/>
            <w:r>
              <w:rPr>
                <w:color w:val="232D34"/>
                <w:sz w:val="15"/>
              </w:rPr>
              <w:t>Combines insurance/institutional capital with long-duration digital infrastructure</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S10,S31</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PIMCO</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Institutional fixed income</w:t>
            </w:r>
          </w:p>
        </w:tc>
        <w:tc>
          <w:tcPr>
            <w:tcW w:type="dxa" w:w="3168"/>
            <w:vAlign w:val="center"/>
            <w:tcMar>
              <w:top w:w="90" w:type="dxa"/>
              <w:start w:w="100" w:type="dxa"/>
              <w:bottom w:w="90" w:type="dxa"/>
              <w:end w:w="100" w:type="dxa"/>
            </w:tcMar>
          </w:tcPr>
          <w:p>
            <w:pPr>
              <w:spacing w:after="0" w:line="240" w:lineRule="auto"/>
            </w:pPr>
            <w:r/>
            <w:r>
              <w:rPr>
                <w:color w:val="232D34"/>
                <w:sz w:val="15"/>
              </w:rPr>
              <w:t>Lead institutional buyer in Meta Hyperion private placement</w:t>
            </w:r>
          </w:p>
        </w:tc>
        <w:tc>
          <w:tcPr>
            <w:tcW w:type="dxa" w:w="3600"/>
            <w:vAlign w:val="center"/>
            <w:tcMar>
              <w:top w:w="90" w:type="dxa"/>
              <w:start w:w="100" w:type="dxa"/>
              <w:bottom w:w="90" w:type="dxa"/>
              <w:end w:w="100" w:type="dxa"/>
            </w:tcMar>
          </w:tcPr>
          <w:p>
            <w:pPr>
              <w:spacing w:after="0" w:line="240" w:lineRule="auto"/>
            </w:pPr>
            <w:r/>
            <w:r>
              <w:rPr>
                <w:color w:val="232D34"/>
                <w:sz w:val="15"/>
              </w:rPr>
              <w:t>Long-duration project debt ultimately depends on lease and guarantee strength</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S11</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Citadel</w:t>
            </w:r>
          </w:p>
        </w:tc>
        <w:tc>
          <w:tcPr>
            <w:tcW w:type="dxa" w:w="1800"/>
            <w:vAlign w:val="center"/>
            <w:tcMar>
              <w:top w:w="90" w:type="dxa"/>
              <w:start w:w="100" w:type="dxa"/>
              <w:bottom w:w="90" w:type="dxa"/>
              <w:end w:w="100" w:type="dxa"/>
            </w:tcMar>
            <w:shd w:fill="F5F7F8"/>
          </w:tcPr>
          <w:p>
            <w:pPr>
              <w:spacing w:after="0" w:line="240" w:lineRule="auto"/>
            </w:pPr>
            <w:r/>
            <w:r>
              <w:rPr>
                <w:color w:val="232D34"/>
                <w:sz w:val="15"/>
              </w:rPr>
              <w:t>Multi-strategy hedge fund and market maker</w:t>
            </w:r>
          </w:p>
        </w:tc>
        <w:tc>
          <w:tcPr>
            <w:tcW w:type="dxa" w:w="3168"/>
            <w:vAlign w:val="center"/>
            <w:tcMar>
              <w:top w:w="90" w:type="dxa"/>
              <w:start w:w="100" w:type="dxa"/>
              <w:bottom w:w="90" w:type="dxa"/>
              <w:end w:w="100" w:type="dxa"/>
            </w:tcMar>
            <w:shd w:fill="F5F7F8"/>
          </w:tcPr>
          <w:p>
            <w:pPr>
              <w:spacing w:after="0" w:line="240" w:lineRule="auto"/>
            </w:pPr>
            <w:r/>
            <w:r>
              <w:rPr>
                <w:color w:val="232D34"/>
                <w:sz w:val="15"/>
              </w:rPr>
              <w:t>Acquired Situational Awareness’s public-equity portfolio, according to reports</w:t>
            </w:r>
          </w:p>
        </w:tc>
        <w:tc>
          <w:tcPr>
            <w:tcW w:type="dxa" w:w="3600"/>
            <w:vAlign w:val="center"/>
            <w:tcMar>
              <w:top w:w="90" w:type="dxa"/>
              <w:start w:w="100" w:type="dxa"/>
              <w:bottom w:w="90" w:type="dxa"/>
              <w:end w:w="100" w:type="dxa"/>
            </w:tcMar>
            <w:shd w:fill="F5F7F8"/>
          </w:tcPr>
          <w:p>
            <w:pPr>
              <w:spacing w:after="0" w:line="240" w:lineRule="auto"/>
            </w:pPr>
            <w:r/>
            <w:r>
              <w:rPr>
                <w:color w:val="232D34"/>
                <w:sz w:val="15"/>
              </w:rPr>
              <w:t>Buyer of a stressed leveraged book; transaction terms and hedges undisclosed</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S7,S8</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Situational Awareness</w:t>
            </w:r>
          </w:p>
        </w:tc>
        <w:tc>
          <w:tcPr>
            <w:tcW w:type="dxa" w:w="1800"/>
            <w:vAlign w:val="center"/>
            <w:tcMar>
              <w:top w:w="90" w:type="dxa"/>
              <w:start w:w="100" w:type="dxa"/>
              <w:bottom w:w="90" w:type="dxa"/>
              <w:end w:w="100" w:type="dxa"/>
            </w:tcMar>
          </w:tcPr>
          <w:p>
            <w:pPr>
              <w:spacing w:after="0" w:line="240" w:lineRule="auto"/>
              <w:jc w:val="center"/>
            </w:pPr>
            <w:r/>
            <w:r>
              <w:rPr>
                <w:color w:val="232D34"/>
                <w:sz w:val="15"/>
              </w:rPr>
              <w:t>Hedge fund</w:t>
            </w:r>
          </w:p>
        </w:tc>
        <w:tc>
          <w:tcPr>
            <w:tcW w:type="dxa" w:w="3168"/>
            <w:vAlign w:val="center"/>
            <w:tcMar>
              <w:top w:w="90" w:type="dxa"/>
              <w:start w:w="100" w:type="dxa"/>
              <w:bottom w:w="90" w:type="dxa"/>
              <w:end w:w="100" w:type="dxa"/>
            </w:tcMar>
          </w:tcPr>
          <w:p>
            <w:pPr>
              <w:spacing w:after="0" w:line="240" w:lineRule="auto"/>
            </w:pPr>
            <w:r/>
            <w:r>
              <w:rPr>
                <w:color w:val="232D34"/>
                <w:sz w:val="15"/>
              </w:rPr>
              <w:t>AI infrastructure, semiconductor, power and data-center equities/options; private Anthropic stake reported retained</w:t>
            </w:r>
          </w:p>
        </w:tc>
        <w:tc>
          <w:tcPr>
            <w:tcW w:type="dxa" w:w="3600"/>
            <w:vAlign w:val="center"/>
            <w:tcMar>
              <w:top w:w="90" w:type="dxa"/>
              <w:start w:w="100" w:type="dxa"/>
              <w:bottom w:w="90" w:type="dxa"/>
              <w:end w:w="100" w:type="dxa"/>
            </w:tcMar>
          </w:tcPr>
          <w:p>
            <w:pPr>
              <w:spacing w:after="0" w:line="240" w:lineRule="auto"/>
            </w:pPr>
            <w:r/>
            <w:r>
              <w:rPr>
                <w:color w:val="232D34"/>
                <w:sz w:val="15"/>
              </w:rPr>
              <w:t>Public book sold after losses; leverage, shorts, swaps, financing and private assets are not disclosed in 13F</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S5,S6,S7,S8</w:t>
            </w:r>
          </w:p>
        </w:tc>
      </w:tr>
    </w:tbl>
    <w:p>
      <w:pPr>
        <w:spacing w:after="20"/>
      </w:pPr>
    </w:p>
    <w:p>
      <w:pPr>
        <w:pStyle w:val="Heading2"/>
        <w:keepNext/>
      </w:pPr>
      <w:r>
        <w:t>Why the labels matter</w:t>
      </w:r>
    </w:p>
    <w:p>
      <w:pPr>
        <w:pStyle w:val="ListBullet"/>
        <w:spacing w:after="60" w:line="250" w:lineRule="auto"/>
      </w:pPr>
      <w:r>
        <w:t>VC funds are generally closed-end vehicles with long holding periods. They can carry private marks for years and distribute proceeds only when an exit occurs. Airtable converts an internal mark into a transaction price.</w:t>
      </w:r>
    </w:p>
    <w:p>
      <w:pPr>
        <w:pStyle w:val="ListBullet"/>
        <w:spacing w:after="60" w:line="250" w:lineRule="auto"/>
      </w:pPr>
      <w:r>
        <w:t>Crossover funds can own private rounds and public securities. Their 13F reveals only reportable public longs and options, not the private investment, short hedge or financing that may offset it.</w:t>
      </w:r>
    </w:p>
    <w:p>
      <w:pPr>
        <w:pStyle w:val="ListBullet"/>
        <w:spacing w:after="60" w:line="250" w:lineRule="auto"/>
      </w:pPr>
      <w:r>
        <w:t>Private-credit managers can originate directly, hold loans in BDCs, sell pieces to insurers, finance assets through SPVs and manage project debt. The manager name does not identify the ultimate risk holder; the holding vehicle does.</w:t>
      </w:r>
    </w:p>
    <w:p>
      <w:pPr>
        <w:pStyle w:val="ListBullet"/>
        <w:spacing w:after="60" w:line="250" w:lineRule="auto"/>
      </w:pPr>
      <w:r>
        <w:t>A hedge fund can use gross exposure and financing far above NAV. Situational Awareness’s 13F is therefore a position inventory, not a complete balance sheet.</w:t>
      </w:r>
    </w:p>
    <w:p>
      <w:pPr>
        <w:pStyle w:val="Heading2"/>
        <w:keepNext/>
      </w:pPr>
      <w:r>
        <w:t>What remains structurally invisible</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5083"/>
        <w:gridCol w:w="5083"/>
      </w:tblGrid>
      <w:tr>
        <w:trPr>
          <w:tblHeader w:val="true"/>
        </w:trPr>
        <w:tc>
          <w:tcPr>
            <w:tcW w:type="dxa" w:w="2520"/>
            <w:shd w:fill="17324D"/>
            <w:vAlign w:val="center"/>
            <w:tcMar>
              <w:top w:w="100" w:type="dxa"/>
              <w:start w:w="110" w:type="dxa"/>
              <w:bottom w:w="100" w:type="dxa"/>
              <w:end w:w="110" w:type="dxa"/>
            </w:tcMar>
          </w:tcPr>
          <w:p>
            <w:pPr>
              <w:jc w:val="center"/>
            </w:pPr>
            <w:r/>
            <w:r>
              <w:rPr>
                <w:b/>
                <w:color w:val="FFFFFF"/>
                <w:sz w:val="17"/>
              </w:rPr>
              <w:t>Invisible layer</w:t>
            </w:r>
          </w:p>
        </w:tc>
        <w:tc>
          <w:tcPr>
            <w:tcW w:type="dxa" w:w="7992"/>
            <w:shd w:fill="17324D"/>
            <w:vAlign w:val="center"/>
            <w:tcMar>
              <w:top w:w="100" w:type="dxa"/>
              <w:start w:w="110" w:type="dxa"/>
              <w:bottom w:w="100" w:type="dxa"/>
              <w:end w:w="110" w:type="dxa"/>
            </w:tcMar>
          </w:tcPr>
          <w:p>
            <w:pPr>
              <w:jc w:val="center"/>
            </w:pPr>
            <w:r/>
            <w:r>
              <w:rPr>
                <w:b/>
                <w:color w:val="FFFFFF"/>
                <w:sz w:val="17"/>
              </w:rPr>
              <w:t>Why public filings do not reveal it</w:t>
            </w:r>
          </w:p>
        </w:tc>
      </w:tr>
      <w:tr>
        <w:trPr>
          <w:cantSplit/>
        </w:trPr>
        <w:tc>
          <w:tcPr>
            <w:tcW w:type="dxa" w:w="2520"/>
            <w:vAlign w:val="center"/>
            <w:tcMar>
              <w:top w:w="90" w:type="dxa"/>
              <w:start w:w="100" w:type="dxa"/>
              <w:bottom w:w="90" w:type="dxa"/>
              <w:end w:w="100" w:type="dxa"/>
            </w:tcMar>
          </w:tcPr>
          <w:p>
            <w:pPr>
              <w:spacing w:after="0" w:line="240" w:lineRule="auto"/>
            </w:pPr>
            <w:r/>
            <w:r>
              <w:rPr>
                <w:color w:val="232D34"/>
                <w:sz w:val="17"/>
              </w:rPr>
              <w:t>Private-company ownership</w:t>
            </w:r>
          </w:p>
        </w:tc>
        <w:tc>
          <w:tcPr>
            <w:tcW w:type="dxa" w:w="7992"/>
            <w:vAlign w:val="center"/>
            <w:tcMar>
              <w:top w:w="90" w:type="dxa"/>
              <w:start w:w="100" w:type="dxa"/>
              <w:bottom w:w="90" w:type="dxa"/>
              <w:end w:w="100" w:type="dxa"/>
            </w:tcMar>
          </w:tcPr>
          <w:p>
            <w:pPr>
              <w:spacing w:after="0" w:line="240" w:lineRule="auto"/>
            </w:pPr>
            <w:r/>
            <w:r>
              <w:rPr>
                <w:color w:val="232D34"/>
                <w:sz w:val="17"/>
              </w:rPr>
              <w:t>Cap tables, secondaries, liquidation preferences, side letters and employee/common dilution</w:t>
            </w:r>
          </w:p>
        </w:tc>
      </w:tr>
      <w:tr>
        <w:trPr>
          <w:cantSplit/>
        </w:trPr>
        <w:tc>
          <w:tcPr>
            <w:tcW w:type="dxa" w:w="2520"/>
            <w:vAlign w:val="center"/>
            <w:tcMar>
              <w:top w:w="90" w:type="dxa"/>
              <w:start w:w="100" w:type="dxa"/>
              <w:bottom w:w="90" w:type="dxa"/>
              <w:end w:w="100" w:type="dxa"/>
            </w:tcMar>
            <w:shd w:fill="F5F7F8"/>
          </w:tcPr>
          <w:p>
            <w:pPr>
              <w:spacing w:after="0" w:line="240" w:lineRule="auto"/>
            </w:pPr>
            <w:r/>
            <w:r>
              <w:rPr>
                <w:color w:val="232D34"/>
                <w:sz w:val="17"/>
              </w:rPr>
              <w:t>Private-credit financing</w:t>
            </w:r>
          </w:p>
        </w:tc>
        <w:tc>
          <w:tcPr>
            <w:tcW w:type="dxa" w:w="7992"/>
            <w:vAlign w:val="center"/>
            <w:tcMar>
              <w:top w:w="90" w:type="dxa"/>
              <w:start w:w="100" w:type="dxa"/>
              <w:bottom w:w="90" w:type="dxa"/>
              <w:end w:w="100" w:type="dxa"/>
            </w:tcMar>
            <w:shd w:fill="F5F7F8"/>
          </w:tcPr>
          <w:p>
            <w:pPr>
              <w:spacing w:after="0" w:line="240" w:lineRule="auto"/>
            </w:pPr>
            <w:r/>
            <w:r>
              <w:rPr>
                <w:color w:val="232D34"/>
                <w:sz w:val="17"/>
              </w:rPr>
              <w:t>NAV facilities, subscription lines, warehouse borrowings, insurer reinsurance structures and bilateral repo</w:t>
            </w:r>
          </w:p>
        </w:tc>
      </w:tr>
      <w:tr>
        <w:trPr>
          <w:cantSplit/>
        </w:trPr>
        <w:tc>
          <w:tcPr>
            <w:tcW w:type="dxa" w:w="2520"/>
            <w:vAlign w:val="center"/>
            <w:tcMar>
              <w:top w:w="90" w:type="dxa"/>
              <w:start w:w="100" w:type="dxa"/>
              <w:bottom w:w="90" w:type="dxa"/>
              <w:end w:w="100" w:type="dxa"/>
            </w:tcMar>
          </w:tcPr>
          <w:p>
            <w:pPr>
              <w:spacing w:after="0" w:line="240" w:lineRule="auto"/>
            </w:pPr>
            <w:r/>
            <w:r>
              <w:rPr>
                <w:color w:val="232D34"/>
                <w:sz w:val="17"/>
              </w:rPr>
              <w:t>Hedge-fund exposure</w:t>
            </w:r>
          </w:p>
        </w:tc>
        <w:tc>
          <w:tcPr>
            <w:tcW w:type="dxa" w:w="7992"/>
            <w:vAlign w:val="center"/>
            <w:tcMar>
              <w:top w:w="90" w:type="dxa"/>
              <w:start w:w="100" w:type="dxa"/>
              <w:bottom w:w="90" w:type="dxa"/>
              <w:end w:w="100" w:type="dxa"/>
            </w:tcMar>
          </w:tcPr>
          <w:p>
            <w:pPr>
              <w:spacing w:after="0" w:line="240" w:lineRule="auto"/>
            </w:pPr>
            <w:r/>
            <w:r>
              <w:rPr>
                <w:color w:val="232D34"/>
                <w:sz w:val="17"/>
              </w:rPr>
              <w:t>Shorts, swaps, option premium, delta/gamma, financing haircuts, margin calls and investor-level gates</w:t>
            </w:r>
          </w:p>
        </w:tc>
      </w:tr>
      <w:tr>
        <w:trPr>
          <w:cantSplit/>
        </w:trPr>
        <w:tc>
          <w:tcPr>
            <w:tcW w:type="dxa" w:w="2520"/>
            <w:vAlign w:val="center"/>
            <w:tcMar>
              <w:top w:w="90" w:type="dxa"/>
              <w:start w:w="100" w:type="dxa"/>
              <w:bottom w:w="90" w:type="dxa"/>
              <w:end w:w="100" w:type="dxa"/>
            </w:tcMar>
            <w:shd w:fill="F5F7F8"/>
          </w:tcPr>
          <w:p>
            <w:pPr>
              <w:spacing w:after="0" w:line="240" w:lineRule="auto"/>
            </w:pPr>
            <w:r/>
            <w:r>
              <w:rPr>
                <w:color w:val="232D34"/>
                <w:sz w:val="17"/>
              </w:rPr>
              <w:t>SPV economics</w:t>
            </w:r>
          </w:p>
        </w:tc>
        <w:tc>
          <w:tcPr>
            <w:tcW w:type="dxa" w:w="7992"/>
            <w:vAlign w:val="center"/>
            <w:tcMar>
              <w:top w:w="90" w:type="dxa"/>
              <w:start w:w="100" w:type="dxa"/>
              <w:bottom w:w="90" w:type="dxa"/>
              <w:end w:w="100" w:type="dxa"/>
            </w:tcMar>
            <w:shd w:fill="F5F7F8"/>
          </w:tcPr>
          <w:p>
            <w:pPr>
              <w:spacing w:after="0" w:line="240" w:lineRule="auto"/>
            </w:pPr>
            <w:r/>
            <w:r>
              <w:rPr>
                <w:color w:val="232D34"/>
                <w:sz w:val="17"/>
              </w:rPr>
              <w:t>Exact covenants, cash sweeps, debt-service coverage, collateral substitution, termination payments and residual-value formulas</w:t>
            </w:r>
          </w:p>
        </w:tc>
      </w:tr>
      <w:tr>
        <w:trPr>
          <w:cantSplit/>
        </w:trPr>
        <w:tc>
          <w:tcPr>
            <w:tcW w:type="dxa" w:w="2520"/>
            <w:vAlign w:val="center"/>
            <w:tcMar>
              <w:top w:w="90" w:type="dxa"/>
              <w:start w:w="100" w:type="dxa"/>
              <w:bottom w:w="90" w:type="dxa"/>
              <w:end w:w="100" w:type="dxa"/>
            </w:tcMar>
          </w:tcPr>
          <w:p>
            <w:pPr>
              <w:spacing w:after="0" w:line="240" w:lineRule="auto"/>
            </w:pPr>
            <w:r/>
            <w:r>
              <w:rPr>
                <w:color w:val="232D34"/>
                <w:sz w:val="17"/>
              </w:rPr>
              <w:t>Internal marks</w:t>
            </w:r>
          </w:p>
        </w:tc>
        <w:tc>
          <w:tcPr>
            <w:tcW w:type="dxa" w:w="7992"/>
            <w:vAlign w:val="center"/>
            <w:tcMar>
              <w:top w:w="90" w:type="dxa"/>
              <w:start w:w="100" w:type="dxa"/>
              <w:bottom w:w="90" w:type="dxa"/>
              <w:end w:w="100" w:type="dxa"/>
            </w:tcMar>
          </w:tcPr>
          <w:p>
            <w:pPr>
              <w:spacing w:after="0" w:line="240" w:lineRule="auto"/>
            </w:pPr>
            <w:r/>
            <w:r>
              <w:rPr>
                <w:color w:val="232D34"/>
                <w:sz w:val="17"/>
              </w:rPr>
              <w:t>Manager valuation models before a sale, restructuring or public filing forces price discovery</w:t>
            </w:r>
          </w:p>
        </w:tc>
      </w:tr>
    </w:tbl>
    <w:p>
      <w:pPr>
        <w:spacing w:after="20"/>
      </w:pPr>
    </w:p>
    <w:p>
      <w:pPr>
        <w:pStyle w:val="Heading1"/>
        <w:keepNext/>
      </w:pPr>
      <w:r>
        <w:t>6. Leveraged software and lender-to-owner restructurings</w:t>
      </w:r>
    </w:p>
    <w:p>
      <w:pPr>
        <w:pStyle w:val="Heading2"/>
        <w:keepNext/>
      </w:pPr>
      <w:r>
        <w:t>Medallia</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2376"/>
            <w:shd w:fill="17324D"/>
            <w:vAlign w:val="center"/>
            <w:tcMar>
              <w:top w:w="100" w:type="dxa"/>
              <w:start w:w="110" w:type="dxa"/>
              <w:bottom w:w="100" w:type="dxa"/>
              <w:end w:w="110" w:type="dxa"/>
            </w:tcMar>
          </w:tcPr>
          <w:p>
            <w:pPr>
              <w:jc w:val="center"/>
            </w:pPr>
            <w:r/>
            <w:r>
              <w:rPr>
                <w:b/>
                <w:color w:val="FFFFFF"/>
                <w:sz w:val="17"/>
              </w:rPr>
              <w:t>Item</w:t>
            </w:r>
          </w:p>
        </w:tc>
        <w:tc>
          <w:tcPr>
            <w:tcW w:type="dxa" w:w="2232"/>
            <w:shd w:fill="17324D"/>
            <w:vAlign w:val="center"/>
            <w:tcMar>
              <w:top w:w="100" w:type="dxa"/>
              <w:start w:w="110" w:type="dxa"/>
              <w:bottom w:w="100" w:type="dxa"/>
              <w:end w:w="110" w:type="dxa"/>
            </w:tcMar>
          </w:tcPr>
          <w:p>
            <w:pPr>
              <w:jc w:val="center"/>
            </w:pPr>
            <w:r/>
            <w:r>
              <w:rPr>
                <w:b/>
                <w:color w:val="FFFFFF"/>
                <w:sz w:val="17"/>
              </w:rPr>
              <w:t>Number / party</w:t>
            </w:r>
          </w:p>
        </w:tc>
        <w:tc>
          <w:tcPr>
            <w:tcW w:type="dxa" w:w="5832"/>
            <w:shd w:fill="17324D"/>
            <w:vAlign w:val="center"/>
            <w:tcMar>
              <w:top w:w="100" w:type="dxa"/>
              <w:start w:w="110" w:type="dxa"/>
              <w:bottom w:w="100" w:type="dxa"/>
              <w:end w:w="110" w:type="dxa"/>
            </w:tcMar>
          </w:tcPr>
          <w:p>
            <w:pPr>
              <w:jc w:val="center"/>
            </w:pPr>
            <w:r/>
            <w:r>
              <w:rPr>
                <w:b/>
                <w:color w:val="FFFFFF"/>
                <w:sz w:val="17"/>
              </w:rPr>
              <w:t>Meaning</w:t>
            </w:r>
          </w:p>
        </w:tc>
      </w:tr>
      <w:tr>
        <w:trPr>
          <w:cantSplit/>
        </w:trPr>
        <w:tc>
          <w:tcPr>
            <w:tcW w:type="dxa" w:w="2376"/>
            <w:vAlign w:val="center"/>
            <w:tcMar>
              <w:top w:w="90" w:type="dxa"/>
              <w:start w:w="100" w:type="dxa"/>
              <w:bottom w:w="90" w:type="dxa"/>
              <w:end w:w="100" w:type="dxa"/>
            </w:tcMar>
          </w:tcPr>
          <w:p>
            <w:pPr>
              <w:spacing w:after="0" w:line="240" w:lineRule="auto"/>
            </w:pPr>
            <w:r/>
            <w:r>
              <w:rPr>
                <w:color w:val="232D34"/>
                <w:sz w:val="17"/>
              </w:rPr>
              <w:t>2021 take-private value</w:t>
            </w:r>
          </w:p>
        </w:tc>
        <w:tc>
          <w:tcPr>
            <w:tcW w:type="dxa" w:w="2232"/>
            <w:vAlign w:val="center"/>
            <w:tcMar>
              <w:top w:w="90" w:type="dxa"/>
              <w:start w:w="100" w:type="dxa"/>
              <w:bottom w:w="90" w:type="dxa"/>
              <w:end w:w="100" w:type="dxa"/>
            </w:tcMar>
          </w:tcPr>
          <w:p>
            <w:pPr>
              <w:spacing w:after="0" w:line="240" w:lineRule="auto"/>
              <w:jc w:val="center"/>
            </w:pPr>
            <w:r/>
            <w:r>
              <w:rPr>
                <w:color w:val="232D34"/>
                <w:sz w:val="17"/>
              </w:rPr>
              <w:t>$6.4B</w:t>
            </w:r>
          </w:p>
        </w:tc>
        <w:tc>
          <w:tcPr>
            <w:tcW w:type="dxa" w:w="5832"/>
            <w:vAlign w:val="center"/>
            <w:tcMar>
              <w:top w:w="90" w:type="dxa"/>
              <w:start w:w="100" w:type="dxa"/>
              <w:bottom w:w="90" w:type="dxa"/>
              <w:end w:w="100" w:type="dxa"/>
            </w:tcMar>
          </w:tcPr>
          <w:p>
            <w:pPr>
              <w:spacing w:after="0" w:line="240" w:lineRule="auto"/>
              <w:jc w:val="center"/>
            </w:pPr>
            <w:r/>
            <w:r>
              <w:rPr>
                <w:color w:val="232D34"/>
                <w:sz w:val="17"/>
              </w:rPr>
              <w:t>Reported transaction value</w:t>
            </w:r>
          </w:p>
        </w:tc>
      </w:tr>
      <w:tr>
        <w:trPr>
          <w:cantSplit/>
        </w:trPr>
        <w:tc>
          <w:tcPr>
            <w:tcW w:type="dxa" w:w="2376"/>
            <w:vAlign w:val="center"/>
            <w:tcMar>
              <w:top w:w="90" w:type="dxa"/>
              <w:start w:w="100" w:type="dxa"/>
              <w:bottom w:w="90" w:type="dxa"/>
              <w:end w:w="100" w:type="dxa"/>
            </w:tcMar>
            <w:shd w:fill="F5F7F8"/>
          </w:tcPr>
          <w:p>
            <w:pPr>
              <w:spacing w:after="0" w:line="240" w:lineRule="auto"/>
            </w:pPr>
            <w:r/>
            <w:r>
              <w:rPr>
                <w:color w:val="232D34"/>
                <w:sz w:val="17"/>
              </w:rPr>
              <w:t>Sponsor</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7"/>
              </w:rPr>
              <w:t>Thoma Bravo</w:t>
            </w:r>
          </w:p>
        </w:tc>
        <w:tc>
          <w:tcPr>
            <w:tcW w:type="dxa" w:w="5832"/>
            <w:vAlign w:val="center"/>
            <w:tcMar>
              <w:top w:w="90" w:type="dxa"/>
              <w:start w:w="100" w:type="dxa"/>
              <w:bottom w:w="90" w:type="dxa"/>
              <w:end w:w="100" w:type="dxa"/>
            </w:tcMar>
            <w:shd w:fill="F5F7F8"/>
          </w:tcPr>
          <w:p>
            <w:pPr>
              <w:spacing w:after="0" w:line="240" w:lineRule="auto"/>
              <w:jc w:val="center"/>
            </w:pPr>
            <w:r/>
            <w:r>
              <w:rPr>
                <w:color w:val="232D34"/>
                <w:sz w:val="17"/>
              </w:rPr>
              <w:t>Original equity owner</w:t>
            </w:r>
          </w:p>
        </w:tc>
      </w:tr>
      <w:tr>
        <w:trPr>
          <w:cantSplit/>
        </w:trPr>
        <w:tc>
          <w:tcPr>
            <w:tcW w:type="dxa" w:w="2376"/>
            <w:vAlign w:val="center"/>
            <w:tcMar>
              <w:top w:w="90" w:type="dxa"/>
              <w:start w:w="100" w:type="dxa"/>
              <w:bottom w:w="90" w:type="dxa"/>
              <w:end w:w="100" w:type="dxa"/>
            </w:tcMar>
          </w:tcPr>
          <w:p>
            <w:pPr>
              <w:spacing w:after="0" w:line="240" w:lineRule="auto"/>
            </w:pPr>
            <w:r/>
            <w:r>
              <w:rPr>
                <w:color w:val="232D34"/>
                <w:sz w:val="17"/>
              </w:rPr>
              <w:t>Creditor group</w:t>
            </w:r>
          </w:p>
        </w:tc>
        <w:tc>
          <w:tcPr>
            <w:tcW w:type="dxa" w:w="2232"/>
            <w:vAlign w:val="center"/>
            <w:tcMar>
              <w:top w:w="90" w:type="dxa"/>
              <w:start w:w="100" w:type="dxa"/>
              <w:bottom w:w="90" w:type="dxa"/>
              <w:end w:w="100" w:type="dxa"/>
            </w:tcMar>
          </w:tcPr>
          <w:p>
            <w:pPr>
              <w:spacing w:after="0" w:line="240" w:lineRule="auto"/>
            </w:pPr>
            <w:r/>
            <w:r>
              <w:rPr>
                <w:color w:val="232D34"/>
                <w:sz w:val="17"/>
              </w:rPr>
              <w:t>Blackstone-led, including Apollo and FS KKR</w:t>
            </w:r>
          </w:p>
        </w:tc>
        <w:tc>
          <w:tcPr>
            <w:tcW w:type="dxa" w:w="5832"/>
            <w:vAlign w:val="center"/>
            <w:tcMar>
              <w:top w:w="90" w:type="dxa"/>
              <w:start w:w="100" w:type="dxa"/>
              <w:bottom w:w="90" w:type="dxa"/>
              <w:end w:w="100" w:type="dxa"/>
            </w:tcMar>
          </w:tcPr>
          <w:p>
            <w:pPr>
              <w:spacing w:after="0" w:line="240" w:lineRule="auto"/>
            </w:pPr>
            <w:r/>
            <w:r>
              <w:rPr>
                <w:color w:val="232D34"/>
                <w:sz w:val="17"/>
              </w:rPr>
              <w:t>Lenders become controlling owners</w:t>
            </w:r>
          </w:p>
        </w:tc>
      </w:tr>
      <w:tr>
        <w:trPr>
          <w:cantSplit/>
        </w:trPr>
        <w:tc>
          <w:tcPr>
            <w:tcW w:type="dxa" w:w="2376"/>
            <w:vAlign w:val="center"/>
            <w:tcMar>
              <w:top w:w="90" w:type="dxa"/>
              <w:start w:w="100" w:type="dxa"/>
              <w:bottom w:w="90" w:type="dxa"/>
              <w:end w:w="100" w:type="dxa"/>
            </w:tcMar>
            <w:shd w:fill="F5F7F8"/>
          </w:tcPr>
          <w:p>
            <w:pPr>
              <w:spacing w:after="0" w:line="240" w:lineRule="auto"/>
            </w:pPr>
            <w:r/>
            <w:r>
              <w:rPr>
                <w:color w:val="232D34"/>
                <w:sz w:val="17"/>
              </w:rPr>
              <w:t>New money</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7"/>
              </w:rPr>
              <w:t>$150M</w:t>
            </w:r>
          </w:p>
        </w:tc>
        <w:tc>
          <w:tcPr>
            <w:tcW w:type="dxa" w:w="5832"/>
            <w:vAlign w:val="center"/>
            <w:tcMar>
              <w:top w:w="90" w:type="dxa"/>
              <w:start w:w="100" w:type="dxa"/>
              <w:bottom w:w="90" w:type="dxa"/>
              <w:end w:w="100" w:type="dxa"/>
            </w:tcMar>
            <w:shd w:fill="F5F7F8"/>
          </w:tcPr>
          <w:p>
            <w:pPr>
              <w:spacing w:after="0" w:line="240" w:lineRule="auto"/>
            </w:pPr>
            <w:r/>
            <w:r>
              <w:rPr>
                <w:color w:val="232D34"/>
                <w:sz w:val="17"/>
              </w:rPr>
              <w:t>Fresh capital under recapitalization</w:t>
            </w:r>
          </w:p>
        </w:tc>
      </w:tr>
      <w:tr>
        <w:trPr>
          <w:cantSplit/>
        </w:trPr>
        <w:tc>
          <w:tcPr>
            <w:tcW w:type="dxa" w:w="2376"/>
            <w:vAlign w:val="center"/>
            <w:tcMar>
              <w:top w:w="90" w:type="dxa"/>
              <w:start w:w="100" w:type="dxa"/>
              <w:bottom w:w="90" w:type="dxa"/>
              <w:end w:w="100" w:type="dxa"/>
            </w:tcMar>
          </w:tcPr>
          <w:p>
            <w:pPr>
              <w:spacing w:after="0" w:line="240" w:lineRule="auto"/>
            </w:pPr>
            <w:r/>
            <w:r>
              <w:rPr>
                <w:color w:val="232D34"/>
                <w:sz w:val="17"/>
              </w:rPr>
              <w:t>AI / innovation commitment</w:t>
            </w:r>
          </w:p>
        </w:tc>
        <w:tc>
          <w:tcPr>
            <w:tcW w:type="dxa" w:w="2232"/>
            <w:vAlign w:val="center"/>
            <w:tcMar>
              <w:top w:w="90" w:type="dxa"/>
              <w:start w:w="100" w:type="dxa"/>
              <w:bottom w:w="90" w:type="dxa"/>
              <w:end w:w="100" w:type="dxa"/>
            </w:tcMar>
          </w:tcPr>
          <w:p>
            <w:pPr>
              <w:spacing w:after="0" w:line="240" w:lineRule="auto"/>
              <w:jc w:val="center"/>
            </w:pPr>
            <w:r/>
            <w:r>
              <w:rPr>
                <w:color w:val="232D34"/>
                <w:sz w:val="17"/>
              </w:rPr>
              <w:t>$500M</w:t>
            </w:r>
          </w:p>
        </w:tc>
        <w:tc>
          <w:tcPr>
            <w:tcW w:type="dxa" w:w="5832"/>
            <w:vAlign w:val="center"/>
            <w:tcMar>
              <w:top w:w="90" w:type="dxa"/>
              <w:start w:w="100" w:type="dxa"/>
              <w:bottom w:w="90" w:type="dxa"/>
              <w:end w:w="100" w:type="dxa"/>
            </w:tcMar>
          </w:tcPr>
          <w:p>
            <w:pPr>
              <w:spacing w:after="0" w:line="240" w:lineRule="auto"/>
            </w:pPr>
            <w:r/>
            <w:r>
              <w:rPr>
                <w:color w:val="232D34"/>
                <w:sz w:val="17"/>
              </w:rPr>
              <w:t>Company-announced multiyear investment commitment</w:t>
            </w:r>
          </w:p>
        </w:tc>
      </w:tr>
      <w:tr>
        <w:trPr>
          <w:cantSplit/>
        </w:trPr>
        <w:tc>
          <w:tcPr>
            <w:tcW w:type="dxa" w:w="2376"/>
            <w:vAlign w:val="center"/>
            <w:tcMar>
              <w:top w:w="90" w:type="dxa"/>
              <w:start w:w="100" w:type="dxa"/>
              <w:bottom w:w="90" w:type="dxa"/>
              <w:end w:w="100" w:type="dxa"/>
            </w:tcMar>
            <w:shd w:fill="F5F7F8"/>
          </w:tcPr>
          <w:p>
            <w:pPr>
              <w:spacing w:after="0" w:line="240" w:lineRule="auto"/>
            </w:pPr>
            <w:r/>
            <w:r>
              <w:rPr>
                <w:color w:val="232D34"/>
                <w:sz w:val="17"/>
              </w:rPr>
              <w:t>Debt outcome</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7"/>
              </w:rPr>
              <w:t>“Significantly reduced”</w:t>
            </w:r>
          </w:p>
        </w:tc>
        <w:tc>
          <w:tcPr>
            <w:tcW w:type="dxa" w:w="5832"/>
            <w:vAlign w:val="center"/>
            <w:tcMar>
              <w:top w:w="90" w:type="dxa"/>
              <w:start w:w="100" w:type="dxa"/>
              <w:bottom w:w="90" w:type="dxa"/>
              <w:end w:w="100" w:type="dxa"/>
            </w:tcMar>
            <w:shd w:fill="F5F7F8"/>
          </w:tcPr>
          <w:p>
            <w:pPr>
              <w:spacing w:after="0" w:line="240" w:lineRule="auto"/>
            </w:pPr>
            <w:r/>
            <w:r>
              <w:rPr>
                <w:color w:val="232D34"/>
                <w:sz w:val="17"/>
              </w:rPr>
              <w:t>Exact final debt and creditor recoveries not fully disclosed in company release</w:t>
            </w:r>
          </w:p>
        </w:tc>
      </w:tr>
    </w:tbl>
    <w:p>
      <w:pPr>
        <w:spacing w:after="20"/>
      </w:pPr>
    </w:p>
    <w:p>
      <w:pPr>
        <w:spacing w:after="100" w:line="259" w:lineRule="auto"/>
      </w:pPr>
      <w:r>
        <w:t>The Medallia transaction is the private-credit end state that matters: the equity sponsor loses control, lenders exchange debt for ownership, the balance sheet is reduced and new capital is injected. The company’s $500M AI commitment is strategically notable because it follows a recapitalization rather than preceding it.</w:t>
      </w:r>
      <w:r>
        <w:rPr>
          <w:color w:val="2F5E75"/>
          <w:sz w:val="16"/>
          <w:vertAlign w:val="superscript"/>
        </w:rPr>
        <w:t xml:space="preserve"> [S38,S43]</w:t>
      </w:r>
    </w:p>
    <w:p>
      <w:pPr>
        <w:pStyle w:val="Heading2"/>
        <w:keepNext/>
      </w:pPr>
      <w:r>
        <w:t>Proofpoint</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2520"/>
            <w:shd w:fill="17324D"/>
            <w:vAlign w:val="center"/>
            <w:tcMar>
              <w:top w:w="100" w:type="dxa"/>
              <w:start w:w="110" w:type="dxa"/>
              <w:bottom w:w="100" w:type="dxa"/>
              <w:end w:w="110" w:type="dxa"/>
            </w:tcMar>
          </w:tcPr>
          <w:p>
            <w:pPr>
              <w:jc w:val="center"/>
            </w:pPr>
            <w:r/>
            <w:r>
              <w:rPr>
                <w:b/>
                <w:color w:val="FFFFFF"/>
                <w:sz w:val="17"/>
              </w:rPr>
              <w:t>Item</w:t>
            </w:r>
          </w:p>
        </w:tc>
        <w:tc>
          <w:tcPr>
            <w:tcW w:type="dxa" w:w="2088"/>
            <w:shd w:fill="17324D"/>
            <w:vAlign w:val="center"/>
            <w:tcMar>
              <w:top w:w="100" w:type="dxa"/>
              <w:start w:w="110" w:type="dxa"/>
              <w:bottom w:w="100" w:type="dxa"/>
              <w:end w:w="110" w:type="dxa"/>
            </w:tcMar>
          </w:tcPr>
          <w:p>
            <w:pPr>
              <w:jc w:val="center"/>
            </w:pPr>
            <w:r/>
            <w:r>
              <w:rPr>
                <w:b/>
                <w:color w:val="FFFFFF"/>
                <w:sz w:val="17"/>
              </w:rPr>
              <w:t>Number</w:t>
            </w:r>
          </w:p>
        </w:tc>
        <w:tc>
          <w:tcPr>
            <w:tcW w:type="dxa" w:w="5832"/>
            <w:shd w:fill="17324D"/>
            <w:vAlign w:val="center"/>
            <w:tcMar>
              <w:top w:w="100" w:type="dxa"/>
              <w:start w:w="110" w:type="dxa"/>
              <w:bottom w:w="100" w:type="dxa"/>
              <w:end w:w="110" w:type="dxa"/>
            </w:tcMar>
          </w:tcPr>
          <w:p>
            <w:pPr>
              <w:jc w:val="center"/>
            </w:pPr>
            <w:r/>
            <w:r>
              <w:rPr>
                <w:b/>
                <w:color w:val="FFFFFF"/>
                <w:sz w:val="17"/>
              </w:rPr>
              <w:t>Meaning</w:t>
            </w:r>
          </w:p>
        </w:tc>
      </w:tr>
      <w:tr>
        <w:trPr>
          <w:cantSplit/>
        </w:trPr>
        <w:tc>
          <w:tcPr>
            <w:tcW w:type="dxa" w:w="2520"/>
            <w:vAlign w:val="center"/>
            <w:tcMar>
              <w:top w:w="90" w:type="dxa"/>
              <w:start w:w="100" w:type="dxa"/>
              <w:bottom w:w="90" w:type="dxa"/>
              <w:end w:w="100" w:type="dxa"/>
            </w:tcMar>
          </w:tcPr>
          <w:p>
            <w:pPr>
              <w:spacing w:after="0" w:line="240" w:lineRule="auto"/>
            </w:pPr>
            <w:r/>
            <w:r>
              <w:rPr>
                <w:color w:val="232D34"/>
                <w:sz w:val="17"/>
              </w:rPr>
              <w:t>2021 acquisition</w:t>
            </w:r>
          </w:p>
        </w:tc>
        <w:tc>
          <w:tcPr>
            <w:tcW w:type="dxa" w:w="2088"/>
            <w:vAlign w:val="center"/>
            <w:tcMar>
              <w:top w:w="90" w:type="dxa"/>
              <w:start w:w="100" w:type="dxa"/>
              <w:bottom w:w="90" w:type="dxa"/>
              <w:end w:w="100" w:type="dxa"/>
            </w:tcMar>
          </w:tcPr>
          <w:p>
            <w:pPr>
              <w:spacing w:after="0" w:line="240" w:lineRule="auto"/>
              <w:jc w:val="center"/>
            </w:pPr>
            <w:r/>
            <w:r>
              <w:rPr>
                <w:color w:val="232D34"/>
                <w:sz w:val="17"/>
              </w:rPr>
              <w:t>More than $12B</w:t>
            </w:r>
          </w:p>
        </w:tc>
        <w:tc>
          <w:tcPr>
            <w:tcW w:type="dxa" w:w="5832"/>
            <w:vAlign w:val="center"/>
            <w:tcMar>
              <w:top w:w="90" w:type="dxa"/>
              <w:start w:w="100" w:type="dxa"/>
              <w:bottom w:w="90" w:type="dxa"/>
              <w:end w:w="100" w:type="dxa"/>
            </w:tcMar>
          </w:tcPr>
          <w:p>
            <w:pPr>
              <w:spacing w:after="0" w:line="240" w:lineRule="auto"/>
              <w:jc w:val="center"/>
            </w:pPr>
            <w:r/>
            <w:r>
              <w:rPr>
                <w:color w:val="232D34"/>
                <w:sz w:val="17"/>
              </w:rPr>
              <w:t>Thoma Bravo take-private</w:t>
            </w:r>
          </w:p>
        </w:tc>
      </w:tr>
      <w:tr>
        <w:trPr>
          <w:cantSplit/>
        </w:trPr>
        <w:tc>
          <w:tcPr>
            <w:tcW w:type="dxa" w:w="2520"/>
            <w:vAlign w:val="center"/>
            <w:tcMar>
              <w:top w:w="90" w:type="dxa"/>
              <w:start w:w="100" w:type="dxa"/>
              <w:bottom w:w="90" w:type="dxa"/>
              <w:end w:w="100" w:type="dxa"/>
            </w:tcMar>
            <w:shd w:fill="F5F7F8"/>
          </w:tcPr>
          <w:p>
            <w:pPr>
              <w:spacing w:after="0" w:line="240" w:lineRule="auto"/>
            </w:pPr>
            <w:r/>
            <w:r>
              <w:rPr>
                <w:color w:val="232D34"/>
                <w:sz w:val="17"/>
              </w:rPr>
              <w:t>Debt being refinanced</w:t>
            </w:r>
          </w:p>
        </w:tc>
        <w:tc>
          <w:tcPr>
            <w:tcW w:type="dxa" w:w="2088"/>
            <w:vAlign w:val="center"/>
            <w:tcMar>
              <w:top w:w="90" w:type="dxa"/>
              <w:start w:w="100" w:type="dxa"/>
              <w:bottom w:w="90" w:type="dxa"/>
              <w:end w:w="100" w:type="dxa"/>
            </w:tcMar>
            <w:shd w:fill="F5F7F8"/>
          </w:tcPr>
          <w:p>
            <w:pPr>
              <w:spacing w:after="0" w:line="240" w:lineRule="auto"/>
              <w:jc w:val="center"/>
            </w:pPr>
            <w:r/>
            <w:r>
              <w:rPr>
                <w:color w:val="232D34"/>
                <w:sz w:val="17"/>
              </w:rPr>
              <w:t>Approximately $5B</w:t>
            </w:r>
          </w:p>
        </w:tc>
        <w:tc>
          <w:tcPr>
            <w:tcW w:type="dxa" w:w="5832"/>
            <w:vAlign w:val="center"/>
            <w:tcMar>
              <w:top w:w="90" w:type="dxa"/>
              <w:start w:w="100" w:type="dxa"/>
              <w:bottom w:w="90" w:type="dxa"/>
              <w:end w:w="100" w:type="dxa"/>
            </w:tcMar>
            <w:shd w:fill="F5F7F8"/>
          </w:tcPr>
          <w:p>
            <w:pPr>
              <w:spacing w:after="0" w:line="240" w:lineRule="auto"/>
            </w:pPr>
            <w:r/>
            <w:r>
              <w:rPr>
                <w:color w:val="232D34"/>
                <w:sz w:val="17"/>
              </w:rPr>
              <w:t>Maturity extension toward 2030</w:t>
            </w:r>
          </w:p>
        </w:tc>
      </w:tr>
      <w:tr>
        <w:trPr>
          <w:cantSplit/>
        </w:trPr>
        <w:tc>
          <w:tcPr>
            <w:tcW w:type="dxa" w:w="2520"/>
            <w:vAlign w:val="center"/>
            <w:tcMar>
              <w:top w:w="90" w:type="dxa"/>
              <w:start w:w="100" w:type="dxa"/>
              <w:bottom w:w="90" w:type="dxa"/>
              <w:end w:w="100" w:type="dxa"/>
            </w:tcMar>
          </w:tcPr>
          <w:p>
            <w:pPr>
              <w:spacing w:after="0" w:line="240" w:lineRule="auto"/>
            </w:pPr>
            <w:r/>
            <w:r>
              <w:rPr>
                <w:color w:val="232D34"/>
                <w:sz w:val="17"/>
              </w:rPr>
              <w:t>New indicated yield</w:t>
            </w:r>
          </w:p>
        </w:tc>
        <w:tc>
          <w:tcPr>
            <w:tcW w:type="dxa" w:w="2088"/>
            <w:vAlign w:val="center"/>
            <w:tcMar>
              <w:top w:w="90" w:type="dxa"/>
              <w:start w:w="100" w:type="dxa"/>
              <w:bottom w:w="90" w:type="dxa"/>
              <w:end w:w="100" w:type="dxa"/>
            </w:tcMar>
          </w:tcPr>
          <w:p>
            <w:pPr>
              <w:spacing w:after="0" w:line="240" w:lineRule="auto"/>
              <w:jc w:val="center"/>
            </w:pPr>
            <w:r/>
            <w:r>
              <w:rPr>
                <w:color w:val="232D34"/>
                <w:sz w:val="17"/>
              </w:rPr>
              <w:t>Approximately 9.3%</w:t>
            </w:r>
          </w:p>
        </w:tc>
        <w:tc>
          <w:tcPr>
            <w:tcW w:type="dxa" w:w="5832"/>
            <w:vAlign w:val="center"/>
            <w:tcMar>
              <w:top w:w="90" w:type="dxa"/>
              <w:start w:w="100" w:type="dxa"/>
              <w:bottom w:w="90" w:type="dxa"/>
              <w:end w:w="100" w:type="dxa"/>
            </w:tcMar>
          </w:tcPr>
          <w:p>
            <w:pPr>
              <w:spacing w:after="0" w:line="240" w:lineRule="auto"/>
            </w:pPr>
            <w:r/>
            <w:r>
              <w:rPr>
                <w:color w:val="232D34"/>
                <w:sz w:val="17"/>
              </w:rPr>
              <w:t>Investor pricing during refinancing</w:t>
            </w:r>
          </w:p>
        </w:tc>
      </w:tr>
      <w:tr>
        <w:trPr>
          <w:cantSplit/>
        </w:trPr>
        <w:tc>
          <w:tcPr>
            <w:tcW w:type="dxa" w:w="2520"/>
            <w:vAlign w:val="center"/>
            <w:tcMar>
              <w:top w:w="90" w:type="dxa"/>
              <w:start w:w="100" w:type="dxa"/>
              <w:bottom w:w="90" w:type="dxa"/>
              <w:end w:w="100" w:type="dxa"/>
            </w:tcMar>
            <w:shd w:fill="F5F7F8"/>
          </w:tcPr>
          <w:p>
            <w:pPr>
              <w:spacing w:after="0" w:line="240" w:lineRule="auto"/>
            </w:pPr>
            <w:r/>
            <w:r>
              <w:rPr>
                <w:color w:val="232D34"/>
                <w:sz w:val="17"/>
              </w:rPr>
              <w:t>Prior debt cost</w:t>
            </w:r>
          </w:p>
        </w:tc>
        <w:tc>
          <w:tcPr>
            <w:tcW w:type="dxa" w:w="2088"/>
            <w:vAlign w:val="center"/>
            <w:tcMar>
              <w:top w:w="90" w:type="dxa"/>
              <w:start w:w="100" w:type="dxa"/>
              <w:bottom w:w="90" w:type="dxa"/>
              <w:end w:w="100" w:type="dxa"/>
            </w:tcMar>
            <w:shd w:fill="F5F7F8"/>
          </w:tcPr>
          <w:p>
            <w:pPr>
              <w:spacing w:after="0" w:line="240" w:lineRule="auto"/>
              <w:jc w:val="center"/>
            </w:pPr>
            <w:r/>
            <w:r>
              <w:rPr>
                <w:color w:val="232D34"/>
                <w:sz w:val="17"/>
              </w:rPr>
              <w:t>Approximately 3%</w:t>
            </w:r>
          </w:p>
        </w:tc>
        <w:tc>
          <w:tcPr>
            <w:tcW w:type="dxa" w:w="5832"/>
            <w:vAlign w:val="center"/>
            <w:tcMar>
              <w:top w:w="90" w:type="dxa"/>
              <w:start w:w="100" w:type="dxa"/>
              <w:bottom w:w="90" w:type="dxa"/>
              <w:end w:w="100" w:type="dxa"/>
            </w:tcMar>
            <w:shd w:fill="F5F7F8"/>
          </w:tcPr>
          <w:p>
            <w:pPr>
              <w:spacing w:after="0" w:line="240" w:lineRule="auto"/>
              <w:jc w:val="center"/>
            </w:pPr>
            <w:r/>
            <w:r>
              <w:rPr>
                <w:color w:val="232D34"/>
                <w:sz w:val="17"/>
              </w:rPr>
              <w:t>Material interest-cost reset</w:t>
            </w:r>
          </w:p>
        </w:tc>
      </w:tr>
      <w:tr>
        <w:trPr>
          <w:cantSplit/>
        </w:trPr>
        <w:tc>
          <w:tcPr>
            <w:tcW w:type="dxa" w:w="2520"/>
            <w:vAlign w:val="center"/>
            <w:tcMar>
              <w:top w:w="90" w:type="dxa"/>
              <w:start w:w="100" w:type="dxa"/>
              <w:bottom w:w="90" w:type="dxa"/>
              <w:end w:w="100" w:type="dxa"/>
            </w:tcMar>
          </w:tcPr>
          <w:p>
            <w:pPr>
              <w:spacing w:after="0" w:line="240" w:lineRule="auto"/>
            </w:pPr>
            <w:r/>
            <w:r>
              <w:rPr>
                <w:color w:val="232D34"/>
                <w:sz w:val="17"/>
              </w:rPr>
              <w:t>Existing debt trading</w:t>
            </w:r>
          </w:p>
        </w:tc>
        <w:tc>
          <w:tcPr>
            <w:tcW w:type="dxa" w:w="2088"/>
            <w:vAlign w:val="center"/>
            <w:tcMar>
              <w:top w:w="90" w:type="dxa"/>
              <w:start w:w="100" w:type="dxa"/>
              <w:bottom w:w="90" w:type="dxa"/>
              <w:end w:w="100" w:type="dxa"/>
            </w:tcMar>
          </w:tcPr>
          <w:p>
            <w:pPr>
              <w:spacing w:after="0" w:line="240" w:lineRule="auto"/>
              <w:jc w:val="center"/>
            </w:pPr>
            <w:r/>
            <w:r>
              <w:rPr>
                <w:color w:val="232D34"/>
                <w:sz w:val="17"/>
              </w:rPr>
              <w:t>Approximately 98.6 cents</w:t>
            </w:r>
          </w:p>
        </w:tc>
        <w:tc>
          <w:tcPr>
            <w:tcW w:type="dxa" w:w="5832"/>
            <w:vAlign w:val="center"/>
            <w:tcMar>
              <w:top w:w="90" w:type="dxa"/>
              <w:start w:w="100" w:type="dxa"/>
              <w:bottom w:w="90" w:type="dxa"/>
              <w:end w:w="100" w:type="dxa"/>
            </w:tcMar>
          </w:tcPr>
          <w:p>
            <w:pPr>
              <w:spacing w:after="0" w:line="240" w:lineRule="auto"/>
            </w:pPr>
            <w:r/>
            <w:r>
              <w:rPr>
                <w:color w:val="232D34"/>
                <w:sz w:val="17"/>
              </w:rPr>
              <w:t>Reported market level during transaction</w:t>
            </w:r>
          </w:p>
        </w:tc>
      </w:tr>
    </w:tbl>
    <w:p>
      <w:pPr>
        <w:spacing w:after="20"/>
      </w:pPr>
    </w:p>
    <w:p>
      <w:pPr>
        <w:spacing w:after="100" w:line="259" w:lineRule="auto"/>
      </w:pPr>
      <w:r>
        <w:t>The core issue is not necessarily imminent default. It is that a software acquisition financed when money cost roughly 3% must now clear around 9.3%, while AI creates uncertainty around product durability. The refinancing can succeed and still permanently reduce equity value through higher interest expense.</w:t>
      </w:r>
      <w:r>
        <w:rPr>
          <w:color w:val="2F5E75"/>
          <w:sz w:val="16"/>
          <w:vertAlign w:val="superscript"/>
        </w:rPr>
        <w:t xml:space="preserve"> [S39]</w:t>
      </w:r>
    </w:p>
    <w:p>
      <w:pPr>
        <w:pStyle w:val="Heading2"/>
        <w:keepNext/>
      </w:pPr>
      <w:r>
        <w:t>Affordable Care and other concentrated marks</w:t>
      </w:r>
    </w:p>
    <w:p>
      <w:pPr>
        <w:spacing w:after="100" w:line="259" w:lineRule="auto"/>
      </w:pPr>
      <w:r>
        <w:t>Financial reporting has identified a roughly $1.4B loan to Affordable Care and marks near 69.8 in a large private-credit vehicle, alongside Medallia-related impairment. Because complete lender schedules and workout documents are not public, these figures are best treated as reported marks, not final recovery values.</w:t>
      </w:r>
      <w:r>
        <w:rPr>
          <w:color w:val="2F5E75"/>
          <w:sz w:val="16"/>
          <w:vertAlign w:val="superscript"/>
        </w:rPr>
        <w:t xml:space="preserve"> [S43]</w:t>
      </w:r>
    </w:p>
    <w:p>
      <w:pPr>
        <w:pStyle w:val="Heading2"/>
        <w:keepNext/>
      </w:pPr>
      <w:r>
        <w:t>Software-credit risk transmission</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2880"/>
            <w:shd w:fill="17324D"/>
            <w:vAlign w:val="center"/>
            <w:tcMar>
              <w:top w:w="100" w:type="dxa"/>
              <w:start w:w="110" w:type="dxa"/>
              <w:bottom w:w="100" w:type="dxa"/>
              <w:end w:w="110" w:type="dxa"/>
            </w:tcMar>
          </w:tcPr>
          <w:p>
            <w:pPr>
              <w:jc w:val="center"/>
            </w:pPr>
            <w:r/>
            <w:r>
              <w:rPr>
                <w:b/>
                <w:color w:val="FFFFFF"/>
                <w:sz w:val="16"/>
              </w:rPr>
              <w:t>Stage</w:t>
            </w:r>
          </w:p>
        </w:tc>
        <w:tc>
          <w:tcPr>
            <w:tcW w:type="dxa" w:w="1584"/>
            <w:shd w:fill="17324D"/>
            <w:vAlign w:val="center"/>
            <w:tcMar>
              <w:top w:w="100" w:type="dxa"/>
              <w:start w:w="110" w:type="dxa"/>
              <w:bottom w:w="100" w:type="dxa"/>
              <w:end w:w="110" w:type="dxa"/>
            </w:tcMar>
          </w:tcPr>
          <w:p>
            <w:pPr>
              <w:jc w:val="center"/>
            </w:pPr>
            <w:r/>
            <w:r>
              <w:rPr>
                <w:b/>
                <w:color w:val="FFFFFF"/>
                <w:sz w:val="16"/>
              </w:rPr>
              <w:t>Period</w:t>
            </w:r>
          </w:p>
        </w:tc>
        <w:tc>
          <w:tcPr>
            <w:tcW w:type="dxa" w:w="5976"/>
            <w:shd w:fill="17324D"/>
            <w:vAlign w:val="center"/>
            <w:tcMar>
              <w:top w:w="100" w:type="dxa"/>
              <w:start w:w="110" w:type="dxa"/>
              <w:bottom w:w="100" w:type="dxa"/>
              <w:end w:w="110" w:type="dxa"/>
            </w:tcMar>
          </w:tcPr>
          <w:p>
            <w:pPr>
              <w:jc w:val="center"/>
            </w:pPr>
            <w:r/>
            <w:r>
              <w:rPr>
                <w:b/>
                <w:color w:val="FFFFFF"/>
                <w:sz w:val="16"/>
              </w:rPr>
              <w:t>Economic consequence</w:t>
            </w:r>
          </w:p>
        </w:tc>
      </w:tr>
      <w:tr>
        <w:trPr>
          <w:cantSplit/>
        </w:trPr>
        <w:tc>
          <w:tcPr>
            <w:tcW w:type="dxa" w:w="2880"/>
            <w:vAlign w:val="center"/>
            <w:tcMar>
              <w:top w:w="90" w:type="dxa"/>
              <w:start w:w="100" w:type="dxa"/>
              <w:bottom w:w="90" w:type="dxa"/>
              <w:end w:w="100" w:type="dxa"/>
            </w:tcMar>
          </w:tcPr>
          <w:p>
            <w:pPr>
              <w:spacing w:after="0" w:line="240" w:lineRule="auto"/>
            </w:pPr>
            <w:r/>
            <w:r>
              <w:rPr>
                <w:color w:val="232D34"/>
                <w:sz w:val="16"/>
              </w:rPr>
              <w:t>Sponsor pays high purchase multiple</w:t>
            </w:r>
          </w:p>
        </w:tc>
        <w:tc>
          <w:tcPr>
            <w:tcW w:type="dxa" w:w="1584"/>
            <w:vAlign w:val="center"/>
            <w:tcMar>
              <w:top w:w="90" w:type="dxa"/>
              <w:start w:w="100" w:type="dxa"/>
              <w:bottom w:w="90" w:type="dxa"/>
              <w:end w:w="100" w:type="dxa"/>
            </w:tcMar>
          </w:tcPr>
          <w:p>
            <w:pPr>
              <w:spacing w:after="0" w:line="240" w:lineRule="auto"/>
              <w:jc w:val="center"/>
            </w:pPr>
            <w:r/>
            <w:r>
              <w:rPr>
                <w:color w:val="232D34"/>
                <w:sz w:val="16"/>
              </w:rPr>
              <w:t>2020–2022</w:t>
            </w:r>
          </w:p>
        </w:tc>
        <w:tc>
          <w:tcPr>
            <w:tcW w:type="dxa" w:w="5976"/>
            <w:vAlign w:val="center"/>
            <w:tcMar>
              <w:top w:w="90" w:type="dxa"/>
              <w:start w:w="100" w:type="dxa"/>
              <w:bottom w:w="90" w:type="dxa"/>
              <w:end w:w="100" w:type="dxa"/>
            </w:tcMar>
          </w:tcPr>
          <w:p>
            <w:pPr>
              <w:spacing w:after="0" w:line="240" w:lineRule="auto"/>
            </w:pPr>
            <w:r/>
            <w:r>
              <w:rPr>
                <w:color w:val="232D34"/>
                <w:sz w:val="16"/>
              </w:rPr>
              <w:t>Equity return requires sustained ARR growth and stable exit multiple</w:t>
            </w:r>
          </w:p>
        </w:tc>
      </w:tr>
      <w:tr>
        <w:trPr>
          <w:cantSplit/>
        </w:trPr>
        <w:tc>
          <w:tcPr>
            <w:tcW w:type="dxa" w:w="2880"/>
            <w:vAlign w:val="center"/>
            <w:tcMar>
              <w:top w:w="90" w:type="dxa"/>
              <w:start w:w="100" w:type="dxa"/>
              <w:bottom w:w="90" w:type="dxa"/>
              <w:end w:w="100" w:type="dxa"/>
            </w:tcMar>
            <w:shd w:fill="F5F7F8"/>
          </w:tcPr>
          <w:p>
            <w:pPr>
              <w:spacing w:after="0" w:line="240" w:lineRule="auto"/>
            </w:pPr>
            <w:r/>
            <w:r>
              <w:rPr>
                <w:color w:val="232D34"/>
                <w:sz w:val="16"/>
              </w:rPr>
              <w:t>Private lenders fund acquisition</w:t>
            </w:r>
          </w:p>
        </w:tc>
        <w:tc>
          <w:tcPr>
            <w:tcW w:type="dxa" w:w="1584"/>
            <w:vAlign w:val="center"/>
            <w:tcMar>
              <w:top w:w="90" w:type="dxa"/>
              <w:start w:w="100" w:type="dxa"/>
              <w:bottom w:w="90" w:type="dxa"/>
              <w:end w:w="100" w:type="dxa"/>
            </w:tcMar>
            <w:shd w:fill="F5F7F8"/>
          </w:tcPr>
          <w:p>
            <w:pPr>
              <w:spacing w:after="0" w:line="240" w:lineRule="auto"/>
              <w:jc w:val="center"/>
            </w:pPr>
            <w:r/>
            <w:r>
              <w:rPr>
                <w:color w:val="232D34"/>
                <w:sz w:val="16"/>
              </w:rPr>
              <w:t>Low-rate period</w:t>
            </w:r>
          </w:p>
        </w:tc>
        <w:tc>
          <w:tcPr>
            <w:tcW w:type="dxa" w:w="5976"/>
            <w:vAlign w:val="center"/>
            <w:tcMar>
              <w:top w:w="90" w:type="dxa"/>
              <w:start w:w="100" w:type="dxa"/>
              <w:bottom w:w="90" w:type="dxa"/>
              <w:end w:w="100" w:type="dxa"/>
            </w:tcMar>
            <w:shd w:fill="F5F7F8"/>
          </w:tcPr>
          <w:p>
            <w:pPr>
              <w:spacing w:after="0" w:line="240" w:lineRule="auto"/>
            </w:pPr>
            <w:r/>
            <w:r>
              <w:rPr>
                <w:color w:val="232D34"/>
                <w:sz w:val="16"/>
              </w:rPr>
              <w:t>Floating-rate debt appears manageable at low base rates</w:t>
            </w:r>
          </w:p>
        </w:tc>
      </w:tr>
      <w:tr>
        <w:trPr>
          <w:cantSplit/>
        </w:trPr>
        <w:tc>
          <w:tcPr>
            <w:tcW w:type="dxa" w:w="2880"/>
            <w:vAlign w:val="center"/>
            <w:tcMar>
              <w:top w:w="90" w:type="dxa"/>
              <w:start w:w="100" w:type="dxa"/>
              <w:bottom w:w="90" w:type="dxa"/>
              <w:end w:w="100" w:type="dxa"/>
            </w:tcMar>
          </w:tcPr>
          <w:p>
            <w:pPr>
              <w:spacing w:after="0" w:line="240" w:lineRule="auto"/>
            </w:pPr>
            <w:r/>
            <w:r>
              <w:rPr>
                <w:color w:val="232D34"/>
                <w:sz w:val="16"/>
              </w:rPr>
              <w:t>Rates rise / AI reprices product</w:t>
            </w:r>
          </w:p>
        </w:tc>
        <w:tc>
          <w:tcPr>
            <w:tcW w:type="dxa" w:w="1584"/>
            <w:vAlign w:val="center"/>
            <w:tcMar>
              <w:top w:w="90" w:type="dxa"/>
              <w:start w:w="100" w:type="dxa"/>
              <w:bottom w:w="90" w:type="dxa"/>
              <w:end w:w="100" w:type="dxa"/>
            </w:tcMar>
          </w:tcPr>
          <w:p>
            <w:pPr>
              <w:spacing w:after="0" w:line="240" w:lineRule="auto"/>
              <w:jc w:val="center"/>
            </w:pPr>
            <w:r/>
            <w:r>
              <w:rPr>
                <w:color w:val="232D34"/>
                <w:sz w:val="16"/>
              </w:rPr>
              <w:t>2023–2026</w:t>
            </w:r>
          </w:p>
        </w:tc>
        <w:tc>
          <w:tcPr>
            <w:tcW w:type="dxa" w:w="5976"/>
            <w:vAlign w:val="center"/>
            <w:tcMar>
              <w:top w:w="90" w:type="dxa"/>
              <w:start w:w="100" w:type="dxa"/>
              <w:bottom w:w="90" w:type="dxa"/>
              <w:end w:w="100" w:type="dxa"/>
            </w:tcMar>
          </w:tcPr>
          <w:p>
            <w:pPr>
              <w:spacing w:after="0" w:line="240" w:lineRule="auto"/>
            </w:pPr>
            <w:r/>
            <w:r>
              <w:rPr>
                <w:color w:val="232D34"/>
                <w:sz w:val="16"/>
              </w:rPr>
              <w:t>Interest coverage compresses while revenue durability is questioned</w:t>
            </w:r>
          </w:p>
        </w:tc>
      </w:tr>
      <w:tr>
        <w:trPr>
          <w:cantSplit/>
        </w:trPr>
        <w:tc>
          <w:tcPr>
            <w:tcW w:type="dxa" w:w="2880"/>
            <w:vAlign w:val="center"/>
            <w:tcMar>
              <w:top w:w="90" w:type="dxa"/>
              <w:start w:w="100" w:type="dxa"/>
              <w:bottom w:w="90" w:type="dxa"/>
              <w:end w:w="100" w:type="dxa"/>
            </w:tcMar>
            <w:shd w:fill="F5F7F8"/>
          </w:tcPr>
          <w:p>
            <w:pPr>
              <w:spacing w:after="0" w:line="240" w:lineRule="auto"/>
            </w:pPr>
            <w:r/>
            <w:r>
              <w:rPr>
                <w:color w:val="232D34"/>
                <w:sz w:val="16"/>
              </w:rPr>
              <w:t>PIK and amendments increase</w:t>
            </w:r>
          </w:p>
        </w:tc>
        <w:tc>
          <w:tcPr>
            <w:tcW w:type="dxa" w:w="1584"/>
            <w:vAlign w:val="center"/>
            <w:tcMar>
              <w:top w:w="90" w:type="dxa"/>
              <w:start w:w="100" w:type="dxa"/>
              <w:bottom w:w="90" w:type="dxa"/>
              <w:end w:w="100" w:type="dxa"/>
            </w:tcMar>
            <w:shd w:fill="F5F7F8"/>
          </w:tcPr>
          <w:p>
            <w:pPr>
              <w:spacing w:after="0" w:line="240" w:lineRule="auto"/>
              <w:jc w:val="center"/>
            </w:pPr>
            <w:r/>
            <w:r>
              <w:rPr>
                <w:color w:val="232D34"/>
                <w:sz w:val="16"/>
              </w:rPr>
              <w:t>Pre-workout</w:t>
            </w:r>
          </w:p>
        </w:tc>
        <w:tc>
          <w:tcPr>
            <w:tcW w:type="dxa" w:w="5976"/>
            <w:vAlign w:val="center"/>
            <w:tcMar>
              <w:top w:w="90" w:type="dxa"/>
              <w:start w:w="100" w:type="dxa"/>
              <w:bottom w:w="90" w:type="dxa"/>
              <w:end w:w="100" w:type="dxa"/>
            </w:tcMar>
            <w:shd w:fill="F5F7F8"/>
          </w:tcPr>
          <w:p>
            <w:pPr>
              <w:spacing w:after="0" w:line="240" w:lineRule="auto"/>
            </w:pPr>
            <w:r/>
            <w:r>
              <w:rPr>
                <w:color w:val="232D34"/>
                <w:sz w:val="16"/>
              </w:rPr>
              <w:t>Cash interest may be reduced, but principal claim grows</w:t>
            </w:r>
          </w:p>
        </w:tc>
      </w:tr>
      <w:tr>
        <w:trPr>
          <w:cantSplit/>
        </w:trPr>
        <w:tc>
          <w:tcPr>
            <w:tcW w:type="dxa" w:w="2880"/>
            <w:vAlign w:val="center"/>
            <w:tcMar>
              <w:top w:w="90" w:type="dxa"/>
              <w:start w:w="100" w:type="dxa"/>
              <w:bottom w:w="90" w:type="dxa"/>
              <w:end w:w="100" w:type="dxa"/>
            </w:tcMar>
          </w:tcPr>
          <w:p>
            <w:pPr>
              <w:spacing w:after="0" w:line="240" w:lineRule="auto"/>
            </w:pPr>
            <w:r/>
            <w:r>
              <w:rPr>
                <w:color w:val="232D34"/>
                <w:sz w:val="16"/>
              </w:rPr>
              <w:t>Refinance at 8%–10%+ or restructure</w:t>
            </w:r>
          </w:p>
        </w:tc>
        <w:tc>
          <w:tcPr>
            <w:tcW w:type="dxa" w:w="1584"/>
            <w:vAlign w:val="center"/>
            <w:tcMar>
              <w:top w:w="90" w:type="dxa"/>
              <w:start w:w="100" w:type="dxa"/>
              <w:bottom w:w="90" w:type="dxa"/>
              <w:end w:w="100" w:type="dxa"/>
            </w:tcMar>
          </w:tcPr>
          <w:p>
            <w:pPr>
              <w:spacing w:after="0" w:line="240" w:lineRule="auto"/>
              <w:jc w:val="center"/>
            </w:pPr>
            <w:r/>
            <w:r>
              <w:rPr>
                <w:color w:val="232D34"/>
                <w:sz w:val="16"/>
              </w:rPr>
              <w:t>Current</w:t>
            </w:r>
          </w:p>
        </w:tc>
        <w:tc>
          <w:tcPr>
            <w:tcW w:type="dxa" w:w="5976"/>
            <w:vAlign w:val="center"/>
            <w:tcMar>
              <w:top w:w="90" w:type="dxa"/>
              <w:start w:w="100" w:type="dxa"/>
              <w:bottom w:w="90" w:type="dxa"/>
              <w:end w:w="100" w:type="dxa"/>
            </w:tcMar>
          </w:tcPr>
          <w:p>
            <w:pPr>
              <w:spacing w:after="0" w:line="240" w:lineRule="auto"/>
            </w:pPr>
            <w:r/>
            <w:r>
              <w:rPr>
                <w:color w:val="232D34"/>
                <w:sz w:val="16"/>
              </w:rPr>
              <w:t>Equity value is impaired; lenders extend maturity or take ownership</w:t>
            </w:r>
          </w:p>
        </w:tc>
      </w:tr>
      <w:tr>
        <w:trPr>
          <w:cantSplit/>
        </w:trPr>
        <w:tc>
          <w:tcPr>
            <w:tcW w:type="dxa" w:w="2880"/>
            <w:vAlign w:val="center"/>
            <w:tcMar>
              <w:top w:w="90" w:type="dxa"/>
              <w:start w:w="100" w:type="dxa"/>
              <w:bottom w:w="90" w:type="dxa"/>
              <w:end w:w="100" w:type="dxa"/>
            </w:tcMar>
            <w:shd w:fill="F5F7F8"/>
          </w:tcPr>
          <w:p>
            <w:pPr>
              <w:spacing w:after="0" w:line="240" w:lineRule="auto"/>
            </w:pPr>
            <w:r/>
            <w:r>
              <w:rPr>
                <w:color w:val="232D34"/>
                <w:sz w:val="16"/>
              </w:rPr>
              <w:t>Manager raises AI infrastructure fund</w:t>
            </w:r>
          </w:p>
        </w:tc>
        <w:tc>
          <w:tcPr>
            <w:tcW w:type="dxa" w:w="1584"/>
            <w:vAlign w:val="center"/>
            <w:tcMar>
              <w:top w:w="90" w:type="dxa"/>
              <w:start w:w="100" w:type="dxa"/>
              <w:bottom w:w="90" w:type="dxa"/>
              <w:end w:w="100" w:type="dxa"/>
            </w:tcMar>
            <w:shd w:fill="F5F7F8"/>
          </w:tcPr>
          <w:p>
            <w:pPr>
              <w:spacing w:after="0" w:line="240" w:lineRule="auto"/>
              <w:jc w:val="center"/>
            </w:pPr>
            <w:r/>
            <w:r>
              <w:rPr>
                <w:color w:val="232D34"/>
                <w:sz w:val="16"/>
              </w:rPr>
              <w:t>Parallel shift</w:t>
            </w:r>
          </w:p>
        </w:tc>
        <w:tc>
          <w:tcPr>
            <w:tcW w:type="dxa" w:w="5976"/>
            <w:vAlign w:val="center"/>
            <w:tcMar>
              <w:top w:w="90" w:type="dxa"/>
              <w:start w:w="100" w:type="dxa"/>
              <w:bottom w:w="90" w:type="dxa"/>
              <w:end w:w="100" w:type="dxa"/>
            </w:tcMar>
            <w:shd w:fill="F5F7F8"/>
          </w:tcPr>
          <w:p>
            <w:pPr>
              <w:spacing w:after="0" w:line="240" w:lineRule="auto"/>
            </w:pPr>
            <w:r/>
            <w:r>
              <w:rPr>
                <w:color w:val="232D34"/>
                <w:sz w:val="16"/>
              </w:rPr>
              <w:t>Capital moves from legacy software loans into longer-duration real assets</w:t>
            </w:r>
          </w:p>
        </w:tc>
      </w:tr>
    </w:tbl>
    <w:p>
      <w:pPr>
        <w:spacing w:after="20"/>
      </w:pPr>
    </w:p>
    <w:p>
      <w:pPr>
        <w:pStyle w:val="Heading1"/>
        <w:keepNext/>
      </w:pPr>
      <w:r>
        <w:t>7. AI spender capital chains</w:t>
      </w:r>
    </w:p>
    <w:p>
      <w:pPr>
        <w:spacing w:after="100" w:line="259" w:lineRule="auto"/>
      </w:pPr>
      <w:r>
        <w:t>The following table keeps mutually overlapping obligation categories separate. “Direct debt” is not added to “uncommenced leases” or “purchase commitments” to produce a single debt number. Each category answers a different question.</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1694"/>
        <w:gridCol w:w="1694"/>
        <w:gridCol w:w="1694"/>
        <w:gridCol w:w="1694"/>
        <w:gridCol w:w="1694"/>
        <w:gridCol w:w="1694"/>
      </w:tblGrid>
      <w:tr>
        <w:trPr>
          <w:tblHeader w:val="true"/>
        </w:trPr>
        <w:tc>
          <w:tcPr>
            <w:tcW w:type="dxa" w:w="1123"/>
            <w:shd w:fill="17324D"/>
            <w:vAlign w:val="center"/>
            <w:tcMar>
              <w:top w:w="100" w:type="dxa"/>
              <w:start w:w="110" w:type="dxa"/>
              <w:bottom w:w="100" w:type="dxa"/>
              <w:end w:w="110" w:type="dxa"/>
            </w:tcMar>
          </w:tcPr>
          <w:p>
            <w:pPr>
              <w:jc w:val="center"/>
            </w:pPr>
            <w:r/>
            <w:r>
              <w:rPr>
                <w:b/>
                <w:color w:val="FFFFFF"/>
                <w:sz w:val="13"/>
              </w:rPr>
              <w:t>Company</w:t>
            </w:r>
          </w:p>
        </w:tc>
        <w:tc>
          <w:tcPr>
            <w:tcW w:type="dxa" w:w="1655"/>
            <w:shd w:fill="17324D"/>
            <w:vAlign w:val="center"/>
            <w:tcMar>
              <w:top w:w="100" w:type="dxa"/>
              <w:start w:w="110" w:type="dxa"/>
              <w:bottom w:w="100" w:type="dxa"/>
              <w:end w:w="110" w:type="dxa"/>
            </w:tcMar>
          </w:tcPr>
          <w:p>
            <w:pPr>
              <w:jc w:val="center"/>
            </w:pPr>
            <w:r/>
            <w:r>
              <w:rPr>
                <w:b/>
                <w:color w:val="FFFFFF"/>
                <w:sz w:val="13"/>
              </w:rPr>
              <w:t>Direct debt / debt service</w:t>
            </w:r>
          </w:p>
        </w:tc>
        <w:tc>
          <w:tcPr>
            <w:tcW w:type="dxa" w:w="2015"/>
            <w:shd w:fill="17324D"/>
            <w:vAlign w:val="center"/>
            <w:tcMar>
              <w:top w:w="100" w:type="dxa"/>
              <w:start w:w="110" w:type="dxa"/>
              <w:bottom w:w="100" w:type="dxa"/>
              <w:end w:w="110" w:type="dxa"/>
            </w:tcMar>
          </w:tcPr>
          <w:p>
            <w:pPr>
              <w:jc w:val="center"/>
            </w:pPr>
            <w:r/>
            <w:r>
              <w:rPr>
                <w:b/>
                <w:color w:val="FFFFFF"/>
                <w:sz w:val="13"/>
              </w:rPr>
              <w:t>Recognized or uncommenced leases</w:t>
            </w:r>
          </w:p>
        </w:tc>
        <w:tc>
          <w:tcPr>
            <w:tcW w:type="dxa" w:w="2736"/>
            <w:shd w:fill="17324D"/>
            <w:vAlign w:val="center"/>
            <w:tcMar>
              <w:top w:w="100" w:type="dxa"/>
              <w:start w:w="110" w:type="dxa"/>
              <w:bottom w:w="100" w:type="dxa"/>
              <w:end w:w="110" w:type="dxa"/>
            </w:tcMar>
          </w:tcPr>
          <w:p>
            <w:pPr>
              <w:jc w:val="center"/>
            </w:pPr>
            <w:r/>
            <w:r>
              <w:rPr>
                <w:b/>
                <w:color w:val="FFFFFF"/>
                <w:sz w:val="13"/>
              </w:rPr>
              <w:t>Purchase, guarantee and other commitments</w:t>
            </w:r>
          </w:p>
        </w:tc>
        <w:tc>
          <w:tcPr>
            <w:tcW w:type="dxa" w:w="2232"/>
            <w:shd w:fill="17324D"/>
            <w:vAlign w:val="center"/>
            <w:tcMar>
              <w:top w:w="100" w:type="dxa"/>
              <w:start w:w="110" w:type="dxa"/>
              <w:bottom w:w="100" w:type="dxa"/>
              <w:end w:w="110" w:type="dxa"/>
            </w:tcMar>
          </w:tcPr>
          <w:p>
            <w:pPr>
              <w:jc w:val="center"/>
            </w:pPr>
            <w:r/>
            <w:r>
              <w:rPr>
                <w:b/>
                <w:color w:val="FFFFFF"/>
                <w:sz w:val="13"/>
              </w:rPr>
              <w:t>Structured capital chain</w:t>
            </w:r>
          </w:p>
        </w:tc>
        <w:tc>
          <w:tcPr>
            <w:tcW w:type="dxa" w:w="648"/>
            <w:shd w:fill="17324D"/>
            <w:vAlign w:val="center"/>
            <w:tcMar>
              <w:top w:w="100" w:type="dxa"/>
              <w:start w:w="110" w:type="dxa"/>
              <w:bottom w:w="100" w:type="dxa"/>
              <w:end w:w="110" w:type="dxa"/>
            </w:tcMar>
          </w:tcPr>
          <w:p>
            <w:pPr>
              <w:jc w:val="center"/>
            </w:pPr>
            <w:r/>
            <w:r>
              <w:rPr>
                <w:b/>
                <w:color w:val="FFFFFF"/>
                <w:sz w:val="13"/>
              </w:rPr>
              <w:t>Source</w:t>
            </w:r>
          </w:p>
        </w:tc>
      </w:tr>
      <w:tr>
        <w:trPr>
          <w:cantSplit/>
        </w:trPr>
        <w:tc>
          <w:tcPr>
            <w:tcW w:type="dxa" w:w="1123"/>
            <w:vAlign w:val="center"/>
            <w:tcMar>
              <w:top w:w="90" w:type="dxa"/>
              <w:start w:w="100" w:type="dxa"/>
              <w:bottom w:w="90" w:type="dxa"/>
              <w:end w:w="100" w:type="dxa"/>
            </w:tcMar>
          </w:tcPr>
          <w:p>
            <w:pPr>
              <w:spacing w:after="0" w:line="240" w:lineRule="auto"/>
            </w:pPr>
            <w:r/>
            <w:r>
              <w:rPr>
                <w:color w:val="232D34"/>
                <w:sz w:val="13"/>
              </w:rPr>
              <w:t>Meta</w:t>
            </w:r>
          </w:p>
        </w:tc>
        <w:tc>
          <w:tcPr>
            <w:tcW w:type="dxa" w:w="1655"/>
            <w:vAlign w:val="center"/>
            <w:tcMar>
              <w:top w:w="90" w:type="dxa"/>
              <w:start w:w="100" w:type="dxa"/>
              <w:bottom w:w="90" w:type="dxa"/>
              <w:end w:w="100" w:type="dxa"/>
            </w:tcMar>
          </w:tcPr>
          <w:p>
            <w:pPr>
              <w:spacing w:after="0" w:line="240" w:lineRule="auto"/>
            </w:pPr>
            <w:r/>
            <w:r>
              <w:rPr>
                <w:color w:val="232D34"/>
                <w:sz w:val="13"/>
              </w:rPr>
              <w:t>$84.0B note principal; $89.38B future interest</w:t>
            </w:r>
          </w:p>
        </w:tc>
        <w:tc>
          <w:tcPr>
            <w:tcW w:type="dxa" w:w="2015"/>
            <w:vAlign w:val="center"/>
            <w:tcMar>
              <w:top w:w="90" w:type="dxa"/>
              <w:start w:w="100" w:type="dxa"/>
              <w:bottom w:w="90" w:type="dxa"/>
              <w:end w:w="100" w:type="dxa"/>
            </w:tcMar>
          </w:tcPr>
          <w:p>
            <w:pPr>
              <w:spacing w:after="0" w:line="240" w:lineRule="auto"/>
            </w:pPr>
            <w:r/>
            <w:r>
              <w:rPr>
                <w:color w:val="232D34"/>
                <w:sz w:val="13"/>
              </w:rPr>
              <w:t>$278.99B uncommenced leases + $68B signed after quarter</w:t>
            </w:r>
          </w:p>
        </w:tc>
        <w:tc>
          <w:tcPr>
            <w:tcW w:type="dxa" w:w="2736"/>
            <w:vAlign w:val="center"/>
            <w:tcMar>
              <w:top w:w="90" w:type="dxa"/>
              <w:start w:w="100" w:type="dxa"/>
              <w:bottom w:w="90" w:type="dxa"/>
              <w:end w:w="100" w:type="dxa"/>
            </w:tcMar>
          </w:tcPr>
          <w:p>
            <w:pPr>
              <w:spacing w:after="0" w:line="240" w:lineRule="auto"/>
            </w:pPr>
            <w:r/>
            <w:r>
              <w:rPr>
                <w:color w:val="232D34"/>
                <w:sz w:val="13"/>
              </w:rPr>
              <w:t>$349.31B noncancelable commitments; up to $14.72B contingent cloud capacity; $10.80B restricted cash</w:t>
            </w:r>
          </w:p>
        </w:tc>
        <w:tc>
          <w:tcPr>
            <w:tcW w:type="dxa" w:w="2232"/>
            <w:vAlign w:val="center"/>
            <w:tcMar>
              <w:top w:w="90" w:type="dxa"/>
              <w:start w:w="100" w:type="dxa"/>
              <w:bottom w:w="90" w:type="dxa"/>
              <w:end w:w="100" w:type="dxa"/>
            </w:tcMar>
          </w:tcPr>
          <w:p>
            <w:pPr>
              <w:spacing w:after="0" w:line="240" w:lineRule="auto"/>
            </w:pPr>
            <w:r/>
            <w:r>
              <w:rPr>
                <w:color w:val="232D34"/>
                <w:sz w:val="13"/>
              </w:rPr>
              <w:t>Blue Owl/PIMCO Hyperion; BlackRock/GIP/HPS El Paso; Meta residual-value guarantees and master leases</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S10,S11</w:t>
            </w:r>
          </w:p>
        </w:tc>
      </w:tr>
      <w:tr>
        <w:trPr>
          <w:cantSplit/>
        </w:trPr>
        <w:tc>
          <w:tcPr>
            <w:tcW w:type="dxa" w:w="1123"/>
            <w:vAlign w:val="center"/>
            <w:tcMar>
              <w:top w:w="90" w:type="dxa"/>
              <w:start w:w="100" w:type="dxa"/>
              <w:bottom w:w="90" w:type="dxa"/>
              <w:end w:w="100" w:type="dxa"/>
            </w:tcMar>
            <w:shd w:fill="F5F7F8"/>
          </w:tcPr>
          <w:p>
            <w:pPr>
              <w:spacing w:after="0" w:line="240" w:lineRule="auto"/>
            </w:pPr>
            <w:r/>
            <w:r>
              <w:rPr>
                <w:color w:val="232D34"/>
                <w:sz w:val="13"/>
              </w:rPr>
              <w:t>Alphabet / Google</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Long-term debt reported in filing; focus here is contingent architecture</w:t>
            </w:r>
          </w:p>
        </w:tc>
        <w:tc>
          <w:tcPr>
            <w:tcW w:type="dxa" w:w="2015"/>
            <w:vAlign w:val="center"/>
            <w:tcMar>
              <w:top w:w="90" w:type="dxa"/>
              <w:start w:w="100" w:type="dxa"/>
              <w:bottom w:w="90" w:type="dxa"/>
              <w:end w:w="100" w:type="dxa"/>
            </w:tcMar>
            <w:shd w:fill="F5F7F8"/>
          </w:tcPr>
          <w:p>
            <w:pPr>
              <w:spacing w:after="0" w:line="240" w:lineRule="auto"/>
            </w:pPr>
            <w:r/>
            <w:r>
              <w:rPr>
                <w:color w:val="232D34"/>
                <w:sz w:val="13"/>
              </w:rPr>
              <w:t>Commitments embedded in broader obligations rather than one simple lease total</w:t>
            </w:r>
          </w:p>
        </w:tc>
        <w:tc>
          <w:tcPr>
            <w:tcW w:type="dxa" w:w="2736"/>
            <w:vAlign w:val="center"/>
            <w:tcMar>
              <w:top w:w="90" w:type="dxa"/>
              <w:start w:w="100" w:type="dxa"/>
              <w:bottom w:w="90" w:type="dxa"/>
              <w:end w:w="100" w:type="dxa"/>
            </w:tcMar>
            <w:shd w:fill="F5F7F8"/>
          </w:tcPr>
          <w:p>
            <w:pPr>
              <w:spacing w:after="0" w:line="240" w:lineRule="auto"/>
            </w:pPr>
            <w:r/>
            <w:r>
              <w:rPr>
                <w:color w:val="232D34"/>
                <w:sz w:val="13"/>
              </w:rPr>
              <w:t>$811.0B purchase and contractual obligations; $707.0B energy/service subset; $7.6B guarantees; $43.785B credit-derivative/backstop notional; estimated $24.1B future backstops; $20B contingent capital commitment</w:t>
            </w:r>
          </w:p>
        </w:tc>
        <w:tc>
          <w:tcPr>
            <w:tcW w:type="dxa" w:w="2232"/>
            <w:vAlign w:val="center"/>
            <w:tcMar>
              <w:top w:w="90" w:type="dxa"/>
              <w:start w:w="100" w:type="dxa"/>
              <w:bottom w:w="90" w:type="dxa"/>
              <w:end w:w="100" w:type="dxa"/>
            </w:tcMar>
            <w:shd w:fill="F5F7F8"/>
          </w:tcPr>
          <w:p>
            <w:pPr>
              <w:spacing w:after="0" w:line="240" w:lineRule="auto"/>
            </w:pPr>
            <w:r/>
            <w:r>
              <w:rPr>
                <w:color w:val="232D34"/>
                <w:sz w:val="13"/>
              </w:rPr>
              <w:t>Apollo/Blackstone/Broadcom Compute SPV; powered-site financings; Google backstops selected obligations</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S12,S13,S14</w:t>
            </w:r>
          </w:p>
        </w:tc>
      </w:tr>
      <w:tr>
        <w:trPr>
          <w:cantSplit/>
        </w:trPr>
        <w:tc>
          <w:tcPr>
            <w:tcW w:type="dxa" w:w="1123"/>
            <w:vAlign w:val="center"/>
            <w:tcMar>
              <w:top w:w="90" w:type="dxa"/>
              <w:start w:w="100" w:type="dxa"/>
              <w:bottom w:w="90" w:type="dxa"/>
              <w:end w:w="100" w:type="dxa"/>
            </w:tcMar>
          </w:tcPr>
          <w:p>
            <w:pPr>
              <w:spacing w:after="0" w:line="240" w:lineRule="auto"/>
            </w:pPr>
            <w:r/>
            <w:r>
              <w:rPr>
                <w:color w:val="232D34"/>
                <w:sz w:val="13"/>
              </w:rPr>
              <w:t>Amazon</w:t>
            </w:r>
          </w:p>
        </w:tc>
        <w:tc>
          <w:tcPr>
            <w:tcW w:type="dxa" w:w="1655"/>
            <w:vAlign w:val="center"/>
            <w:tcMar>
              <w:top w:w="90" w:type="dxa"/>
              <w:start w:w="100" w:type="dxa"/>
              <w:bottom w:w="90" w:type="dxa"/>
              <w:end w:w="100" w:type="dxa"/>
            </w:tcMar>
          </w:tcPr>
          <w:p>
            <w:pPr>
              <w:spacing w:after="0" w:line="240" w:lineRule="auto"/>
            </w:pPr>
            <w:r/>
            <w:r>
              <w:rPr>
                <w:color w:val="232D34"/>
                <w:sz w:val="13"/>
              </w:rPr>
              <w:t>$203.54B debt principal + interest commitments at Mar. 31, 2026</w:t>
            </w:r>
          </w:p>
        </w:tc>
        <w:tc>
          <w:tcPr>
            <w:tcW w:type="dxa" w:w="2015"/>
            <w:vAlign w:val="center"/>
            <w:tcMar>
              <w:top w:w="90" w:type="dxa"/>
              <w:start w:w="100" w:type="dxa"/>
              <w:bottom w:w="90" w:type="dxa"/>
              <w:end w:w="100" w:type="dxa"/>
            </w:tcMar>
          </w:tcPr>
          <w:p>
            <w:pPr>
              <w:spacing w:after="0" w:line="240" w:lineRule="auto"/>
            </w:pPr>
            <w:r/>
            <w:r>
              <w:rPr>
                <w:color w:val="232D34"/>
                <w:sz w:val="13"/>
              </w:rPr>
              <w:t>$110.14B operating lease liabilities; $16.50B finance lease liabilities; $106.35B uncommenced leases</w:t>
            </w:r>
          </w:p>
        </w:tc>
        <w:tc>
          <w:tcPr>
            <w:tcW w:type="dxa" w:w="2736"/>
            <w:vAlign w:val="center"/>
            <w:tcMar>
              <w:top w:w="90" w:type="dxa"/>
              <w:start w:w="100" w:type="dxa"/>
              <w:bottom w:w="90" w:type="dxa"/>
              <w:end w:w="100" w:type="dxa"/>
            </w:tcMar>
          </w:tcPr>
          <w:p>
            <w:pPr>
              <w:spacing w:after="0" w:line="240" w:lineRule="auto"/>
            </w:pPr>
            <w:r/>
            <w:r>
              <w:rPr>
                <w:color w:val="232D34"/>
                <w:sz w:val="13"/>
              </w:rPr>
              <w:t>$103.77B unconditional purchases; $18.81B other commitments; $569.28B total contractual commitments</w:t>
            </w:r>
          </w:p>
        </w:tc>
        <w:tc>
          <w:tcPr>
            <w:tcW w:type="dxa" w:w="2232"/>
            <w:vAlign w:val="center"/>
            <w:tcMar>
              <w:top w:w="90" w:type="dxa"/>
              <w:start w:w="100" w:type="dxa"/>
              <w:bottom w:w="90" w:type="dxa"/>
              <w:end w:w="100" w:type="dxa"/>
            </w:tcMar>
          </w:tcPr>
          <w:p>
            <w:pPr>
              <w:spacing w:after="0" w:line="240" w:lineRule="auto"/>
            </w:pPr>
            <w:r/>
            <w:r>
              <w:rPr>
                <w:color w:val="232D34"/>
                <w:sz w:val="13"/>
              </w:rPr>
              <w:t>OpenAI equity commitment; AWS purchase commitments from OpenAI/Anthropic; paper gains on private-company marks</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S16,S17,S18,S19</w:t>
            </w:r>
          </w:p>
        </w:tc>
      </w:tr>
      <w:tr>
        <w:trPr>
          <w:cantSplit/>
        </w:trPr>
        <w:tc>
          <w:tcPr>
            <w:tcW w:type="dxa" w:w="1123"/>
            <w:vAlign w:val="center"/>
            <w:tcMar>
              <w:top w:w="90" w:type="dxa"/>
              <w:start w:w="100" w:type="dxa"/>
              <w:bottom w:w="90" w:type="dxa"/>
              <w:end w:w="100" w:type="dxa"/>
            </w:tcMar>
            <w:shd w:fill="F5F7F8"/>
          </w:tcPr>
          <w:p>
            <w:pPr>
              <w:spacing w:after="0" w:line="240" w:lineRule="auto"/>
            </w:pPr>
            <w:r/>
            <w:r>
              <w:rPr>
                <w:color w:val="232D34"/>
                <w:sz w:val="13"/>
              </w:rPr>
              <w:t>Oracle</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$42.7B FY2026 senior-note proceeds; $5.0B mandatory-convertible preferred; $3.3B short-term capex financing</w:t>
            </w:r>
          </w:p>
        </w:tc>
        <w:tc>
          <w:tcPr>
            <w:tcW w:type="dxa" w:w="2015"/>
            <w:vAlign w:val="center"/>
            <w:tcMar>
              <w:top w:w="90" w:type="dxa"/>
              <w:start w:w="100" w:type="dxa"/>
              <w:bottom w:w="90" w:type="dxa"/>
              <w:end w:w="100" w:type="dxa"/>
            </w:tcMar>
            <w:shd w:fill="F5F7F8"/>
          </w:tcPr>
          <w:p>
            <w:pPr>
              <w:spacing w:after="0" w:line="240" w:lineRule="auto"/>
            </w:pPr>
            <w:r/>
            <w:r>
              <w:rPr>
                <w:color w:val="232D34"/>
                <w:sz w:val="13"/>
              </w:rPr>
              <w:t>Large data-center site and equipment commitments; disclosed through capex, RPO and financing plan</w:t>
            </w:r>
          </w:p>
        </w:tc>
        <w:tc>
          <w:tcPr>
            <w:tcW w:type="dxa" w:w="2736"/>
            <w:vAlign w:val="center"/>
            <w:tcMar>
              <w:top w:w="90" w:type="dxa"/>
              <w:start w:w="100" w:type="dxa"/>
              <w:bottom w:w="90" w:type="dxa"/>
              <w:end w:w="100" w:type="dxa"/>
            </w:tcMar>
            <w:shd w:fill="F5F7F8"/>
          </w:tcPr>
          <w:p>
            <w:pPr>
              <w:spacing w:after="0" w:line="240" w:lineRule="auto"/>
            </w:pPr>
            <w:r/>
            <w:r>
              <w:rPr>
                <w:color w:val="232D34"/>
                <w:sz w:val="13"/>
              </w:rPr>
              <w:t>$55.66B FY2026 capex; -$23.69B FCF; $638B RPO; $75B prepayments/customer-supplied hardware portions; ~$40B FY2027 financing expected</w:t>
            </w:r>
          </w:p>
        </w:tc>
        <w:tc>
          <w:tcPr>
            <w:tcW w:type="dxa" w:w="2232"/>
            <w:vAlign w:val="center"/>
            <w:tcMar>
              <w:top w:w="90" w:type="dxa"/>
              <w:start w:w="100" w:type="dxa"/>
              <w:bottom w:w="90" w:type="dxa"/>
              <w:end w:w="100" w:type="dxa"/>
            </w:tcMar>
            <w:shd w:fill="F5F7F8"/>
          </w:tcPr>
          <w:p>
            <w:pPr>
              <w:spacing w:after="0" w:line="240" w:lineRule="auto"/>
            </w:pPr>
            <w:r/>
            <w:r>
              <w:rPr>
                <w:color w:val="232D34"/>
                <w:sz w:val="13"/>
              </w:rPr>
              <w:t>Direct issuer debt/equity; customer prepayments; reported OpenAI contract concentration</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S20,S21,S22,S23</w:t>
            </w:r>
          </w:p>
        </w:tc>
      </w:tr>
      <w:tr>
        <w:trPr>
          <w:cantSplit/>
        </w:trPr>
        <w:tc>
          <w:tcPr>
            <w:tcW w:type="dxa" w:w="1123"/>
            <w:vAlign w:val="center"/>
            <w:tcMar>
              <w:top w:w="90" w:type="dxa"/>
              <w:start w:w="100" w:type="dxa"/>
              <w:bottom w:w="90" w:type="dxa"/>
              <w:end w:w="100" w:type="dxa"/>
            </w:tcMar>
          </w:tcPr>
          <w:p>
            <w:pPr>
              <w:spacing w:after="0" w:line="240" w:lineRule="auto"/>
            </w:pPr>
            <w:r/>
            <w:r>
              <w:rPr>
                <w:color w:val="232D34"/>
                <w:sz w:val="13"/>
              </w:rPr>
              <w:t>Microsoft</w:t>
            </w:r>
          </w:p>
        </w:tc>
        <w:tc>
          <w:tcPr>
            <w:tcW w:type="dxa" w:w="1655"/>
            <w:vAlign w:val="center"/>
            <w:tcMar>
              <w:top w:w="90" w:type="dxa"/>
              <w:start w:w="100" w:type="dxa"/>
              <w:bottom w:w="90" w:type="dxa"/>
              <w:end w:w="100" w:type="dxa"/>
            </w:tcMar>
          </w:tcPr>
          <w:p>
            <w:pPr>
              <w:spacing w:after="0" w:line="240" w:lineRule="auto"/>
            </w:pPr>
            <w:r/>
            <w:r>
              <w:rPr>
                <w:color w:val="232D34"/>
                <w:sz w:val="13"/>
              </w:rPr>
              <w:t>$49.21B principal debt at Jun. 30, 2025; $40.26B current + long-term debt at Dec. 31, 2025</w:t>
            </w:r>
          </w:p>
        </w:tc>
        <w:tc>
          <w:tcPr>
            <w:tcW w:type="dxa" w:w="2015"/>
            <w:vAlign w:val="center"/>
            <w:tcMar>
              <w:top w:w="90" w:type="dxa"/>
              <w:start w:w="100" w:type="dxa"/>
              <w:bottom w:w="90" w:type="dxa"/>
              <w:end w:w="100" w:type="dxa"/>
            </w:tcMar>
          </w:tcPr>
          <w:p>
            <w:pPr>
              <w:spacing w:after="0" w:line="240" w:lineRule="auto"/>
            </w:pPr>
            <w:r/>
            <w:r>
              <w:rPr>
                <w:color w:val="232D34"/>
                <w:sz w:val="13"/>
              </w:rPr>
              <w:t>$22.24B operating + $62.93B finance lease liabilities at Mar. 31, 2026; $196.6B uncommenced leases</w:t>
            </w:r>
          </w:p>
        </w:tc>
        <w:tc>
          <w:tcPr>
            <w:tcW w:type="dxa" w:w="2736"/>
            <w:vAlign w:val="center"/>
            <w:tcMar>
              <w:top w:w="90" w:type="dxa"/>
              <w:start w:w="100" w:type="dxa"/>
              <w:bottom w:w="90" w:type="dxa"/>
              <w:end w:w="100" w:type="dxa"/>
            </w:tcMar>
          </w:tcPr>
          <w:p>
            <w:pPr>
              <w:spacing w:after="0" w:line="240" w:lineRule="auto"/>
            </w:pPr>
            <w:r/>
            <w:r>
              <w:rPr>
                <w:color w:val="232D34"/>
                <w:sz w:val="13"/>
              </w:rPr>
              <w:t>$190B calendar-2026 capex plan; &gt;$40B expected fiscal Q4 capex; $25B component-pricing impact</w:t>
            </w:r>
          </w:p>
        </w:tc>
        <w:tc>
          <w:tcPr>
            <w:tcW w:type="dxa" w:w="2232"/>
            <w:vAlign w:val="center"/>
            <w:tcMar>
              <w:top w:w="90" w:type="dxa"/>
              <w:start w:w="100" w:type="dxa"/>
              <w:bottom w:w="90" w:type="dxa"/>
              <w:end w:w="100" w:type="dxa"/>
            </w:tcMar>
          </w:tcPr>
          <w:p>
            <w:pPr>
              <w:spacing w:after="0" w:line="240" w:lineRule="auto"/>
            </w:pPr>
            <w:r/>
            <w:r>
              <w:rPr>
                <w:color w:val="232D34"/>
                <w:sz w:val="13"/>
              </w:rPr>
              <w:t>Finance leases move full asset value into capex when commenced; OpenAI/Azure commercial concentration</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S25,S26,S27,S47</w:t>
            </w:r>
          </w:p>
        </w:tc>
      </w:tr>
      <w:tr>
        <w:trPr>
          <w:cantSplit/>
        </w:trPr>
        <w:tc>
          <w:tcPr>
            <w:tcW w:type="dxa" w:w="1123"/>
            <w:vAlign w:val="center"/>
            <w:tcMar>
              <w:top w:w="90" w:type="dxa"/>
              <w:start w:w="100" w:type="dxa"/>
              <w:bottom w:w="90" w:type="dxa"/>
              <w:end w:w="100" w:type="dxa"/>
            </w:tcMar>
            <w:shd w:fill="F5F7F8"/>
          </w:tcPr>
          <w:p>
            <w:pPr>
              <w:spacing w:after="0" w:line="240" w:lineRule="auto"/>
            </w:pPr>
            <w:r/>
            <w:r>
              <w:rPr>
                <w:color w:val="232D34"/>
                <w:sz w:val="13"/>
              </w:rPr>
              <w:t>CoreWeave</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$11.2B indebtedness at Jun. 30, 2025; $3.7B undrawn availability</w:t>
            </w:r>
          </w:p>
        </w:tc>
        <w:tc>
          <w:tcPr>
            <w:tcW w:type="dxa" w:w="2015"/>
            <w:vAlign w:val="center"/>
            <w:tcMar>
              <w:top w:w="90" w:type="dxa"/>
              <w:start w:w="100" w:type="dxa"/>
              <w:bottom w:w="90" w:type="dxa"/>
              <w:end w:w="100" w:type="dxa"/>
            </w:tcMar>
            <w:shd w:fill="F5F7F8"/>
          </w:tcPr>
          <w:p>
            <w:pPr>
              <w:spacing w:after="0" w:line="240" w:lineRule="auto"/>
            </w:pPr>
            <w:r/>
            <w:r>
              <w:rPr>
                <w:color w:val="232D34"/>
                <w:sz w:val="13"/>
              </w:rPr>
              <w:t>Project-specific GPU and data-center facilities</w:t>
            </w:r>
          </w:p>
        </w:tc>
        <w:tc>
          <w:tcPr>
            <w:tcW w:type="dxa" w:w="2736"/>
            <w:vAlign w:val="center"/>
            <w:tcMar>
              <w:top w:w="90" w:type="dxa"/>
              <w:start w:w="100" w:type="dxa"/>
              <w:bottom w:w="90" w:type="dxa"/>
              <w:end w:w="100" w:type="dxa"/>
            </w:tcMar>
            <w:shd w:fill="F5F7F8"/>
          </w:tcPr>
          <w:p>
            <w:pPr>
              <w:spacing w:after="0" w:line="240" w:lineRule="auto"/>
            </w:pPr>
            <w:r/>
            <w:r>
              <w:rPr>
                <w:color w:val="232D34"/>
                <w:sz w:val="13"/>
              </w:rPr>
              <w:t>DDTL 1.0 up to $2.3B; DDTL 2.0 up to $7.6B; DDTL 3.0 up to $2.6B; reported $2.6B Anthropic-linked loan and $3.1B OpenAI-linked financing</w:t>
            </w:r>
          </w:p>
        </w:tc>
        <w:tc>
          <w:tcPr>
            <w:tcW w:type="dxa" w:w="2232"/>
            <w:vAlign w:val="center"/>
            <w:tcMar>
              <w:top w:w="90" w:type="dxa"/>
              <w:start w:w="100" w:type="dxa"/>
              <w:bottom w:w="90" w:type="dxa"/>
              <w:end w:w="100" w:type="dxa"/>
            </w:tcMar>
            <w:shd w:fill="F5F7F8"/>
          </w:tcPr>
          <w:p>
            <w:pPr>
              <w:spacing w:after="0" w:line="240" w:lineRule="auto"/>
            </w:pPr>
            <w:r/>
            <w:r>
              <w:rPr>
                <w:color w:val="232D34"/>
                <w:sz w:val="13"/>
              </w:rPr>
              <w:t>Subsidiary/SPV collateral pools, revenue lockboxes, customer-contract borrowing base</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S28,S29</w:t>
            </w:r>
          </w:p>
        </w:tc>
      </w:tr>
      <w:tr>
        <w:trPr>
          <w:cantSplit/>
        </w:trPr>
        <w:tc>
          <w:tcPr>
            <w:tcW w:type="dxa" w:w="1123"/>
            <w:vAlign w:val="center"/>
            <w:tcMar>
              <w:top w:w="90" w:type="dxa"/>
              <w:start w:w="100" w:type="dxa"/>
              <w:bottom w:w="90" w:type="dxa"/>
              <w:end w:w="100" w:type="dxa"/>
            </w:tcMar>
          </w:tcPr>
          <w:p>
            <w:pPr>
              <w:spacing w:after="0" w:line="240" w:lineRule="auto"/>
            </w:pPr>
            <w:r/>
            <w:r>
              <w:rPr>
                <w:color w:val="232D34"/>
                <w:sz w:val="13"/>
              </w:rPr>
              <w:t>xAI</w:t>
            </w:r>
          </w:p>
        </w:tc>
        <w:tc>
          <w:tcPr>
            <w:tcW w:type="dxa" w:w="1655"/>
            <w:vAlign w:val="center"/>
            <w:tcMar>
              <w:top w:w="90" w:type="dxa"/>
              <w:start w:w="100" w:type="dxa"/>
              <w:bottom w:w="90" w:type="dxa"/>
              <w:end w:w="100" w:type="dxa"/>
            </w:tcMar>
          </w:tcPr>
          <w:p>
            <w:pPr>
              <w:spacing w:after="0" w:line="240" w:lineRule="auto"/>
            </w:pPr>
            <w:r/>
            <w:r>
              <w:rPr>
                <w:color w:val="232D34"/>
                <w:sz w:val="13"/>
              </w:rPr>
              <w:t>Reported SPV contemplated $12.5B debt</w:t>
            </w:r>
          </w:p>
        </w:tc>
        <w:tc>
          <w:tcPr>
            <w:tcW w:type="dxa" w:w="2015"/>
            <w:vAlign w:val="center"/>
            <w:tcMar>
              <w:top w:w="90" w:type="dxa"/>
              <w:start w:w="100" w:type="dxa"/>
              <w:bottom w:w="90" w:type="dxa"/>
              <w:end w:w="100" w:type="dxa"/>
            </w:tcMar>
          </w:tcPr>
          <w:p>
            <w:pPr>
              <w:spacing w:after="0" w:line="240" w:lineRule="auto"/>
            </w:pPr>
            <w:r/>
            <w:r>
              <w:rPr>
                <w:color w:val="232D34"/>
                <w:sz w:val="13"/>
              </w:rPr>
              <w:t>Five-year GPU rental arrangement</w:t>
            </w:r>
          </w:p>
        </w:tc>
        <w:tc>
          <w:tcPr>
            <w:tcW w:type="dxa" w:w="2736"/>
            <w:vAlign w:val="center"/>
            <w:tcMar>
              <w:top w:w="90" w:type="dxa"/>
              <w:start w:w="100" w:type="dxa"/>
              <w:bottom w:w="90" w:type="dxa"/>
              <w:end w:w="100" w:type="dxa"/>
            </w:tcMar>
          </w:tcPr>
          <w:p>
            <w:pPr>
              <w:spacing w:after="0" w:line="240" w:lineRule="auto"/>
            </w:pPr>
            <w:r/>
            <w:r>
              <w:rPr>
                <w:color w:val="232D34"/>
                <w:sz w:val="13"/>
              </w:rPr>
              <w:t>Reported $7.5B equity + $12.5B debt = $20B total; Nvidia up to $2B equity</w:t>
            </w:r>
          </w:p>
        </w:tc>
        <w:tc>
          <w:tcPr>
            <w:tcW w:type="dxa" w:w="2232"/>
            <w:vAlign w:val="center"/>
            <w:tcMar>
              <w:top w:w="90" w:type="dxa"/>
              <w:start w:w="100" w:type="dxa"/>
              <w:bottom w:w="90" w:type="dxa"/>
              <w:end w:w="100" w:type="dxa"/>
            </w:tcMar>
          </w:tcPr>
          <w:p>
            <w:pPr>
              <w:spacing w:after="0" w:line="240" w:lineRule="auto"/>
            </w:pPr>
            <w:r/>
            <w:r>
              <w:rPr>
                <w:color w:val="232D34"/>
                <w:sz w:val="13"/>
              </w:rPr>
              <w:t>SPV buys Nvidia GPUs and rents them to xAI; Apollo/Diameter reported on debt side, Valor on equity side</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S30</w:t>
            </w:r>
          </w:p>
        </w:tc>
      </w:tr>
    </w:tbl>
    <w:p>
      <w:pPr>
        <w:spacing w:after="20"/>
      </w:pPr>
    </w:p>
    <w:p>
      <w:pPr>
        <w:pStyle w:val="Heading2"/>
        <w:keepNext/>
      </w:pPr>
      <w:r>
        <w:t>7.1 Meta: lease and residual-value architecture</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033"/>
        <w:gridCol w:w="2033"/>
        <w:gridCol w:w="2033"/>
        <w:gridCol w:w="2033"/>
        <w:gridCol w:w="2033"/>
      </w:tblGrid>
      <w:tr>
        <w:trPr>
          <w:tblHeader w:val="true"/>
        </w:trPr>
        <w:tc>
          <w:tcPr>
            <w:tcW w:type="dxa" w:w="2376"/>
            <w:shd w:fill="17324D"/>
            <w:vAlign w:val="center"/>
            <w:tcMar>
              <w:top w:w="100" w:type="dxa"/>
              <w:start w:w="110" w:type="dxa"/>
              <w:bottom w:w="100" w:type="dxa"/>
              <w:end w:w="110" w:type="dxa"/>
            </w:tcMar>
          </w:tcPr>
          <w:p>
            <w:pPr>
              <w:jc w:val="center"/>
            </w:pPr>
            <w:r/>
            <w:r>
              <w:rPr>
                <w:b/>
                <w:color w:val="FFFFFF"/>
                <w:sz w:val="15"/>
              </w:rPr>
              <w:t>Category</w:t>
            </w:r>
          </w:p>
        </w:tc>
        <w:tc>
          <w:tcPr>
            <w:tcW w:type="dxa" w:w="1655"/>
            <w:shd w:fill="17324D"/>
            <w:vAlign w:val="center"/>
            <w:tcMar>
              <w:top w:w="100" w:type="dxa"/>
              <w:start w:w="110" w:type="dxa"/>
              <w:bottom w:w="100" w:type="dxa"/>
              <w:end w:w="110" w:type="dxa"/>
            </w:tcMar>
          </w:tcPr>
          <w:p>
            <w:pPr>
              <w:jc w:val="center"/>
            </w:pPr>
            <w:r/>
            <w:r>
              <w:rPr>
                <w:b/>
                <w:color w:val="FFFFFF"/>
                <w:sz w:val="15"/>
              </w:rPr>
              <w:t>Amount</w:t>
            </w:r>
          </w:p>
        </w:tc>
        <w:tc>
          <w:tcPr>
            <w:tcW w:type="dxa" w:w="1224"/>
            <w:shd w:fill="17324D"/>
            <w:vAlign w:val="center"/>
            <w:tcMar>
              <w:top w:w="100" w:type="dxa"/>
              <w:start w:w="110" w:type="dxa"/>
              <w:bottom w:w="100" w:type="dxa"/>
              <w:end w:w="110" w:type="dxa"/>
            </w:tcMar>
          </w:tcPr>
          <w:p>
            <w:pPr>
              <w:jc w:val="center"/>
            </w:pPr>
            <w:r/>
            <w:r>
              <w:rPr>
                <w:b/>
                <w:color w:val="FFFFFF"/>
                <w:sz w:val="15"/>
              </w:rPr>
              <w:t>Date</w:t>
            </w:r>
          </w:p>
        </w:tc>
        <w:tc>
          <w:tcPr>
            <w:tcW w:type="dxa" w:w="4392"/>
            <w:shd w:fill="17324D"/>
            <w:vAlign w:val="center"/>
            <w:tcMar>
              <w:top w:w="100" w:type="dxa"/>
              <w:start w:w="110" w:type="dxa"/>
              <w:bottom w:w="100" w:type="dxa"/>
              <w:end w:w="110" w:type="dxa"/>
            </w:tcMar>
          </w:tcPr>
          <w:p>
            <w:pPr>
              <w:jc w:val="center"/>
            </w:pPr>
            <w:r/>
            <w:r>
              <w:rPr>
                <w:b/>
                <w:color w:val="FFFFFF"/>
                <w:sz w:val="15"/>
              </w:rPr>
              <w:t>Terms / meaning</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2376"/>
            <w:vAlign w:val="center"/>
            <w:tcMar>
              <w:top w:w="90" w:type="dxa"/>
              <w:start w:w="100" w:type="dxa"/>
              <w:bottom w:w="90" w:type="dxa"/>
              <w:end w:w="100" w:type="dxa"/>
            </w:tcMar>
          </w:tcPr>
          <w:p>
            <w:pPr>
              <w:spacing w:after="0" w:line="240" w:lineRule="auto"/>
            </w:pPr>
            <w:r/>
            <w:r>
              <w:rPr>
                <w:color w:val="232D34"/>
                <w:sz w:val="15"/>
              </w:rPr>
              <w:t>Uncommenced operating and finance leases</w:t>
            </w:r>
          </w:p>
        </w:tc>
        <w:tc>
          <w:tcPr>
            <w:tcW w:type="dxa" w:w="1655"/>
            <w:vAlign w:val="center"/>
            <w:tcMar>
              <w:top w:w="90" w:type="dxa"/>
              <w:start w:w="100" w:type="dxa"/>
              <w:bottom w:w="90" w:type="dxa"/>
              <w:end w:w="100" w:type="dxa"/>
            </w:tcMar>
          </w:tcPr>
          <w:p>
            <w:pPr>
              <w:spacing w:after="0" w:line="240" w:lineRule="auto"/>
              <w:jc w:val="center"/>
            </w:pPr>
            <w:r/>
            <w:r>
              <w:rPr>
                <w:color w:val="232D34"/>
                <w:sz w:val="15"/>
              </w:rPr>
              <w:t>$278.99B</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Jun. 30, 2026</w:t>
            </w:r>
          </w:p>
        </w:tc>
        <w:tc>
          <w:tcPr>
            <w:tcW w:type="dxa" w:w="4392"/>
            <w:vAlign w:val="center"/>
            <w:tcMar>
              <w:top w:w="90" w:type="dxa"/>
              <w:start w:w="100" w:type="dxa"/>
              <w:bottom w:w="90" w:type="dxa"/>
              <w:end w:w="100" w:type="dxa"/>
            </w:tcMar>
          </w:tcPr>
          <w:p>
            <w:pPr>
              <w:spacing w:after="0" w:line="240" w:lineRule="auto"/>
            </w:pPr>
            <w:r/>
            <w:r>
              <w:rPr>
                <w:color w:val="232D34"/>
                <w:sz w:val="15"/>
              </w:rPr>
              <w:t>Data centers, colocation and network infrastructure; commencements through 2036; terms &gt;1 to 30 years</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S10</w:t>
            </w:r>
          </w:p>
        </w:tc>
      </w:tr>
      <w:tr>
        <w:trPr>
          <w:cantSplit/>
        </w:trPr>
        <w:tc>
          <w:tcPr>
            <w:tcW w:type="dxa" w:w="2376"/>
            <w:vAlign w:val="center"/>
            <w:tcMar>
              <w:top w:w="90" w:type="dxa"/>
              <w:start w:w="100" w:type="dxa"/>
              <w:bottom w:w="90" w:type="dxa"/>
              <w:end w:w="100" w:type="dxa"/>
            </w:tcMar>
            <w:shd w:fill="F5F7F8"/>
          </w:tcPr>
          <w:p>
            <w:pPr>
              <w:spacing w:after="0" w:line="240" w:lineRule="auto"/>
            </w:pPr>
            <w:r/>
            <w:r>
              <w:rPr>
                <w:color w:val="232D34"/>
                <w:sz w:val="15"/>
              </w:rPr>
              <w:t>Additional leases signed after quarter</w:t>
            </w:r>
          </w:p>
        </w:tc>
        <w:tc>
          <w:tcPr>
            <w:tcW w:type="dxa" w:w="1655"/>
            <w:vAlign w:val="center"/>
            <w:tcMar>
              <w:top w:w="90" w:type="dxa"/>
              <w:start w:w="100" w:type="dxa"/>
              <w:bottom w:w="90" w:type="dxa"/>
              <w:end w:w="100" w:type="dxa"/>
            </w:tcMar>
            <w:shd w:fill="F5F7F8"/>
          </w:tcPr>
          <w:p>
            <w:pPr>
              <w:spacing w:after="0" w:line="240" w:lineRule="auto"/>
              <w:jc w:val="center"/>
            </w:pPr>
            <w:r/>
            <w:r>
              <w:rPr>
                <w:color w:val="232D34"/>
                <w:sz w:val="15"/>
              </w:rPr>
              <w:t>$68.0B</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July 2026</w:t>
            </w:r>
          </w:p>
        </w:tc>
        <w:tc>
          <w:tcPr>
            <w:tcW w:type="dxa" w:w="4392"/>
            <w:vAlign w:val="center"/>
            <w:tcMar>
              <w:top w:w="90" w:type="dxa"/>
              <w:start w:w="100" w:type="dxa"/>
              <w:bottom w:w="90" w:type="dxa"/>
              <w:end w:w="100" w:type="dxa"/>
            </w:tcMar>
            <w:shd w:fill="F5F7F8"/>
          </w:tcPr>
          <w:p>
            <w:pPr>
              <w:spacing w:after="0" w:line="240" w:lineRule="auto"/>
            </w:pPr>
            <w:r/>
            <w:r>
              <w:rPr>
                <w:color w:val="232D34"/>
                <w:sz w:val="15"/>
              </w:rPr>
              <w:t>Expected start 2027–2028; 18–20-year terms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S10</w:t>
            </w:r>
          </w:p>
        </w:tc>
      </w:tr>
      <w:tr>
        <w:trPr>
          <w:cantSplit/>
        </w:trPr>
        <w:tc>
          <w:tcPr>
            <w:tcW w:type="dxa" w:w="2376"/>
            <w:vAlign w:val="center"/>
            <w:tcMar>
              <w:top w:w="90" w:type="dxa"/>
              <w:start w:w="100" w:type="dxa"/>
              <w:bottom w:w="90" w:type="dxa"/>
              <w:end w:w="100" w:type="dxa"/>
            </w:tcMar>
          </w:tcPr>
          <w:p>
            <w:pPr>
              <w:spacing w:after="0" w:line="240" w:lineRule="auto"/>
            </w:pPr>
            <w:r/>
            <w:r>
              <w:rPr>
                <w:color w:val="232D34"/>
                <w:sz w:val="15"/>
              </w:rPr>
              <w:t>Noncancelable contractual commitments</w:t>
            </w:r>
          </w:p>
        </w:tc>
        <w:tc>
          <w:tcPr>
            <w:tcW w:type="dxa" w:w="1655"/>
            <w:vAlign w:val="center"/>
            <w:tcMar>
              <w:top w:w="90" w:type="dxa"/>
              <w:start w:w="100" w:type="dxa"/>
              <w:bottom w:w="90" w:type="dxa"/>
              <w:end w:w="100" w:type="dxa"/>
            </w:tcMar>
          </w:tcPr>
          <w:p>
            <w:pPr>
              <w:spacing w:after="0" w:line="240" w:lineRule="auto"/>
              <w:jc w:val="center"/>
            </w:pPr>
            <w:r/>
            <w:r>
              <w:rPr>
                <w:color w:val="232D34"/>
                <w:sz w:val="15"/>
              </w:rPr>
              <w:t>$349.31B</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Jun. 30, 2026</w:t>
            </w:r>
          </w:p>
        </w:tc>
        <w:tc>
          <w:tcPr>
            <w:tcW w:type="dxa" w:w="4392"/>
            <w:vAlign w:val="center"/>
            <w:tcMar>
              <w:top w:w="90" w:type="dxa"/>
              <w:start w:w="100" w:type="dxa"/>
              <w:bottom w:w="90" w:type="dxa"/>
              <w:end w:w="100" w:type="dxa"/>
            </w:tcMar>
          </w:tcPr>
          <w:p>
            <w:pPr>
              <w:spacing w:after="0" w:line="240" w:lineRule="auto"/>
            </w:pPr>
            <w:r/>
            <w:r>
              <w:rPr>
                <w:color w:val="232D34"/>
                <w:sz w:val="15"/>
              </w:rPr>
              <w:t>$53.52B due remainder 2026; $81.65B due 2027; cloud, servers, networks, data centers and Reality Labs hardware</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S10</w:t>
            </w:r>
          </w:p>
        </w:tc>
      </w:tr>
      <w:tr>
        <w:trPr>
          <w:cantSplit/>
        </w:trPr>
        <w:tc>
          <w:tcPr>
            <w:tcW w:type="dxa" w:w="2376"/>
            <w:vAlign w:val="center"/>
            <w:tcMar>
              <w:top w:w="90" w:type="dxa"/>
              <w:start w:w="100" w:type="dxa"/>
              <w:bottom w:w="90" w:type="dxa"/>
              <w:end w:w="100" w:type="dxa"/>
            </w:tcMar>
            <w:shd w:fill="F5F7F8"/>
          </w:tcPr>
          <w:p>
            <w:pPr>
              <w:spacing w:after="0" w:line="240" w:lineRule="auto"/>
            </w:pPr>
            <w:r/>
            <w:r>
              <w:rPr>
                <w:color w:val="232D34"/>
                <w:sz w:val="15"/>
              </w:rPr>
              <w:t>Contingent cloud-capacity obligation</w:t>
            </w:r>
          </w:p>
        </w:tc>
        <w:tc>
          <w:tcPr>
            <w:tcW w:type="dxa" w:w="1655"/>
            <w:vAlign w:val="center"/>
            <w:tcMar>
              <w:top w:w="90" w:type="dxa"/>
              <w:start w:w="100" w:type="dxa"/>
              <w:bottom w:w="90" w:type="dxa"/>
              <w:end w:w="100" w:type="dxa"/>
            </w:tcMar>
            <w:shd w:fill="F5F7F8"/>
          </w:tcPr>
          <w:p>
            <w:pPr>
              <w:spacing w:after="0" w:line="240" w:lineRule="auto"/>
              <w:jc w:val="center"/>
            </w:pPr>
            <w:r/>
            <w:r>
              <w:rPr>
                <w:color w:val="232D34"/>
                <w:sz w:val="15"/>
              </w:rPr>
              <w:t>Up to $14.72B</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Five years</w:t>
            </w:r>
          </w:p>
        </w:tc>
        <w:tc>
          <w:tcPr>
            <w:tcW w:type="dxa" w:w="4392"/>
            <w:vAlign w:val="center"/>
            <w:tcMar>
              <w:top w:w="90" w:type="dxa"/>
              <w:start w:w="100" w:type="dxa"/>
              <w:bottom w:w="90" w:type="dxa"/>
              <w:end w:w="100" w:type="dxa"/>
            </w:tcMar>
            <w:shd w:fill="F5F7F8"/>
          </w:tcPr>
          <w:p>
            <w:pPr>
              <w:spacing w:after="0" w:line="240" w:lineRule="auto"/>
            </w:pPr>
            <w:r/>
            <w:r>
              <w:rPr>
                <w:color w:val="232D34"/>
                <w:sz w:val="15"/>
              </w:rPr>
              <w:t>Can be reduced if provider resells capacity</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S10</w:t>
            </w:r>
          </w:p>
        </w:tc>
      </w:tr>
      <w:tr>
        <w:trPr>
          <w:cantSplit/>
        </w:trPr>
        <w:tc>
          <w:tcPr>
            <w:tcW w:type="dxa" w:w="2376"/>
            <w:vAlign w:val="center"/>
            <w:tcMar>
              <w:top w:w="90" w:type="dxa"/>
              <w:start w:w="100" w:type="dxa"/>
              <w:bottom w:w="90" w:type="dxa"/>
              <w:end w:w="100" w:type="dxa"/>
            </w:tcMar>
          </w:tcPr>
          <w:p>
            <w:pPr>
              <w:spacing w:after="0" w:line="240" w:lineRule="auto"/>
            </w:pPr>
            <w:r/>
            <w:r>
              <w:rPr>
                <w:color w:val="232D34"/>
                <w:sz w:val="15"/>
              </w:rPr>
              <w:t>Restricted cash / equivalents</w:t>
            </w:r>
          </w:p>
        </w:tc>
        <w:tc>
          <w:tcPr>
            <w:tcW w:type="dxa" w:w="1655"/>
            <w:vAlign w:val="center"/>
            <w:tcMar>
              <w:top w:w="90" w:type="dxa"/>
              <w:start w:w="100" w:type="dxa"/>
              <w:bottom w:w="90" w:type="dxa"/>
              <w:end w:w="100" w:type="dxa"/>
            </w:tcMar>
          </w:tcPr>
          <w:p>
            <w:pPr>
              <w:spacing w:after="0" w:line="240" w:lineRule="auto"/>
              <w:jc w:val="center"/>
            </w:pPr>
            <w:r/>
            <w:r>
              <w:rPr>
                <w:color w:val="232D34"/>
                <w:sz w:val="15"/>
              </w:rPr>
              <w:t>$10.80B</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Jun. 30, 2026</w:t>
            </w:r>
          </w:p>
        </w:tc>
        <w:tc>
          <w:tcPr>
            <w:tcW w:type="dxa" w:w="4392"/>
            <w:vAlign w:val="center"/>
            <w:tcMar>
              <w:top w:w="90" w:type="dxa"/>
              <w:start w:w="100" w:type="dxa"/>
              <w:bottom w:w="90" w:type="dxa"/>
              <w:end w:w="100" w:type="dxa"/>
            </w:tcMar>
          </w:tcPr>
          <w:p>
            <w:pPr>
              <w:spacing w:after="0" w:line="240" w:lineRule="auto"/>
            </w:pPr>
            <w:r/>
            <w:r>
              <w:rPr>
                <w:color w:val="232D34"/>
                <w:sz w:val="15"/>
              </w:rPr>
              <w:t>Escrow supporting infrastructure arrangements; expected release 2028–2030</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S10</w:t>
            </w:r>
          </w:p>
        </w:tc>
      </w:tr>
      <w:tr>
        <w:trPr>
          <w:cantSplit/>
        </w:trPr>
        <w:tc>
          <w:tcPr>
            <w:tcW w:type="dxa" w:w="2376"/>
            <w:vAlign w:val="center"/>
            <w:tcMar>
              <w:top w:w="90" w:type="dxa"/>
              <w:start w:w="100" w:type="dxa"/>
              <w:bottom w:w="90" w:type="dxa"/>
              <w:end w:w="100" w:type="dxa"/>
            </w:tcMar>
            <w:shd w:fill="F5F7F8"/>
          </w:tcPr>
          <w:p>
            <w:pPr>
              <w:spacing w:after="0" w:line="240" w:lineRule="auto"/>
            </w:pPr>
            <w:r/>
            <w:r>
              <w:rPr>
                <w:color w:val="232D34"/>
                <w:sz w:val="15"/>
              </w:rPr>
              <w:t>Notes principal</w:t>
            </w:r>
          </w:p>
        </w:tc>
        <w:tc>
          <w:tcPr>
            <w:tcW w:type="dxa" w:w="1655"/>
            <w:vAlign w:val="center"/>
            <w:tcMar>
              <w:top w:w="90" w:type="dxa"/>
              <w:start w:w="100" w:type="dxa"/>
              <w:bottom w:w="90" w:type="dxa"/>
              <w:end w:w="100" w:type="dxa"/>
            </w:tcMar>
            <w:shd w:fill="F5F7F8"/>
          </w:tcPr>
          <w:p>
            <w:pPr>
              <w:spacing w:after="0" w:line="240" w:lineRule="auto"/>
              <w:jc w:val="center"/>
            </w:pPr>
            <w:r/>
            <w:r>
              <w:rPr>
                <w:color w:val="232D34"/>
                <w:sz w:val="15"/>
              </w:rPr>
              <w:t>$84.00B</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Jun. 30, 2026</w:t>
            </w:r>
          </w:p>
        </w:tc>
        <w:tc>
          <w:tcPr>
            <w:tcW w:type="dxa" w:w="4392"/>
            <w:vAlign w:val="center"/>
            <w:tcMar>
              <w:top w:w="90" w:type="dxa"/>
              <w:start w:w="100" w:type="dxa"/>
              <w:bottom w:w="90" w:type="dxa"/>
              <w:end w:w="100" w:type="dxa"/>
            </w:tcMar>
            <w:shd w:fill="F5F7F8"/>
          </w:tcPr>
          <w:p>
            <w:pPr>
              <w:spacing w:after="0" w:line="240" w:lineRule="auto"/>
              <w:jc w:val="center"/>
            </w:pPr>
            <w:r/>
            <w:r>
              <w:rPr>
                <w:color w:val="232D34"/>
                <w:sz w:val="15"/>
              </w:rPr>
              <w:t>Maturities 2027–2066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S10</w:t>
            </w:r>
          </w:p>
        </w:tc>
      </w:tr>
      <w:tr>
        <w:trPr>
          <w:cantSplit/>
        </w:trPr>
        <w:tc>
          <w:tcPr>
            <w:tcW w:type="dxa" w:w="2376"/>
            <w:vAlign w:val="center"/>
            <w:tcMar>
              <w:top w:w="90" w:type="dxa"/>
              <w:start w:w="100" w:type="dxa"/>
              <w:bottom w:w="90" w:type="dxa"/>
              <w:end w:w="100" w:type="dxa"/>
            </w:tcMar>
          </w:tcPr>
          <w:p>
            <w:pPr>
              <w:spacing w:after="0" w:line="240" w:lineRule="auto"/>
            </w:pPr>
            <w:r/>
            <w:r>
              <w:rPr>
                <w:color w:val="232D34"/>
                <w:sz w:val="15"/>
              </w:rPr>
              <w:t>Future interest obligations</w:t>
            </w:r>
          </w:p>
        </w:tc>
        <w:tc>
          <w:tcPr>
            <w:tcW w:type="dxa" w:w="1655"/>
            <w:vAlign w:val="center"/>
            <w:tcMar>
              <w:top w:w="90" w:type="dxa"/>
              <w:start w:w="100" w:type="dxa"/>
              <w:bottom w:w="90" w:type="dxa"/>
              <w:end w:w="100" w:type="dxa"/>
            </w:tcMar>
          </w:tcPr>
          <w:p>
            <w:pPr>
              <w:spacing w:after="0" w:line="240" w:lineRule="auto"/>
              <w:jc w:val="center"/>
            </w:pPr>
            <w:r/>
            <w:r>
              <w:rPr>
                <w:color w:val="232D34"/>
                <w:sz w:val="15"/>
              </w:rPr>
              <w:t>$89.38B</w:t>
            </w:r>
          </w:p>
        </w:tc>
        <w:tc>
          <w:tcPr>
            <w:tcW w:type="dxa" w:w="1224"/>
            <w:vAlign w:val="center"/>
            <w:tcMar>
              <w:top w:w="90" w:type="dxa"/>
              <w:start w:w="100" w:type="dxa"/>
              <w:bottom w:w="90" w:type="dxa"/>
              <w:end w:w="100" w:type="dxa"/>
            </w:tcMar>
          </w:tcPr>
          <w:p>
            <w:pPr>
              <w:spacing w:after="0" w:line="240" w:lineRule="auto"/>
              <w:jc w:val="center"/>
            </w:pPr>
            <w:r/>
            <w:r>
              <w:rPr>
                <w:color w:val="232D34"/>
                <w:sz w:val="15"/>
              </w:rPr>
              <w:t>Jun. 30, 2026</w:t>
            </w:r>
          </w:p>
        </w:tc>
        <w:tc>
          <w:tcPr>
            <w:tcW w:type="dxa" w:w="4392"/>
            <w:vAlign w:val="center"/>
            <w:tcMar>
              <w:top w:w="90" w:type="dxa"/>
              <w:start w:w="100" w:type="dxa"/>
              <w:bottom w:w="90" w:type="dxa"/>
              <w:end w:w="100" w:type="dxa"/>
            </w:tcMar>
          </w:tcPr>
          <w:p>
            <w:pPr>
              <w:spacing w:after="0" w:line="240" w:lineRule="auto"/>
            </w:pPr>
            <w:r/>
            <w:r>
              <w:rPr>
                <w:color w:val="232D34"/>
                <w:sz w:val="15"/>
              </w:rPr>
              <w:t>$4.40B current + $84.98B long-term</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S10</w:t>
            </w:r>
          </w:p>
        </w:tc>
      </w:tr>
      <w:tr>
        <w:trPr>
          <w:cantSplit/>
        </w:trPr>
        <w:tc>
          <w:tcPr>
            <w:tcW w:type="dxa" w:w="2376"/>
            <w:vAlign w:val="center"/>
            <w:tcMar>
              <w:top w:w="90" w:type="dxa"/>
              <w:start w:w="100" w:type="dxa"/>
              <w:bottom w:w="90" w:type="dxa"/>
              <w:end w:w="100" w:type="dxa"/>
            </w:tcMar>
            <w:shd w:fill="F5F7F8"/>
          </w:tcPr>
          <w:p>
            <w:pPr>
              <w:spacing w:after="0" w:line="240" w:lineRule="auto"/>
            </w:pPr>
            <w:r/>
            <w:r>
              <w:rPr>
                <w:color w:val="232D34"/>
                <w:sz w:val="15"/>
              </w:rPr>
              <w:t>May 2026 notes — net proceeds</w:t>
            </w:r>
          </w:p>
        </w:tc>
        <w:tc>
          <w:tcPr>
            <w:tcW w:type="dxa" w:w="1655"/>
            <w:vAlign w:val="center"/>
            <w:tcMar>
              <w:top w:w="90" w:type="dxa"/>
              <w:start w:w="100" w:type="dxa"/>
              <w:bottom w:w="90" w:type="dxa"/>
              <w:end w:w="100" w:type="dxa"/>
            </w:tcMar>
            <w:shd w:fill="F5F7F8"/>
          </w:tcPr>
          <w:p>
            <w:pPr>
              <w:spacing w:after="0" w:line="240" w:lineRule="auto"/>
              <w:jc w:val="center"/>
            </w:pPr>
            <w:r/>
            <w:r>
              <w:rPr>
                <w:color w:val="232D34"/>
                <w:sz w:val="15"/>
              </w:rPr>
              <w:t>$24.91B</w:t>
            </w:r>
          </w:p>
        </w:tc>
        <w:tc>
          <w:tcPr>
            <w:tcW w:type="dxa" w:w="1224"/>
            <w:vAlign w:val="center"/>
            <w:tcMar>
              <w:top w:w="90" w:type="dxa"/>
              <w:start w:w="100" w:type="dxa"/>
              <w:bottom w:w="90" w:type="dxa"/>
              <w:end w:w="100" w:type="dxa"/>
            </w:tcMar>
            <w:shd w:fill="F5F7F8"/>
          </w:tcPr>
          <w:p>
            <w:pPr>
              <w:spacing w:after="0" w:line="240" w:lineRule="auto"/>
              <w:jc w:val="center"/>
            </w:pPr>
            <w:r/>
            <w:r>
              <w:rPr>
                <w:color w:val="232D34"/>
                <w:sz w:val="15"/>
              </w:rPr>
              <w:t>May 2026</w:t>
            </w:r>
          </w:p>
        </w:tc>
        <w:tc>
          <w:tcPr>
            <w:tcW w:type="dxa" w:w="4392"/>
            <w:vAlign w:val="center"/>
            <w:tcMar>
              <w:top w:w="90" w:type="dxa"/>
              <w:start w:w="100" w:type="dxa"/>
              <w:bottom w:w="90" w:type="dxa"/>
              <w:end w:w="100" w:type="dxa"/>
            </w:tcMar>
            <w:shd w:fill="F5F7F8"/>
          </w:tcPr>
          <w:p>
            <w:pPr>
              <w:spacing w:after="0" w:line="240" w:lineRule="auto"/>
              <w:jc w:val="center"/>
            </w:pPr>
            <w:r/>
            <w:r>
              <w:rPr>
                <w:color w:val="232D34"/>
                <w:sz w:val="15"/>
              </w:rPr>
              <w:t>New balance-sheet funding</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S10</w:t>
            </w:r>
          </w:p>
        </w:tc>
      </w:tr>
    </w:tbl>
    <w:p>
      <w:pPr>
        <w:spacing w:after="20"/>
      </w:pPr>
    </w:p>
    <w:p>
      <w:pPr>
        <w:pStyle w:val="Heading3"/>
        <w:keepNext/>
      </w:pPr>
      <w:r>
        <w:t>Hyperion — Blue Owl / PIMCO</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2448"/>
            <w:shd w:fill="17324D"/>
            <w:vAlign w:val="center"/>
            <w:tcMar>
              <w:top w:w="100" w:type="dxa"/>
              <w:start w:w="110" w:type="dxa"/>
              <w:bottom w:w="100" w:type="dxa"/>
              <w:end w:w="110" w:type="dxa"/>
            </w:tcMar>
          </w:tcPr>
          <w:p>
            <w:pPr>
              <w:jc w:val="center"/>
            </w:pPr>
            <w:r/>
            <w:r>
              <w:rPr>
                <w:b/>
                <w:color w:val="FFFFFF"/>
                <w:sz w:val="16"/>
              </w:rPr>
              <w:t>Element</w:t>
            </w:r>
          </w:p>
        </w:tc>
        <w:tc>
          <w:tcPr>
            <w:tcW w:type="dxa" w:w="7128"/>
            <w:shd w:fill="17324D"/>
            <w:vAlign w:val="center"/>
            <w:tcMar>
              <w:top w:w="100" w:type="dxa"/>
              <w:start w:w="110" w:type="dxa"/>
              <w:bottom w:w="100" w:type="dxa"/>
              <w:end w:w="110" w:type="dxa"/>
            </w:tcMar>
          </w:tcPr>
          <w:p>
            <w:pPr>
              <w:jc w:val="center"/>
            </w:pPr>
            <w:r/>
            <w:r>
              <w:rPr>
                <w:b/>
                <w:color w:val="FFFFFF"/>
                <w:sz w:val="16"/>
              </w:rPr>
              <w:t>Term</w:t>
            </w:r>
          </w:p>
        </w:tc>
        <w:tc>
          <w:tcPr>
            <w:tcW w:type="dxa" w:w="792"/>
            <w:shd w:fill="17324D"/>
            <w:vAlign w:val="center"/>
            <w:tcMar>
              <w:top w:w="100" w:type="dxa"/>
              <w:start w:w="110" w:type="dxa"/>
              <w:bottom w:w="100" w:type="dxa"/>
              <w:end w:w="110" w:type="dxa"/>
            </w:tcMar>
          </w:tcPr>
          <w:p>
            <w:pPr>
              <w:jc w:val="center"/>
            </w:pPr>
            <w:r/>
            <w:r>
              <w:rPr>
                <w:b/>
                <w:color w:val="FFFFFF"/>
                <w:sz w:val="16"/>
              </w:rPr>
              <w:t>Source</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Ownership</w:t>
            </w:r>
          </w:p>
        </w:tc>
        <w:tc>
          <w:tcPr>
            <w:tcW w:type="dxa" w:w="7128"/>
            <w:vAlign w:val="center"/>
            <w:tcMar>
              <w:top w:w="90" w:type="dxa"/>
              <w:start w:w="100" w:type="dxa"/>
              <w:bottom w:w="90" w:type="dxa"/>
              <w:end w:w="100" w:type="dxa"/>
            </w:tcMar>
          </w:tcPr>
          <w:p>
            <w:pPr>
              <w:spacing w:after="0" w:line="240" w:lineRule="auto"/>
            </w:pPr>
            <w:r/>
            <w:r>
              <w:rPr>
                <w:color w:val="232D34"/>
                <w:sz w:val="16"/>
              </w:rPr>
              <w:t>Blue Owl-managed funds 80%; Meta 20%</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S11</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Development financing</w:t>
            </w:r>
          </w:p>
        </w:tc>
        <w:tc>
          <w:tcPr>
            <w:tcW w:type="dxa" w:w="7128"/>
            <w:vAlign w:val="center"/>
            <w:tcMar>
              <w:top w:w="90" w:type="dxa"/>
              <w:start w:w="100" w:type="dxa"/>
              <w:bottom w:w="90" w:type="dxa"/>
              <w:end w:w="100" w:type="dxa"/>
            </w:tcMar>
            <w:shd w:fill="F5F7F8"/>
          </w:tcPr>
          <w:p>
            <w:pPr>
              <w:spacing w:after="0" w:line="240" w:lineRule="auto"/>
            </w:pPr>
            <w:r/>
            <w:r>
              <w:rPr>
                <w:color w:val="232D34"/>
                <w:sz w:val="16"/>
              </w:rPr>
              <w:t>Approximately $27B-class project</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S11</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Tenant</w:t>
            </w:r>
          </w:p>
        </w:tc>
        <w:tc>
          <w:tcPr>
            <w:tcW w:type="dxa" w:w="7128"/>
            <w:vAlign w:val="center"/>
            <w:tcMar>
              <w:top w:w="90" w:type="dxa"/>
              <w:start w:w="100" w:type="dxa"/>
              <w:bottom w:w="90" w:type="dxa"/>
              <w:end w:w="100" w:type="dxa"/>
            </w:tcMar>
          </w:tcPr>
          <w:p>
            <w:pPr>
              <w:spacing w:after="0" w:line="240" w:lineRule="auto"/>
              <w:jc w:val="center"/>
            </w:pPr>
            <w:r/>
            <w:r>
              <w:rPr>
                <w:color w:val="232D34"/>
                <w:sz w:val="16"/>
              </w:rPr>
              <w:t>Meta leases all facilities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S11</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Initial lease term</w:t>
            </w:r>
          </w:p>
        </w:tc>
        <w:tc>
          <w:tcPr>
            <w:tcW w:type="dxa" w:w="7128"/>
            <w:vAlign w:val="center"/>
            <w:tcMar>
              <w:top w:w="90" w:type="dxa"/>
              <w:start w:w="100" w:type="dxa"/>
              <w:bottom w:w="90" w:type="dxa"/>
              <w:end w:w="100" w:type="dxa"/>
            </w:tcMar>
            <w:shd w:fill="F5F7F8"/>
          </w:tcPr>
          <w:p>
            <w:pPr>
              <w:spacing w:after="0" w:line="240" w:lineRule="auto"/>
            </w:pPr>
            <w:r/>
            <w:r>
              <w:rPr>
                <w:color w:val="232D34"/>
                <w:sz w:val="16"/>
              </w:rPr>
              <w:t>Four years, with extension options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S11</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Residual-value support</w:t>
            </w:r>
          </w:p>
        </w:tc>
        <w:tc>
          <w:tcPr>
            <w:tcW w:type="dxa" w:w="7128"/>
            <w:vAlign w:val="center"/>
            <w:tcMar>
              <w:top w:w="90" w:type="dxa"/>
              <w:start w:w="100" w:type="dxa"/>
              <w:bottom w:w="90" w:type="dxa"/>
              <w:end w:w="100" w:type="dxa"/>
            </w:tcMar>
          </w:tcPr>
          <w:p>
            <w:pPr>
              <w:spacing w:after="0" w:line="240" w:lineRule="auto"/>
            </w:pPr>
            <w:r/>
            <w:r>
              <w:rPr>
                <w:color w:val="232D34"/>
                <w:sz w:val="16"/>
              </w:rPr>
              <w:t>Meta guarantee for first 16 years; capped payment if lease is not renewed or terminates under specified conditions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S11</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Debt buyers</w:t>
            </w:r>
          </w:p>
        </w:tc>
        <w:tc>
          <w:tcPr>
            <w:tcW w:type="dxa" w:w="7128"/>
            <w:vAlign w:val="center"/>
            <w:tcMar>
              <w:top w:w="90" w:type="dxa"/>
              <w:start w:w="100" w:type="dxa"/>
              <w:bottom w:w="90" w:type="dxa"/>
              <w:end w:w="100" w:type="dxa"/>
            </w:tcMar>
            <w:shd w:fill="F5F7F8"/>
          </w:tcPr>
          <w:p>
            <w:pPr>
              <w:spacing w:after="0" w:line="240" w:lineRule="auto"/>
            </w:pPr>
            <w:r/>
            <w:r>
              <w:rPr>
                <w:color w:val="232D34"/>
                <w:sz w:val="16"/>
              </w:rPr>
              <w:t>PIMCO and selected institutional bond investors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S11</w:t>
            </w:r>
          </w:p>
        </w:tc>
      </w:tr>
    </w:tbl>
    <w:p>
      <w:pPr>
        <w:spacing w:after="20"/>
      </w:pPr>
    </w:p>
    <w:p>
      <w:pPr>
        <w:pStyle w:val="Heading3"/>
        <w:keepNext/>
      </w:pPr>
      <w:r>
        <w:t>El Paso — BlackRock / GIP / HPS</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5083"/>
        <w:gridCol w:w="5083"/>
      </w:tblGrid>
      <w:tr>
        <w:trPr>
          <w:tblHeader w:val="true"/>
        </w:trPr>
        <w:tc>
          <w:tcPr>
            <w:tcW w:type="dxa" w:w="3024"/>
            <w:shd w:fill="17324D"/>
            <w:vAlign w:val="center"/>
            <w:tcMar>
              <w:top w:w="100" w:type="dxa"/>
              <w:start w:w="110" w:type="dxa"/>
              <w:bottom w:w="100" w:type="dxa"/>
              <w:end w:w="110" w:type="dxa"/>
            </w:tcMar>
          </w:tcPr>
          <w:p>
            <w:pPr>
              <w:jc w:val="center"/>
            </w:pPr>
            <w:r/>
            <w:r>
              <w:rPr>
                <w:b/>
                <w:color w:val="FFFFFF"/>
                <w:sz w:val="17"/>
              </w:rPr>
              <w:t>Element</w:t>
            </w:r>
          </w:p>
        </w:tc>
        <w:tc>
          <w:tcPr>
            <w:tcW w:type="dxa" w:w="7343"/>
            <w:shd w:fill="17324D"/>
            <w:vAlign w:val="center"/>
            <w:tcMar>
              <w:top w:w="100" w:type="dxa"/>
              <w:start w:w="110" w:type="dxa"/>
              <w:bottom w:w="100" w:type="dxa"/>
              <w:end w:w="110" w:type="dxa"/>
            </w:tcMar>
          </w:tcPr>
          <w:p>
            <w:pPr>
              <w:jc w:val="center"/>
            </w:pPr>
            <w:r/>
            <w:r>
              <w:rPr>
                <w:b/>
                <w:color w:val="FFFFFF"/>
                <w:sz w:val="17"/>
              </w:rPr>
              <w:t>Amount / term</w:t>
            </w:r>
          </w:p>
        </w:tc>
      </w:tr>
      <w:tr>
        <w:trPr>
          <w:cantSplit/>
        </w:trPr>
        <w:tc>
          <w:tcPr>
            <w:tcW w:type="dxa" w:w="3024"/>
            <w:vAlign w:val="center"/>
            <w:tcMar>
              <w:top w:w="90" w:type="dxa"/>
              <w:start w:w="100" w:type="dxa"/>
              <w:bottom w:w="90" w:type="dxa"/>
              <w:end w:w="100" w:type="dxa"/>
            </w:tcMar>
          </w:tcPr>
          <w:p>
            <w:pPr>
              <w:spacing w:after="0" w:line="240" w:lineRule="auto"/>
            </w:pPr>
            <w:r/>
            <w:r>
              <w:rPr>
                <w:color w:val="232D34"/>
                <w:sz w:val="17"/>
              </w:rPr>
              <w:t>Total expected development cost</w:t>
            </w:r>
          </w:p>
        </w:tc>
        <w:tc>
          <w:tcPr>
            <w:tcW w:type="dxa" w:w="7343"/>
            <w:vAlign w:val="center"/>
            <w:tcMar>
              <w:top w:w="90" w:type="dxa"/>
              <w:start w:w="100" w:type="dxa"/>
              <w:bottom w:w="90" w:type="dxa"/>
              <w:end w:w="100" w:type="dxa"/>
            </w:tcMar>
          </w:tcPr>
          <w:p>
            <w:pPr>
              <w:spacing w:after="0" w:line="240" w:lineRule="auto"/>
              <w:jc w:val="center"/>
            </w:pPr>
            <w:r/>
            <w:r>
              <w:rPr>
                <w:color w:val="232D34"/>
                <w:sz w:val="17"/>
              </w:rPr>
              <w:t>Approximately $14B</w:t>
            </w:r>
          </w:p>
        </w:tc>
      </w:tr>
      <w:tr>
        <w:trPr>
          <w:cantSplit/>
        </w:trPr>
        <w:tc>
          <w:tcPr>
            <w:tcW w:type="dxa" w:w="3024"/>
            <w:vAlign w:val="center"/>
            <w:tcMar>
              <w:top w:w="90" w:type="dxa"/>
              <w:start w:w="100" w:type="dxa"/>
              <w:bottom w:w="90" w:type="dxa"/>
              <w:end w:w="100" w:type="dxa"/>
            </w:tcMar>
            <w:shd w:fill="F5F7F8"/>
          </w:tcPr>
          <w:p>
            <w:pPr>
              <w:spacing w:after="0" w:line="240" w:lineRule="auto"/>
            </w:pPr>
            <w:r/>
            <w:r>
              <w:rPr>
                <w:color w:val="232D34"/>
                <w:sz w:val="17"/>
              </w:rPr>
              <w:t>Meta contribution</w:t>
            </w:r>
          </w:p>
        </w:tc>
        <w:tc>
          <w:tcPr>
            <w:tcW w:type="dxa" w:w="7343"/>
            <w:vAlign w:val="center"/>
            <w:tcMar>
              <w:top w:w="90" w:type="dxa"/>
              <w:start w:w="100" w:type="dxa"/>
              <w:bottom w:w="90" w:type="dxa"/>
              <w:end w:w="100" w:type="dxa"/>
            </w:tcMar>
            <w:shd w:fill="F5F7F8"/>
          </w:tcPr>
          <w:p>
            <w:pPr>
              <w:spacing w:after="0" w:line="240" w:lineRule="auto"/>
            </w:pPr>
            <w:r/>
            <w:r>
              <w:rPr>
                <w:color w:val="232D34"/>
                <w:sz w:val="17"/>
              </w:rPr>
              <w:t>Land and construction-in-progress valued around $2.3B</w:t>
            </w:r>
          </w:p>
        </w:tc>
      </w:tr>
      <w:tr>
        <w:trPr>
          <w:cantSplit/>
        </w:trPr>
        <w:tc>
          <w:tcPr>
            <w:tcW w:type="dxa" w:w="3024"/>
            <w:vAlign w:val="center"/>
            <w:tcMar>
              <w:top w:w="90" w:type="dxa"/>
              <w:start w:w="100" w:type="dxa"/>
              <w:bottom w:w="90" w:type="dxa"/>
              <w:end w:w="100" w:type="dxa"/>
            </w:tcMar>
          </w:tcPr>
          <w:p>
            <w:pPr>
              <w:spacing w:after="0" w:line="240" w:lineRule="auto"/>
            </w:pPr>
            <w:r/>
            <w:r>
              <w:rPr>
                <w:color w:val="232D34"/>
                <w:sz w:val="17"/>
              </w:rPr>
              <w:t>Initial outside cash</w:t>
            </w:r>
          </w:p>
        </w:tc>
        <w:tc>
          <w:tcPr>
            <w:tcW w:type="dxa" w:w="7343"/>
            <w:vAlign w:val="center"/>
            <w:tcMar>
              <w:top w:w="90" w:type="dxa"/>
              <w:start w:w="100" w:type="dxa"/>
              <w:bottom w:w="90" w:type="dxa"/>
              <w:end w:w="100" w:type="dxa"/>
            </w:tcMar>
          </w:tcPr>
          <w:p>
            <w:pPr>
              <w:spacing w:after="0" w:line="240" w:lineRule="auto"/>
              <w:jc w:val="center"/>
            </w:pPr>
            <w:r/>
            <w:r>
              <w:rPr>
                <w:color w:val="232D34"/>
                <w:sz w:val="17"/>
              </w:rPr>
              <w:t>Approximately $4.9B</w:t>
            </w:r>
          </w:p>
        </w:tc>
      </w:tr>
      <w:tr>
        <w:trPr>
          <w:cantSplit/>
        </w:trPr>
        <w:tc>
          <w:tcPr>
            <w:tcW w:type="dxa" w:w="3024"/>
            <w:vAlign w:val="center"/>
            <w:tcMar>
              <w:top w:w="90" w:type="dxa"/>
              <w:start w:w="100" w:type="dxa"/>
              <w:bottom w:w="90" w:type="dxa"/>
              <w:end w:w="100" w:type="dxa"/>
            </w:tcMar>
            <w:shd w:fill="F5F7F8"/>
          </w:tcPr>
          <w:p>
            <w:pPr>
              <w:spacing w:after="0" w:line="240" w:lineRule="auto"/>
            </w:pPr>
            <w:r/>
            <w:r>
              <w:rPr>
                <w:color w:val="232D34"/>
                <w:sz w:val="17"/>
              </w:rPr>
              <w:t>Distribution to Meta</w:t>
            </w:r>
          </w:p>
        </w:tc>
        <w:tc>
          <w:tcPr>
            <w:tcW w:type="dxa" w:w="7343"/>
            <w:vAlign w:val="center"/>
            <w:tcMar>
              <w:top w:w="90" w:type="dxa"/>
              <w:start w:w="100" w:type="dxa"/>
              <w:bottom w:w="90" w:type="dxa"/>
              <w:end w:w="100" w:type="dxa"/>
            </w:tcMar>
            <w:shd w:fill="F5F7F8"/>
          </w:tcPr>
          <w:p>
            <w:pPr>
              <w:spacing w:after="0" w:line="240" w:lineRule="auto"/>
              <w:jc w:val="center"/>
            </w:pPr>
            <w:r/>
            <w:r>
              <w:rPr>
                <w:color w:val="232D34"/>
                <w:sz w:val="17"/>
              </w:rPr>
              <w:t>Approximately $1B</w:t>
            </w:r>
          </w:p>
        </w:tc>
      </w:tr>
      <w:tr>
        <w:trPr>
          <w:cantSplit/>
        </w:trPr>
        <w:tc>
          <w:tcPr>
            <w:tcW w:type="dxa" w:w="3024"/>
            <w:vAlign w:val="center"/>
            <w:tcMar>
              <w:top w:w="90" w:type="dxa"/>
              <w:start w:w="100" w:type="dxa"/>
              <w:bottom w:w="90" w:type="dxa"/>
              <w:end w:w="100" w:type="dxa"/>
            </w:tcMar>
          </w:tcPr>
          <w:p>
            <w:pPr>
              <w:spacing w:after="0" w:line="240" w:lineRule="auto"/>
            </w:pPr>
            <w:r/>
            <w:r>
              <w:rPr>
                <w:color w:val="232D34"/>
                <w:sz w:val="17"/>
              </w:rPr>
              <w:t>Debt financing</w:t>
            </w:r>
          </w:p>
        </w:tc>
        <w:tc>
          <w:tcPr>
            <w:tcW w:type="dxa" w:w="7343"/>
            <w:vAlign w:val="center"/>
            <w:tcMar>
              <w:top w:w="90" w:type="dxa"/>
              <w:start w:w="100" w:type="dxa"/>
              <w:bottom w:w="90" w:type="dxa"/>
              <w:end w:w="100" w:type="dxa"/>
            </w:tcMar>
          </w:tcPr>
          <w:p>
            <w:pPr>
              <w:spacing w:after="0" w:line="240" w:lineRule="auto"/>
              <w:jc w:val="center"/>
            </w:pPr>
            <w:r/>
            <w:r>
              <w:rPr>
                <w:color w:val="232D34"/>
                <w:sz w:val="17"/>
              </w:rPr>
              <w:t>$12.5B</w:t>
            </w:r>
          </w:p>
        </w:tc>
      </w:tr>
      <w:tr>
        <w:trPr>
          <w:cantSplit/>
        </w:trPr>
        <w:tc>
          <w:tcPr>
            <w:tcW w:type="dxa" w:w="3024"/>
            <w:vAlign w:val="center"/>
            <w:tcMar>
              <w:top w:w="90" w:type="dxa"/>
              <w:start w:w="100" w:type="dxa"/>
              <w:bottom w:w="90" w:type="dxa"/>
              <w:end w:w="100" w:type="dxa"/>
            </w:tcMar>
            <w:shd w:fill="F5F7F8"/>
          </w:tcPr>
          <w:p>
            <w:pPr>
              <w:spacing w:after="0" w:line="240" w:lineRule="auto"/>
            </w:pPr>
            <w:r/>
            <w:r>
              <w:rPr>
                <w:color w:val="232D34"/>
                <w:sz w:val="17"/>
              </w:rPr>
              <w:t>Ownership</w:t>
            </w:r>
          </w:p>
        </w:tc>
        <w:tc>
          <w:tcPr>
            <w:tcW w:type="dxa" w:w="7343"/>
            <w:vAlign w:val="center"/>
            <w:tcMar>
              <w:top w:w="90" w:type="dxa"/>
              <w:start w:w="100" w:type="dxa"/>
              <w:bottom w:w="90" w:type="dxa"/>
              <w:end w:w="100" w:type="dxa"/>
            </w:tcMar>
            <w:shd w:fill="F5F7F8"/>
          </w:tcPr>
          <w:p>
            <w:pPr>
              <w:spacing w:after="0" w:line="240" w:lineRule="auto"/>
            </w:pPr>
            <w:r/>
            <w:r>
              <w:rPr>
                <w:color w:val="232D34"/>
                <w:sz w:val="17"/>
              </w:rPr>
              <w:t>Outside investors 80%; Meta 20%</w:t>
            </w:r>
          </w:p>
        </w:tc>
      </w:tr>
      <w:tr>
        <w:trPr>
          <w:cantSplit/>
        </w:trPr>
        <w:tc>
          <w:tcPr>
            <w:tcW w:type="dxa" w:w="3024"/>
            <w:vAlign w:val="center"/>
            <w:tcMar>
              <w:top w:w="90" w:type="dxa"/>
              <w:start w:w="100" w:type="dxa"/>
              <w:bottom w:w="90" w:type="dxa"/>
              <w:end w:w="100" w:type="dxa"/>
            </w:tcMar>
          </w:tcPr>
          <w:p>
            <w:pPr>
              <w:spacing w:after="0" w:line="240" w:lineRule="auto"/>
            </w:pPr>
            <w:r/>
            <w:r>
              <w:rPr>
                <w:color w:val="232D34"/>
                <w:sz w:val="17"/>
              </w:rPr>
              <w:t>Potential lease period</w:t>
            </w:r>
          </w:p>
        </w:tc>
        <w:tc>
          <w:tcPr>
            <w:tcW w:type="dxa" w:w="7343"/>
            <w:vAlign w:val="center"/>
            <w:tcMar>
              <w:top w:w="90" w:type="dxa"/>
              <w:start w:w="100" w:type="dxa"/>
              <w:bottom w:w="90" w:type="dxa"/>
              <w:end w:w="100" w:type="dxa"/>
            </w:tcMar>
          </w:tcPr>
          <w:p>
            <w:pPr>
              <w:spacing w:after="0" w:line="240" w:lineRule="auto"/>
            </w:pPr>
            <w:r/>
            <w:r>
              <w:rPr>
                <w:color w:val="232D34"/>
                <w:sz w:val="17"/>
              </w:rPr>
              <w:t>Initial four years plus four extension options; up to 20 years</w:t>
            </w:r>
          </w:p>
        </w:tc>
      </w:tr>
      <w:tr>
        <w:trPr>
          <w:cantSplit/>
        </w:trPr>
        <w:tc>
          <w:tcPr>
            <w:tcW w:type="dxa" w:w="3024"/>
            <w:vAlign w:val="center"/>
            <w:tcMar>
              <w:top w:w="90" w:type="dxa"/>
              <w:start w:w="100" w:type="dxa"/>
              <w:bottom w:w="90" w:type="dxa"/>
              <w:end w:w="100" w:type="dxa"/>
            </w:tcMar>
            <w:shd w:fill="F5F7F8"/>
          </w:tcPr>
          <w:p>
            <w:pPr>
              <w:spacing w:after="0" w:line="240" w:lineRule="auto"/>
            </w:pPr>
            <w:r/>
            <w:r>
              <w:rPr>
                <w:color w:val="232D34"/>
                <w:sz w:val="17"/>
              </w:rPr>
              <w:t>Residual-value guarantee</w:t>
            </w:r>
          </w:p>
        </w:tc>
        <w:tc>
          <w:tcPr>
            <w:tcW w:type="dxa" w:w="7343"/>
            <w:vAlign w:val="center"/>
            <w:tcMar>
              <w:top w:w="90" w:type="dxa"/>
              <w:start w:w="100" w:type="dxa"/>
              <w:bottom w:w="90" w:type="dxa"/>
              <w:end w:w="100" w:type="dxa"/>
            </w:tcMar>
            <w:shd w:fill="F5F7F8"/>
          </w:tcPr>
          <w:p>
            <w:pPr>
              <w:spacing w:after="0" w:line="240" w:lineRule="auto"/>
            </w:pPr>
            <w:r/>
            <w:r>
              <w:rPr>
                <w:color w:val="232D34"/>
                <w:sz w:val="17"/>
              </w:rPr>
              <w:t>Aggregate threshold approximately $13B, declining over time</w:t>
            </w:r>
          </w:p>
        </w:tc>
      </w:tr>
    </w:tbl>
    <w:p>
      <w:pPr>
        <w:spacing w:after="20"/>
      </w:pPr>
    </w:p>
    <w:p>
      <w:pPr>
        <w:spacing w:after="100" w:line="259" w:lineRule="auto"/>
      </w:pPr>
      <w:r>
        <w:t>The economic result is a sale/JV distribution plus a long lease and residual-value backstop. Meta reduces immediate consolidated construction funding, but it does not eliminate long-duration economic exposure to the facilities.</w:t>
      </w:r>
      <w:r>
        <w:rPr>
          <w:color w:val="2F5E75"/>
          <w:sz w:val="16"/>
          <w:vertAlign w:val="superscript"/>
        </w:rPr>
        <w:t xml:space="preserve"> [S10]</w:t>
      </w: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Double-count warning</w:t>
            </w:r>
          </w:p>
          <w:p>
            <w:pPr>
              <w:spacing w:after="0" w:line="252" w:lineRule="auto"/>
            </w:pPr>
            <w:r>
              <w:t>Meta’s $278.99B uncommenced leases, $349.31B contractual commitments, Hyperion financing, El Paso financing and $68B subsequent leases can overlap. A project lease can be included in the uncommenced lease figure while the associated equipment or cloud contract is included in contractual commitments. Do not sum them into “Meta owes $700B+.”</w:t>
            </w:r>
            <w:r>
              <w:rPr>
                <w:color w:val="2F5E75"/>
                <w:sz w:val="16"/>
                <w:vertAlign w:val="superscript"/>
              </w:rPr>
              <w:t xml:space="preserve"> [S10,S11]</w:t>
            </w:r>
          </w:p>
        </w:tc>
      </w:tr>
    </w:tbl>
    <w:p>
      <w:pPr>
        <w:spacing w:after="20"/>
      </w:pPr>
    </w:p>
    <w:p>
      <w:pPr>
        <w:pStyle w:val="Heading2"/>
        <w:keepNext/>
      </w:pPr>
      <w:r>
        <w:t>7.2 Alphabet / Google / Anthropic: the most engineered chain</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664"/>
            <w:shd w:fill="17324D"/>
            <w:vAlign w:val="center"/>
            <w:tcMar>
              <w:top w:w="100" w:type="dxa"/>
              <w:start w:w="110" w:type="dxa"/>
              <w:bottom w:w="100" w:type="dxa"/>
              <w:end w:w="110" w:type="dxa"/>
            </w:tcMar>
          </w:tcPr>
          <w:p>
            <w:pPr>
              <w:jc w:val="center"/>
            </w:pPr>
            <w:r/>
            <w:r>
              <w:rPr>
                <w:b/>
                <w:color w:val="FFFFFF"/>
                <w:sz w:val="15"/>
              </w:rPr>
              <w:t>Category</w:t>
            </w:r>
          </w:p>
        </w:tc>
        <w:tc>
          <w:tcPr>
            <w:tcW w:type="dxa" w:w="2376"/>
            <w:shd w:fill="17324D"/>
            <w:vAlign w:val="center"/>
            <w:tcMar>
              <w:top w:w="100" w:type="dxa"/>
              <w:start w:w="110" w:type="dxa"/>
              <w:bottom w:w="100" w:type="dxa"/>
              <w:end w:w="110" w:type="dxa"/>
            </w:tcMar>
          </w:tcPr>
          <w:p>
            <w:pPr>
              <w:jc w:val="center"/>
            </w:pPr>
            <w:r/>
            <w:r>
              <w:rPr>
                <w:b/>
                <w:color w:val="FFFFFF"/>
                <w:sz w:val="15"/>
              </w:rPr>
              <w:t>Amount</w:t>
            </w:r>
          </w:p>
        </w:tc>
        <w:tc>
          <w:tcPr>
            <w:tcW w:type="dxa" w:w="4680"/>
            <w:shd w:fill="17324D"/>
            <w:vAlign w:val="center"/>
            <w:tcMar>
              <w:top w:w="100" w:type="dxa"/>
              <w:start w:w="110" w:type="dxa"/>
              <w:bottom w:w="100" w:type="dxa"/>
              <w:end w:w="110" w:type="dxa"/>
            </w:tcMar>
          </w:tcPr>
          <w:p>
            <w:pPr>
              <w:jc w:val="center"/>
            </w:pPr>
            <w:r/>
            <w:r>
              <w:rPr>
                <w:b/>
                <w:color w:val="FFFFFF"/>
                <w:sz w:val="15"/>
              </w:rPr>
              <w:t>Meaning</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2664"/>
            <w:vAlign w:val="center"/>
            <w:tcMar>
              <w:top w:w="90" w:type="dxa"/>
              <w:start w:w="100" w:type="dxa"/>
              <w:bottom w:w="90" w:type="dxa"/>
              <w:end w:w="100" w:type="dxa"/>
            </w:tcMar>
          </w:tcPr>
          <w:p>
            <w:pPr>
              <w:spacing w:after="0" w:line="240" w:lineRule="auto"/>
            </w:pPr>
            <w:r/>
            <w:r>
              <w:rPr>
                <w:color w:val="232D34"/>
                <w:sz w:val="15"/>
              </w:rPr>
              <w:t>Purchase commitments and other contractual obligations</w:t>
            </w:r>
          </w:p>
        </w:tc>
        <w:tc>
          <w:tcPr>
            <w:tcW w:type="dxa" w:w="2376"/>
            <w:vAlign w:val="center"/>
            <w:tcMar>
              <w:top w:w="90" w:type="dxa"/>
              <w:start w:w="100" w:type="dxa"/>
              <w:bottom w:w="90" w:type="dxa"/>
              <w:end w:w="100" w:type="dxa"/>
            </w:tcMar>
          </w:tcPr>
          <w:p>
            <w:pPr>
              <w:spacing w:after="0" w:line="240" w:lineRule="auto"/>
              <w:jc w:val="center"/>
            </w:pPr>
            <w:r/>
            <w:r>
              <w:rPr>
                <w:color w:val="232D34"/>
                <w:sz w:val="15"/>
              </w:rPr>
              <w:t>$811.0B</w:t>
            </w:r>
          </w:p>
        </w:tc>
        <w:tc>
          <w:tcPr>
            <w:tcW w:type="dxa" w:w="4680"/>
            <w:vAlign w:val="center"/>
            <w:tcMar>
              <w:top w:w="90" w:type="dxa"/>
              <w:start w:w="100" w:type="dxa"/>
              <w:bottom w:w="90" w:type="dxa"/>
              <w:end w:w="100" w:type="dxa"/>
            </w:tcMar>
          </w:tcPr>
          <w:p>
            <w:pPr>
              <w:spacing w:after="0" w:line="240" w:lineRule="auto"/>
            </w:pPr>
            <w:r/>
            <w:r>
              <w:rPr>
                <w:color w:val="232D34"/>
                <w:sz w:val="15"/>
              </w:rPr>
              <w:t>$200.7B short-term; includes technical infrastructure and inventory</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S13</w:t>
            </w:r>
          </w:p>
        </w:tc>
      </w:tr>
      <w:tr>
        <w:trPr>
          <w:cantSplit/>
        </w:trPr>
        <w:tc>
          <w:tcPr>
            <w:tcW w:type="dxa" w:w="2664"/>
            <w:vAlign w:val="center"/>
            <w:tcMar>
              <w:top w:w="90" w:type="dxa"/>
              <w:start w:w="100" w:type="dxa"/>
              <w:bottom w:w="90" w:type="dxa"/>
              <w:end w:w="100" w:type="dxa"/>
            </w:tcMar>
            <w:shd w:fill="F5F7F8"/>
          </w:tcPr>
          <w:p>
            <w:pPr>
              <w:spacing w:after="0" w:line="240" w:lineRule="auto"/>
            </w:pPr>
            <w:r/>
            <w:r>
              <w:rPr>
                <w:color w:val="232D34"/>
                <w:sz w:val="15"/>
              </w:rPr>
              <w:t>Energy service and content commitments</w:t>
            </w:r>
          </w:p>
        </w:tc>
        <w:tc>
          <w:tcPr>
            <w:tcW w:type="dxa" w:w="2376"/>
            <w:vAlign w:val="center"/>
            <w:tcMar>
              <w:top w:w="90" w:type="dxa"/>
              <w:start w:w="100" w:type="dxa"/>
              <w:bottom w:w="90" w:type="dxa"/>
              <w:end w:w="100" w:type="dxa"/>
            </w:tcMar>
            <w:shd w:fill="F5F7F8"/>
          </w:tcPr>
          <w:p>
            <w:pPr>
              <w:spacing w:after="0" w:line="240" w:lineRule="auto"/>
              <w:jc w:val="center"/>
            </w:pPr>
            <w:r/>
            <w:r>
              <w:rPr>
                <w:color w:val="232D34"/>
                <w:sz w:val="15"/>
              </w:rPr>
              <w:t>$707.0B</w:t>
            </w:r>
          </w:p>
        </w:tc>
        <w:tc>
          <w:tcPr>
            <w:tcW w:type="dxa" w:w="4680"/>
            <w:vAlign w:val="center"/>
            <w:tcMar>
              <w:top w:w="90" w:type="dxa"/>
              <w:start w:w="100" w:type="dxa"/>
              <w:bottom w:w="90" w:type="dxa"/>
              <w:end w:w="100" w:type="dxa"/>
            </w:tcMar>
            <w:shd w:fill="F5F7F8"/>
          </w:tcPr>
          <w:p>
            <w:pPr>
              <w:spacing w:after="0" w:line="240" w:lineRule="auto"/>
            </w:pPr>
            <w:r/>
            <w:r>
              <w:rPr>
                <w:color w:val="232D34"/>
                <w:sz w:val="15"/>
              </w:rPr>
              <w:t>Described within the broader obligation framework; generally through 2030, energy agreements 2–26 years through 2054</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S13</w:t>
            </w:r>
          </w:p>
        </w:tc>
      </w:tr>
      <w:tr>
        <w:trPr>
          <w:cantSplit/>
        </w:trPr>
        <w:tc>
          <w:tcPr>
            <w:tcW w:type="dxa" w:w="2664"/>
            <w:vAlign w:val="center"/>
            <w:tcMar>
              <w:top w:w="90" w:type="dxa"/>
              <w:start w:w="100" w:type="dxa"/>
              <w:bottom w:w="90" w:type="dxa"/>
              <w:end w:w="100" w:type="dxa"/>
            </w:tcMar>
          </w:tcPr>
          <w:p>
            <w:pPr>
              <w:spacing w:after="0" w:line="240" w:lineRule="auto"/>
            </w:pPr>
            <w:r/>
            <w:r>
              <w:rPr>
                <w:color w:val="232D34"/>
                <w:sz w:val="15"/>
              </w:rPr>
              <w:t>Financial guarantees</w:t>
            </w:r>
          </w:p>
        </w:tc>
        <w:tc>
          <w:tcPr>
            <w:tcW w:type="dxa" w:w="2376"/>
            <w:vAlign w:val="center"/>
            <w:tcMar>
              <w:top w:w="90" w:type="dxa"/>
              <w:start w:w="100" w:type="dxa"/>
              <w:bottom w:w="90" w:type="dxa"/>
              <w:end w:w="100" w:type="dxa"/>
            </w:tcMar>
          </w:tcPr>
          <w:p>
            <w:pPr>
              <w:spacing w:after="0" w:line="240" w:lineRule="auto"/>
              <w:jc w:val="center"/>
            </w:pPr>
            <w:r/>
            <w:r>
              <w:rPr>
                <w:color w:val="232D34"/>
                <w:sz w:val="15"/>
              </w:rPr>
              <w:t>$7.6B</w:t>
            </w:r>
          </w:p>
        </w:tc>
        <w:tc>
          <w:tcPr>
            <w:tcW w:type="dxa" w:w="4680"/>
            <w:vAlign w:val="center"/>
            <w:tcMar>
              <w:top w:w="90" w:type="dxa"/>
              <w:start w:w="100" w:type="dxa"/>
              <w:bottom w:w="90" w:type="dxa"/>
              <w:end w:w="100" w:type="dxa"/>
            </w:tcMar>
          </w:tcPr>
          <w:p>
            <w:pPr>
              <w:spacing w:after="0" w:line="240" w:lineRule="auto"/>
              <w:jc w:val="center"/>
            </w:pPr>
            <w:r/>
            <w:r>
              <w:rPr>
                <w:color w:val="232D34"/>
                <w:sz w:val="15"/>
              </w:rPr>
              <w:t>Maximum future payments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S13</w:t>
            </w:r>
          </w:p>
        </w:tc>
      </w:tr>
      <w:tr>
        <w:trPr>
          <w:cantSplit/>
        </w:trPr>
        <w:tc>
          <w:tcPr>
            <w:tcW w:type="dxa" w:w="2664"/>
            <w:vAlign w:val="center"/>
            <w:tcMar>
              <w:top w:w="90" w:type="dxa"/>
              <w:start w:w="100" w:type="dxa"/>
              <w:bottom w:w="90" w:type="dxa"/>
              <w:end w:w="100" w:type="dxa"/>
            </w:tcMar>
            <w:shd w:fill="F5F7F8"/>
          </w:tcPr>
          <w:p>
            <w:pPr>
              <w:spacing w:after="0" w:line="240" w:lineRule="auto"/>
            </w:pPr>
            <w:r/>
            <w:r>
              <w:rPr>
                <w:color w:val="232D34"/>
                <w:sz w:val="15"/>
              </w:rPr>
              <w:t>Credit derivatives / lease backstops</w:t>
            </w:r>
          </w:p>
        </w:tc>
        <w:tc>
          <w:tcPr>
            <w:tcW w:type="dxa" w:w="2376"/>
            <w:vAlign w:val="center"/>
            <w:tcMar>
              <w:top w:w="90" w:type="dxa"/>
              <w:start w:w="100" w:type="dxa"/>
              <w:bottom w:w="90" w:type="dxa"/>
              <w:end w:w="100" w:type="dxa"/>
            </w:tcMar>
            <w:shd w:fill="F5F7F8"/>
          </w:tcPr>
          <w:p>
            <w:pPr>
              <w:spacing w:after="0" w:line="240" w:lineRule="auto"/>
              <w:jc w:val="center"/>
            </w:pPr>
            <w:r/>
            <w:r>
              <w:rPr>
                <w:color w:val="232D34"/>
                <w:sz w:val="15"/>
              </w:rPr>
              <w:t>$43.785B gross notional</w:t>
            </w:r>
          </w:p>
        </w:tc>
        <w:tc>
          <w:tcPr>
            <w:tcW w:type="dxa" w:w="4680"/>
            <w:vAlign w:val="center"/>
            <w:tcMar>
              <w:top w:w="90" w:type="dxa"/>
              <w:start w:w="100" w:type="dxa"/>
              <w:bottom w:w="90" w:type="dxa"/>
              <w:end w:w="100" w:type="dxa"/>
            </w:tcMar>
            <w:shd w:fill="F5F7F8"/>
          </w:tcPr>
          <w:p>
            <w:pPr>
              <w:spacing w:after="0" w:line="240" w:lineRule="auto"/>
            </w:pPr>
            <w:r/>
            <w:r>
              <w:rPr>
                <w:color w:val="232D34"/>
                <w:sz w:val="15"/>
              </w:rPr>
              <w:t>Existing instruments; not equivalent to expected loss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S13</w:t>
            </w:r>
          </w:p>
        </w:tc>
      </w:tr>
      <w:tr>
        <w:trPr>
          <w:cantSplit/>
        </w:trPr>
        <w:tc>
          <w:tcPr>
            <w:tcW w:type="dxa" w:w="2664"/>
            <w:vAlign w:val="center"/>
            <w:tcMar>
              <w:top w:w="90" w:type="dxa"/>
              <w:start w:w="100" w:type="dxa"/>
              <w:bottom w:w="90" w:type="dxa"/>
              <w:end w:w="100" w:type="dxa"/>
            </w:tcMar>
          </w:tcPr>
          <w:p>
            <w:pPr>
              <w:spacing w:after="0" w:line="240" w:lineRule="auto"/>
            </w:pPr>
            <w:r/>
            <w:r>
              <w:rPr>
                <w:color w:val="232D34"/>
                <w:sz w:val="15"/>
              </w:rPr>
              <w:t>Estimated future backstops</w:t>
            </w:r>
          </w:p>
        </w:tc>
        <w:tc>
          <w:tcPr>
            <w:tcW w:type="dxa" w:w="2376"/>
            <w:vAlign w:val="center"/>
            <w:tcMar>
              <w:top w:w="90" w:type="dxa"/>
              <w:start w:w="100" w:type="dxa"/>
              <w:bottom w:w="90" w:type="dxa"/>
              <w:end w:w="100" w:type="dxa"/>
            </w:tcMar>
          </w:tcPr>
          <w:p>
            <w:pPr>
              <w:spacing w:after="0" w:line="240" w:lineRule="auto"/>
              <w:jc w:val="center"/>
            </w:pPr>
            <w:r/>
            <w:r>
              <w:rPr>
                <w:color w:val="232D34"/>
                <w:sz w:val="15"/>
              </w:rPr>
              <w:t>$24.1B</w:t>
            </w:r>
          </w:p>
        </w:tc>
        <w:tc>
          <w:tcPr>
            <w:tcW w:type="dxa" w:w="4680"/>
            <w:vAlign w:val="center"/>
            <w:tcMar>
              <w:top w:w="90" w:type="dxa"/>
              <w:start w:w="100" w:type="dxa"/>
              <w:bottom w:w="90" w:type="dxa"/>
              <w:end w:w="100" w:type="dxa"/>
            </w:tcMar>
          </w:tcPr>
          <w:p>
            <w:pPr>
              <w:spacing w:after="0" w:line="240" w:lineRule="auto"/>
            </w:pPr>
            <w:r/>
            <w:r>
              <w:rPr>
                <w:color w:val="232D34"/>
                <w:sz w:val="15"/>
              </w:rPr>
              <w:t>Agreement not yet finalized at filing date</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S13</w:t>
            </w:r>
          </w:p>
        </w:tc>
      </w:tr>
      <w:tr>
        <w:trPr>
          <w:cantSplit/>
        </w:trPr>
        <w:tc>
          <w:tcPr>
            <w:tcW w:type="dxa" w:w="2664"/>
            <w:vAlign w:val="center"/>
            <w:tcMar>
              <w:top w:w="90" w:type="dxa"/>
              <w:start w:w="100" w:type="dxa"/>
              <w:bottom w:w="90" w:type="dxa"/>
              <w:end w:w="100" w:type="dxa"/>
            </w:tcMar>
            <w:shd w:fill="F5F7F8"/>
          </w:tcPr>
          <w:p>
            <w:pPr>
              <w:spacing w:after="0" w:line="240" w:lineRule="auto"/>
            </w:pPr>
            <w:r/>
            <w:r>
              <w:rPr>
                <w:color w:val="232D34"/>
                <w:sz w:val="15"/>
              </w:rPr>
              <w:t>Contingent private-company capital commitment</w:t>
            </w:r>
          </w:p>
        </w:tc>
        <w:tc>
          <w:tcPr>
            <w:tcW w:type="dxa" w:w="2376"/>
            <w:vAlign w:val="center"/>
            <w:tcMar>
              <w:top w:w="90" w:type="dxa"/>
              <w:start w:w="100" w:type="dxa"/>
              <w:bottom w:w="90" w:type="dxa"/>
              <w:end w:w="100" w:type="dxa"/>
            </w:tcMar>
            <w:shd w:fill="F5F7F8"/>
          </w:tcPr>
          <w:p>
            <w:pPr>
              <w:spacing w:after="0" w:line="240" w:lineRule="auto"/>
              <w:jc w:val="center"/>
            </w:pPr>
            <w:r/>
            <w:r>
              <w:rPr>
                <w:color w:val="232D34"/>
                <w:sz w:val="15"/>
              </w:rPr>
              <w:t>$20.0B</w:t>
            </w:r>
          </w:p>
        </w:tc>
        <w:tc>
          <w:tcPr>
            <w:tcW w:type="dxa" w:w="4680"/>
            <w:vAlign w:val="center"/>
            <w:tcMar>
              <w:top w:w="90" w:type="dxa"/>
              <w:start w:w="100" w:type="dxa"/>
              <w:bottom w:w="90" w:type="dxa"/>
              <w:end w:w="100" w:type="dxa"/>
            </w:tcMar>
            <w:shd w:fill="F5F7F8"/>
          </w:tcPr>
          <w:p>
            <w:pPr>
              <w:spacing w:after="0" w:line="240" w:lineRule="auto"/>
            </w:pPr>
            <w:r/>
            <w:r>
              <w:rPr>
                <w:color w:val="232D34"/>
                <w:sz w:val="15"/>
              </w:rPr>
              <w:t>Funding through 2030 subject to conditions; filing does not need to identify counterparty for this analysis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S13</w:t>
            </w:r>
          </w:p>
        </w:tc>
      </w:tr>
      <w:tr>
        <w:trPr>
          <w:cantSplit/>
        </w:trPr>
        <w:tc>
          <w:tcPr>
            <w:tcW w:type="dxa" w:w="2664"/>
            <w:vAlign w:val="center"/>
            <w:tcMar>
              <w:top w:w="90" w:type="dxa"/>
              <w:start w:w="100" w:type="dxa"/>
              <w:bottom w:w="90" w:type="dxa"/>
              <w:end w:w="100" w:type="dxa"/>
            </w:tcMar>
          </w:tcPr>
          <w:p>
            <w:pPr>
              <w:spacing w:after="0" w:line="240" w:lineRule="auto"/>
            </w:pPr>
            <w:r/>
            <w:r>
              <w:rPr>
                <w:color w:val="232D34"/>
                <w:sz w:val="15"/>
              </w:rPr>
              <w:t>Cloud backlog</w:t>
            </w:r>
          </w:p>
        </w:tc>
        <w:tc>
          <w:tcPr>
            <w:tcW w:type="dxa" w:w="2376"/>
            <w:vAlign w:val="center"/>
            <w:tcMar>
              <w:top w:w="90" w:type="dxa"/>
              <w:start w:w="100" w:type="dxa"/>
              <w:bottom w:w="90" w:type="dxa"/>
              <w:end w:w="100" w:type="dxa"/>
            </w:tcMar>
          </w:tcPr>
          <w:p>
            <w:pPr>
              <w:spacing w:after="0" w:line="240" w:lineRule="auto"/>
            </w:pPr>
            <w:r/>
            <w:r>
              <w:rPr>
                <w:color w:val="232D34"/>
                <w:sz w:val="15"/>
              </w:rPr>
              <w:t>$519.5B total / $513.9B Google Cloud</w:t>
            </w:r>
          </w:p>
        </w:tc>
        <w:tc>
          <w:tcPr>
            <w:tcW w:type="dxa" w:w="4680"/>
            <w:vAlign w:val="center"/>
            <w:tcMar>
              <w:top w:w="90" w:type="dxa"/>
              <w:start w:w="100" w:type="dxa"/>
              <w:bottom w:w="90" w:type="dxa"/>
              <w:end w:w="100" w:type="dxa"/>
            </w:tcMar>
          </w:tcPr>
          <w:p>
            <w:pPr>
              <w:spacing w:after="0" w:line="240" w:lineRule="auto"/>
            </w:pPr>
            <w:r/>
            <w:r>
              <w:rPr>
                <w:color w:val="232D34"/>
                <w:sz w:val="15"/>
              </w:rPr>
              <w:t>More than half expected within 24 months; contract terms up to 15 years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S13</w:t>
            </w:r>
          </w:p>
        </w:tc>
      </w:tr>
    </w:tbl>
    <w:p>
      <w:pPr>
        <w:spacing w:after="20"/>
      </w:pPr>
    </w:p>
    <w:p>
      <w:pPr>
        <w:pStyle w:val="Heading3"/>
        <w:keepNext/>
      </w:pPr>
      <w:r>
        <w:t>Anthropic TPU financing chain</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1728"/>
            <w:shd w:fill="17324D"/>
            <w:vAlign w:val="center"/>
            <w:tcMar>
              <w:top w:w="100" w:type="dxa"/>
              <w:start w:w="110" w:type="dxa"/>
              <w:bottom w:w="100" w:type="dxa"/>
              <w:end w:w="110" w:type="dxa"/>
            </w:tcMar>
          </w:tcPr>
          <w:p>
            <w:pPr>
              <w:jc w:val="center"/>
            </w:pPr>
            <w:r/>
            <w:r>
              <w:rPr>
                <w:b/>
                <w:color w:val="FFFFFF"/>
                <w:sz w:val="15"/>
              </w:rPr>
              <w:t>Participant</w:t>
            </w:r>
          </w:p>
        </w:tc>
        <w:tc>
          <w:tcPr>
            <w:tcW w:type="dxa" w:w="3096"/>
            <w:shd w:fill="17324D"/>
            <w:vAlign w:val="center"/>
            <w:tcMar>
              <w:top w:w="100" w:type="dxa"/>
              <w:start w:w="110" w:type="dxa"/>
              <w:bottom w:w="100" w:type="dxa"/>
              <w:end w:w="110" w:type="dxa"/>
            </w:tcMar>
          </w:tcPr>
          <w:p>
            <w:pPr>
              <w:jc w:val="center"/>
            </w:pPr>
            <w:r/>
            <w:r>
              <w:rPr>
                <w:b/>
                <w:color w:val="FFFFFF"/>
                <w:sz w:val="15"/>
              </w:rPr>
              <w:t>Role</w:t>
            </w:r>
          </w:p>
        </w:tc>
        <w:tc>
          <w:tcPr>
            <w:tcW w:type="dxa" w:w="4824"/>
            <w:shd w:fill="17324D"/>
            <w:vAlign w:val="center"/>
            <w:tcMar>
              <w:top w:w="100" w:type="dxa"/>
              <w:start w:w="110" w:type="dxa"/>
              <w:bottom w:w="100" w:type="dxa"/>
              <w:end w:w="110" w:type="dxa"/>
            </w:tcMar>
          </w:tcPr>
          <w:p>
            <w:pPr>
              <w:jc w:val="center"/>
            </w:pPr>
            <w:r/>
            <w:r>
              <w:rPr>
                <w:b/>
                <w:color w:val="FFFFFF"/>
                <w:sz w:val="15"/>
              </w:rPr>
              <w:t>Disclosed / reported number</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Google</w:t>
            </w:r>
          </w:p>
        </w:tc>
        <w:tc>
          <w:tcPr>
            <w:tcW w:type="dxa" w:w="3096"/>
            <w:vAlign w:val="center"/>
            <w:tcMar>
              <w:top w:w="90" w:type="dxa"/>
              <w:start w:w="100" w:type="dxa"/>
              <w:bottom w:w="90" w:type="dxa"/>
              <w:end w:w="100" w:type="dxa"/>
            </w:tcMar>
          </w:tcPr>
          <w:p>
            <w:pPr>
              <w:spacing w:after="0" w:line="240" w:lineRule="auto"/>
            </w:pPr>
            <w:r/>
            <w:r>
              <w:rPr>
                <w:color w:val="232D34"/>
                <w:sz w:val="15"/>
              </w:rPr>
              <w:t>Designs/supplies TPUs; supports selected leases and powered sites</w:t>
            </w:r>
          </w:p>
        </w:tc>
        <w:tc>
          <w:tcPr>
            <w:tcW w:type="dxa" w:w="4824"/>
            <w:vAlign w:val="center"/>
            <w:tcMar>
              <w:top w:w="90" w:type="dxa"/>
              <w:start w:w="100" w:type="dxa"/>
              <w:bottom w:w="90" w:type="dxa"/>
              <w:end w:w="100" w:type="dxa"/>
            </w:tcMar>
          </w:tcPr>
          <w:p>
            <w:pPr>
              <w:spacing w:after="0" w:line="240" w:lineRule="auto"/>
            </w:pPr>
            <w:r/>
            <w:r>
              <w:rPr>
                <w:color w:val="232D34"/>
                <w:sz w:val="15"/>
              </w:rPr>
              <w:t>Maximum reported exposure ~$44B; only ~$815M balance-sheet amount identified in FT analysis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S12</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Broadcom</w:t>
            </w:r>
          </w:p>
        </w:tc>
        <w:tc>
          <w:tcPr>
            <w:tcW w:type="dxa" w:w="3096"/>
            <w:vAlign w:val="center"/>
            <w:tcMar>
              <w:top w:w="90" w:type="dxa"/>
              <w:start w:w="100" w:type="dxa"/>
              <w:bottom w:w="90" w:type="dxa"/>
              <w:end w:w="100" w:type="dxa"/>
            </w:tcMar>
            <w:shd w:fill="F5F7F8"/>
          </w:tcPr>
          <w:p>
            <w:pPr>
              <w:spacing w:after="0" w:line="240" w:lineRule="auto"/>
            </w:pPr>
            <w:r/>
            <w:r>
              <w:rPr>
                <w:color w:val="232D34"/>
                <w:sz w:val="15"/>
              </w:rPr>
              <w:t>Manufacturing / platform counterparty and residual-value support</w:t>
            </w:r>
          </w:p>
        </w:tc>
        <w:tc>
          <w:tcPr>
            <w:tcW w:type="dxa" w:w="4824"/>
            <w:vAlign w:val="center"/>
            <w:tcMar>
              <w:top w:w="90" w:type="dxa"/>
              <w:start w:w="100" w:type="dxa"/>
              <w:bottom w:w="90" w:type="dxa"/>
              <w:end w:w="100" w:type="dxa"/>
            </w:tcMar>
            <w:shd w:fill="F5F7F8"/>
          </w:tcPr>
          <w:p>
            <w:pPr>
              <w:spacing w:after="0" w:line="240" w:lineRule="auto"/>
            </w:pPr>
            <w:r/>
            <w:r>
              <w:rPr>
                <w:color w:val="232D34"/>
                <w:sz w:val="15"/>
              </w:rPr>
              <w:t>$128B reported purchase commitments for 3.5GW; ~$30B support on senior portions of initial $35B financing</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S12</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Compute SPV</w:t>
            </w:r>
          </w:p>
        </w:tc>
        <w:tc>
          <w:tcPr>
            <w:tcW w:type="dxa" w:w="3096"/>
            <w:vAlign w:val="center"/>
            <w:tcMar>
              <w:top w:w="90" w:type="dxa"/>
              <w:start w:w="100" w:type="dxa"/>
              <w:bottom w:w="90" w:type="dxa"/>
              <w:end w:w="100" w:type="dxa"/>
            </w:tcMar>
          </w:tcPr>
          <w:p>
            <w:pPr>
              <w:spacing w:after="0" w:line="240" w:lineRule="auto"/>
            </w:pPr>
            <w:r/>
            <w:r>
              <w:rPr>
                <w:color w:val="232D34"/>
                <w:sz w:val="15"/>
              </w:rPr>
              <w:t>Buys TPU hardware and leases it to Anthropic</w:t>
            </w:r>
          </w:p>
        </w:tc>
        <w:tc>
          <w:tcPr>
            <w:tcW w:type="dxa" w:w="4824"/>
            <w:vAlign w:val="center"/>
            <w:tcMar>
              <w:top w:w="90" w:type="dxa"/>
              <w:start w:w="100" w:type="dxa"/>
              <w:bottom w:w="90" w:type="dxa"/>
              <w:end w:w="100" w:type="dxa"/>
            </w:tcMar>
          </w:tcPr>
          <w:p>
            <w:pPr>
              <w:spacing w:after="0" w:line="240" w:lineRule="auto"/>
            </w:pPr>
            <w:r/>
            <w:r>
              <w:rPr>
                <w:color w:val="232D34"/>
                <w:sz w:val="15"/>
              </w:rPr>
              <w:t>Initial $35B capital solution; approximately 1GW / roughly 1M TPUs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S12,S14</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Apollo / Blackstone / banks</w:t>
            </w:r>
          </w:p>
        </w:tc>
        <w:tc>
          <w:tcPr>
            <w:tcW w:type="dxa" w:w="3096"/>
            <w:vAlign w:val="center"/>
            <w:tcMar>
              <w:top w:w="90" w:type="dxa"/>
              <w:start w:w="100" w:type="dxa"/>
              <w:bottom w:w="90" w:type="dxa"/>
              <w:end w:w="100" w:type="dxa"/>
            </w:tcMar>
            <w:shd w:fill="F5F7F8"/>
          </w:tcPr>
          <w:p>
            <w:pPr>
              <w:spacing w:after="0" w:line="240" w:lineRule="auto"/>
            </w:pPr>
            <w:r/>
            <w:r>
              <w:rPr>
                <w:color w:val="232D34"/>
                <w:sz w:val="15"/>
              </w:rPr>
              <w:t>Debt arrangers and capital providers</w:t>
            </w:r>
          </w:p>
        </w:tc>
        <w:tc>
          <w:tcPr>
            <w:tcW w:type="dxa" w:w="4824"/>
            <w:vAlign w:val="center"/>
            <w:tcMar>
              <w:top w:w="90" w:type="dxa"/>
              <w:start w:w="100" w:type="dxa"/>
              <w:bottom w:w="90" w:type="dxa"/>
              <w:end w:w="100" w:type="dxa"/>
            </w:tcMar>
            <w:shd w:fill="F5F7F8"/>
          </w:tcPr>
          <w:p>
            <w:pPr>
              <w:spacing w:after="0" w:line="240" w:lineRule="auto"/>
            </w:pPr>
            <w:r/>
            <w:r>
              <w:rPr>
                <w:color w:val="232D34"/>
                <w:sz w:val="15"/>
              </w:rPr>
              <w:t>Three debt tranches in initial structure; syndication to institutional investors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S12,S14</w:t>
            </w:r>
          </w:p>
        </w:tc>
      </w:tr>
      <w:tr>
        <w:trPr>
          <w:cantSplit/>
        </w:trPr>
        <w:tc>
          <w:tcPr>
            <w:tcW w:type="dxa" w:w="1728"/>
            <w:vAlign w:val="center"/>
            <w:tcMar>
              <w:top w:w="90" w:type="dxa"/>
              <w:start w:w="100" w:type="dxa"/>
              <w:bottom w:w="90" w:type="dxa"/>
              <w:end w:w="100" w:type="dxa"/>
            </w:tcMar>
          </w:tcPr>
          <w:p>
            <w:pPr>
              <w:spacing w:after="0" w:line="240" w:lineRule="auto"/>
            </w:pPr>
            <w:r/>
            <w:r>
              <w:rPr>
                <w:color w:val="232D34"/>
                <w:sz w:val="15"/>
              </w:rPr>
              <w:t>Anthropic</w:t>
            </w:r>
          </w:p>
        </w:tc>
        <w:tc>
          <w:tcPr>
            <w:tcW w:type="dxa" w:w="3096"/>
            <w:vAlign w:val="center"/>
            <w:tcMar>
              <w:top w:w="90" w:type="dxa"/>
              <w:start w:w="100" w:type="dxa"/>
              <w:bottom w:w="90" w:type="dxa"/>
              <w:end w:w="100" w:type="dxa"/>
            </w:tcMar>
          </w:tcPr>
          <w:p>
            <w:pPr>
              <w:spacing w:after="0" w:line="240" w:lineRule="auto"/>
              <w:jc w:val="center"/>
            </w:pPr>
            <w:r/>
            <w:r>
              <w:rPr>
                <w:color w:val="232D34"/>
                <w:sz w:val="15"/>
              </w:rPr>
              <w:t>Lessee / compute user</w:t>
            </w:r>
          </w:p>
        </w:tc>
        <w:tc>
          <w:tcPr>
            <w:tcW w:type="dxa" w:w="4824"/>
            <w:vAlign w:val="center"/>
            <w:tcMar>
              <w:top w:w="90" w:type="dxa"/>
              <w:start w:w="100" w:type="dxa"/>
              <w:bottom w:w="90" w:type="dxa"/>
              <w:end w:w="100" w:type="dxa"/>
            </w:tcMar>
          </w:tcPr>
          <w:p>
            <w:pPr>
              <w:spacing w:after="0" w:line="240" w:lineRule="auto"/>
            </w:pPr>
            <w:r/>
            <w:r>
              <w:rPr>
                <w:color w:val="232D34"/>
                <w:sz w:val="15"/>
              </w:rPr>
              <w:t>Payment stream supports SPV debt; debt can remain outside Anthropic conventional balance-sheet debt</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S12,S14,S15</w:t>
            </w:r>
          </w:p>
        </w:tc>
      </w:tr>
      <w:tr>
        <w:trPr>
          <w:cantSplit/>
        </w:trPr>
        <w:tc>
          <w:tcPr>
            <w:tcW w:type="dxa" w:w="1728"/>
            <w:vAlign w:val="center"/>
            <w:tcMar>
              <w:top w:w="90" w:type="dxa"/>
              <w:start w:w="100" w:type="dxa"/>
              <w:bottom w:w="90" w:type="dxa"/>
              <w:end w:w="100" w:type="dxa"/>
            </w:tcMar>
            <w:shd w:fill="F5F7F8"/>
          </w:tcPr>
          <w:p>
            <w:pPr>
              <w:spacing w:after="0" w:line="240" w:lineRule="auto"/>
            </w:pPr>
            <w:r/>
            <w:r>
              <w:rPr>
                <w:color w:val="232D34"/>
                <w:sz w:val="15"/>
              </w:rPr>
              <w:t>TeraWulf / Cipher / Hut 8 and site SPVs</w:t>
            </w:r>
          </w:p>
        </w:tc>
        <w:tc>
          <w:tcPr>
            <w:tcW w:type="dxa" w:w="3096"/>
            <w:vAlign w:val="center"/>
            <w:tcMar>
              <w:top w:w="90" w:type="dxa"/>
              <w:start w:w="100" w:type="dxa"/>
              <w:bottom w:w="90" w:type="dxa"/>
              <w:end w:w="100" w:type="dxa"/>
            </w:tcMar>
            <w:shd w:fill="F5F7F8"/>
          </w:tcPr>
          <w:p>
            <w:pPr>
              <w:spacing w:after="0" w:line="240" w:lineRule="auto"/>
              <w:jc w:val="center"/>
            </w:pPr>
            <w:r/>
            <w:r>
              <w:rPr>
                <w:color w:val="232D34"/>
                <w:sz w:val="15"/>
              </w:rPr>
              <w:t>Powered data-center sites</w:t>
            </w:r>
          </w:p>
        </w:tc>
        <w:tc>
          <w:tcPr>
            <w:tcW w:type="dxa" w:w="4824"/>
            <w:vAlign w:val="center"/>
            <w:tcMar>
              <w:top w:w="90" w:type="dxa"/>
              <w:start w:w="100" w:type="dxa"/>
              <w:bottom w:w="90" w:type="dxa"/>
              <w:end w:w="100" w:type="dxa"/>
            </w:tcMar>
            <w:shd w:fill="F5F7F8"/>
          </w:tcPr>
          <w:p>
            <w:pPr>
              <w:spacing w:after="0" w:line="240" w:lineRule="auto"/>
            </w:pPr>
            <w:r/>
            <w:r>
              <w:rPr>
                <w:color w:val="232D34"/>
                <w:sz w:val="15"/>
              </w:rPr>
              <w:t>Approximately $15B debt across roughly 2.4GW in reported arrangements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S12</w:t>
            </w:r>
          </w:p>
        </w:tc>
      </w:tr>
    </w:tbl>
    <w:p>
      <w:pPr>
        <w:spacing w:after="20"/>
      </w:pPr>
    </w:p>
    <w:p>
      <w:pPr>
        <w:spacing w:after="100" w:line="259" w:lineRule="auto"/>
      </w:pPr>
      <w:r>
        <w:t>This is a vendor-financing model: the hardware seller or platform partner supports residual value; an SPV raises debt to buy the equipment; the AI lab signs a lease; and Google supports selected site or lease obligations. The risk is distributed, not extinguished. If Anthropic cannot pay, lenders depend on guarantees, Broadcom support, Google backstops and the resale value of specialized hardware.</w:t>
      </w:r>
      <w:r>
        <w:rPr>
          <w:color w:val="2F5E75"/>
          <w:sz w:val="16"/>
          <w:vertAlign w:val="superscript"/>
        </w:rPr>
        <w:t xml:space="preserve"> [S12,S14]</w:t>
      </w:r>
    </w:p>
    <w:p>
      <w:pPr>
        <w:pStyle w:val="Heading2"/>
        <w:keepNext/>
      </w:pPr>
      <w:r>
        <w:t>7.3 Amazon / AWS / OpenAI / Anthropic</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736"/>
            <w:shd w:fill="17324D"/>
            <w:vAlign w:val="center"/>
            <w:tcMar>
              <w:top w:w="100" w:type="dxa"/>
              <w:start w:w="110" w:type="dxa"/>
              <w:bottom w:w="100" w:type="dxa"/>
              <w:end w:w="110" w:type="dxa"/>
            </w:tcMar>
          </w:tcPr>
          <w:p>
            <w:pPr>
              <w:jc w:val="center"/>
            </w:pPr>
            <w:r/>
            <w:r>
              <w:rPr>
                <w:b/>
                <w:color w:val="FFFFFF"/>
                <w:sz w:val="15"/>
              </w:rPr>
              <w:t>Category</w:t>
            </w:r>
          </w:p>
        </w:tc>
        <w:tc>
          <w:tcPr>
            <w:tcW w:type="dxa" w:w="2232"/>
            <w:shd w:fill="17324D"/>
            <w:vAlign w:val="center"/>
            <w:tcMar>
              <w:top w:w="100" w:type="dxa"/>
              <w:start w:w="110" w:type="dxa"/>
              <w:bottom w:w="100" w:type="dxa"/>
              <w:end w:w="110" w:type="dxa"/>
            </w:tcMar>
          </w:tcPr>
          <w:p>
            <w:pPr>
              <w:jc w:val="center"/>
            </w:pPr>
            <w:r/>
            <w:r>
              <w:rPr>
                <w:b/>
                <w:color w:val="FFFFFF"/>
                <w:sz w:val="15"/>
              </w:rPr>
              <w:t>Amount</w:t>
            </w:r>
          </w:p>
        </w:tc>
        <w:tc>
          <w:tcPr>
            <w:tcW w:type="dxa" w:w="4608"/>
            <w:shd w:fill="17324D"/>
            <w:vAlign w:val="center"/>
            <w:tcMar>
              <w:top w:w="100" w:type="dxa"/>
              <w:start w:w="110" w:type="dxa"/>
              <w:bottom w:w="100" w:type="dxa"/>
              <w:end w:w="110" w:type="dxa"/>
            </w:tcMar>
          </w:tcPr>
          <w:p>
            <w:pPr>
              <w:jc w:val="center"/>
            </w:pPr>
            <w:r/>
            <w:r>
              <w:rPr>
                <w:b/>
                <w:color w:val="FFFFFF"/>
                <w:sz w:val="15"/>
              </w:rPr>
              <w:t>Meaning</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Long-term debt principal + interest</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$203.538B</w:t>
            </w:r>
          </w:p>
        </w:tc>
        <w:tc>
          <w:tcPr>
            <w:tcW w:type="dxa" w:w="4608"/>
            <w:vAlign w:val="center"/>
            <w:tcMar>
              <w:top w:w="90" w:type="dxa"/>
              <w:start w:w="100" w:type="dxa"/>
              <w:bottom w:w="90" w:type="dxa"/>
              <w:end w:w="100" w:type="dxa"/>
            </w:tcMar>
          </w:tcPr>
          <w:p>
            <w:pPr>
              <w:spacing w:after="0" w:line="240" w:lineRule="auto"/>
            </w:pPr>
            <w:r/>
            <w:r>
              <w:rPr>
                <w:color w:val="232D34"/>
                <w:sz w:val="15"/>
              </w:rPr>
              <w:t>As of Mar. 31, 2026 contractual schedule</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Operating lease liabilities</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$110.135B</w:t>
            </w:r>
          </w:p>
        </w:tc>
        <w:tc>
          <w:tcPr>
            <w:tcW w:type="dxa" w:w="4608"/>
            <w:vAlign w:val="center"/>
            <w:tcMar>
              <w:top w:w="90" w:type="dxa"/>
              <w:start w:w="100" w:type="dxa"/>
              <w:bottom w:w="90" w:type="dxa"/>
              <w:end w:w="100" w:type="dxa"/>
            </w:tcMar>
            <w:shd w:fill="F5F7F8"/>
          </w:tcPr>
          <w:p>
            <w:pPr>
              <w:spacing w:after="0" w:line="240" w:lineRule="auto"/>
              <w:jc w:val="center"/>
            </w:pPr>
            <w:r/>
            <w:r>
              <w:rPr>
                <w:color w:val="232D34"/>
                <w:sz w:val="15"/>
              </w:rPr>
              <w:t>Contractual schedule</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Finance lease liabilities</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$16.496B</w:t>
            </w:r>
          </w:p>
        </w:tc>
        <w:tc>
          <w:tcPr>
            <w:tcW w:type="dxa" w:w="4608"/>
            <w:vAlign w:val="center"/>
            <w:tcMar>
              <w:top w:w="90" w:type="dxa"/>
              <w:start w:w="100" w:type="dxa"/>
              <w:bottom w:w="90" w:type="dxa"/>
              <w:end w:w="100" w:type="dxa"/>
            </w:tcMar>
          </w:tcPr>
          <w:p>
            <w:pPr>
              <w:spacing w:after="0" w:line="240" w:lineRule="auto"/>
              <w:jc w:val="center"/>
            </w:pPr>
            <w:r/>
            <w:r>
              <w:rPr>
                <w:color w:val="232D34"/>
                <w:sz w:val="15"/>
              </w:rPr>
              <w:t>Including interest</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Financing obligations</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$10.183B</w:t>
            </w:r>
          </w:p>
        </w:tc>
        <w:tc>
          <w:tcPr>
            <w:tcW w:type="dxa" w:w="4608"/>
            <w:vAlign w:val="center"/>
            <w:tcMar>
              <w:top w:w="90" w:type="dxa"/>
              <w:start w:w="100" w:type="dxa"/>
              <w:bottom w:w="90" w:type="dxa"/>
              <w:end w:w="100" w:type="dxa"/>
            </w:tcMar>
            <w:shd w:fill="F5F7F8"/>
          </w:tcPr>
          <w:p>
            <w:pPr>
              <w:spacing w:after="0" w:line="240" w:lineRule="auto"/>
            </w:pPr>
            <w:r/>
            <w:r>
              <w:rPr>
                <w:color w:val="232D34"/>
                <w:sz w:val="15"/>
              </w:rPr>
              <w:t>Including interest; fulfillment and data-center facilities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Leases not commenced</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$106.347B</w:t>
            </w:r>
          </w:p>
        </w:tc>
        <w:tc>
          <w:tcPr>
            <w:tcW w:type="dxa" w:w="4608"/>
            <w:vAlign w:val="center"/>
            <w:tcMar>
              <w:top w:w="90" w:type="dxa"/>
              <w:start w:w="100" w:type="dxa"/>
              <w:bottom w:w="90" w:type="dxa"/>
              <w:end w:w="100" w:type="dxa"/>
            </w:tcMar>
          </w:tcPr>
          <w:p>
            <w:pPr>
              <w:spacing w:after="0" w:line="240" w:lineRule="auto"/>
            </w:pPr>
            <w:r/>
            <w:r>
              <w:rPr>
                <w:color w:val="232D34"/>
                <w:sz w:val="15"/>
              </w:rPr>
              <w:t>Future facilities not yet recognized as commenced leases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Unconditional purchase obligations</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$103.768B</w:t>
            </w:r>
          </w:p>
        </w:tc>
        <w:tc>
          <w:tcPr>
            <w:tcW w:type="dxa" w:w="4608"/>
            <w:vAlign w:val="center"/>
            <w:tcMar>
              <w:top w:w="90" w:type="dxa"/>
              <w:start w:w="100" w:type="dxa"/>
              <w:bottom w:w="90" w:type="dxa"/>
              <w:end w:w="100" w:type="dxa"/>
            </w:tcMar>
            <w:shd w:fill="F5F7F8"/>
          </w:tcPr>
          <w:p>
            <w:pPr>
              <w:spacing w:after="0" w:line="240" w:lineRule="auto"/>
            </w:pPr>
            <w:r/>
            <w:r>
              <w:rPr>
                <w:color w:val="232D34"/>
                <w:sz w:val="15"/>
              </w:rPr>
              <w:t>Cloud, equipment and other purchases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Other commitments</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$18.813B</w:t>
            </w:r>
          </w:p>
        </w:tc>
        <w:tc>
          <w:tcPr>
            <w:tcW w:type="dxa" w:w="4608"/>
            <w:vAlign w:val="center"/>
            <w:tcMar>
              <w:top w:w="90" w:type="dxa"/>
              <w:start w:w="100" w:type="dxa"/>
              <w:bottom w:w="90" w:type="dxa"/>
              <w:end w:w="100" w:type="dxa"/>
            </w:tcMar>
          </w:tcPr>
          <w:p>
            <w:pPr>
              <w:spacing w:after="0" w:line="240" w:lineRule="auto"/>
              <w:jc w:val="center"/>
            </w:pPr>
            <w:r/>
            <w:r>
              <w:rPr>
                <w:color w:val="232D34"/>
                <w:sz w:val="15"/>
              </w:rPr>
              <w:t>Other contractual commitments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Total contractual commitments</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$569.280B</w:t>
            </w:r>
          </w:p>
        </w:tc>
        <w:tc>
          <w:tcPr>
            <w:tcW w:type="dxa" w:w="4608"/>
            <w:vAlign w:val="center"/>
            <w:tcMar>
              <w:top w:w="90" w:type="dxa"/>
              <w:start w:w="100" w:type="dxa"/>
              <w:bottom w:w="90" w:type="dxa"/>
              <w:end w:w="100" w:type="dxa"/>
            </w:tcMar>
            <w:shd w:fill="F5F7F8"/>
          </w:tcPr>
          <w:p>
            <w:pPr>
              <w:spacing w:after="0" w:line="240" w:lineRule="auto"/>
            </w:pPr>
            <w:r/>
            <w:r>
              <w:rPr>
                <w:color w:val="232D34"/>
                <w:sz w:val="15"/>
              </w:rPr>
              <w:t>Sum in Amazon’s filed schedule; includes the categories above</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OpenAI equity commitment</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$35.0B</w:t>
            </w:r>
          </w:p>
        </w:tc>
        <w:tc>
          <w:tcPr>
            <w:tcW w:type="dxa" w:w="4608"/>
            <w:vAlign w:val="center"/>
            <w:tcMar>
              <w:top w:w="90" w:type="dxa"/>
              <w:start w:w="100" w:type="dxa"/>
              <w:bottom w:w="90" w:type="dxa"/>
              <w:end w:w="100" w:type="dxa"/>
            </w:tcMar>
          </w:tcPr>
          <w:p>
            <w:pPr>
              <w:spacing w:after="0" w:line="240" w:lineRule="auto"/>
            </w:pPr>
            <w:r/>
            <w:r>
              <w:rPr>
                <w:color w:val="232D34"/>
                <w:sz w:val="15"/>
              </w:rPr>
              <w:t>Commitment letter; $15B purchased in Q1, leaving up to $20B under the commitment</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S16,S17</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AWS / OpenAI commercial expansion</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$100B over eight years</w:t>
            </w:r>
          </w:p>
        </w:tc>
        <w:tc>
          <w:tcPr>
            <w:tcW w:type="dxa" w:w="4608"/>
            <w:vAlign w:val="center"/>
            <w:tcMar>
              <w:top w:w="90" w:type="dxa"/>
              <w:start w:w="100" w:type="dxa"/>
              <w:bottom w:w="90" w:type="dxa"/>
              <w:end w:w="100" w:type="dxa"/>
            </w:tcMar>
            <w:shd w:fill="F5F7F8"/>
          </w:tcPr>
          <w:p>
            <w:pPr>
              <w:spacing w:after="0" w:line="240" w:lineRule="auto"/>
            </w:pPr>
            <w:r/>
            <w:r>
              <w:rPr>
                <w:color w:val="232D34"/>
                <w:sz w:val="15"/>
              </w:rPr>
              <w:t>In addition to a previously announced approximately $38B arrangement</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S16</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2026 capex plan</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$220B</w:t>
            </w:r>
          </w:p>
        </w:tc>
        <w:tc>
          <w:tcPr>
            <w:tcW w:type="dxa" w:w="4608"/>
            <w:vAlign w:val="center"/>
            <w:tcMar>
              <w:top w:w="90" w:type="dxa"/>
              <w:start w:w="100" w:type="dxa"/>
              <w:bottom w:w="90" w:type="dxa"/>
              <w:end w:w="100" w:type="dxa"/>
            </w:tcMar>
          </w:tcPr>
          <w:p>
            <w:pPr>
              <w:spacing w:after="0" w:line="240" w:lineRule="auto"/>
            </w:pPr>
            <w:r/>
            <w:r>
              <w:rPr>
                <w:color w:val="232D34"/>
                <w:sz w:val="15"/>
              </w:rPr>
              <w:t>Raised from $200B after Q2; 2025 capex $128B</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S18</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Q2 2026 net income</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$62.65B</w:t>
            </w:r>
          </w:p>
        </w:tc>
        <w:tc>
          <w:tcPr>
            <w:tcW w:type="dxa" w:w="4608"/>
            <w:vAlign w:val="center"/>
            <w:tcMar>
              <w:top w:w="90" w:type="dxa"/>
              <w:start w:w="100" w:type="dxa"/>
              <w:bottom w:w="90" w:type="dxa"/>
              <w:end w:w="100" w:type="dxa"/>
            </w:tcMar>
            <w:shd w:fill="F5F7F8"/>
          </w:tcPr>
          <w:p>
            <w:pPr>
              <w:spacing w:after="0" w:line="240" w:lineRule="auto"/>
            </w:pPr>
            <w:r/>
            <w:r>
              <w:rPr>
                <w:color w:val="232D34"/>
                <w:sz w:val="15"/>
              </w:rPr>
              <w:t>Includes major nonoperating mark gain</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S18,S19</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Q2 private-investment gain</w:t>
            </w:r>
          </w:p>
        </w:tc>
        <w:tc>
          <w:tcPr>
            <w:tcW w:type="dxa" w:w="2232"/>
            <w:vAlign w:val="center"/>
            <w:tcMar>
              <w:top w:w="90" w:type="dxa"/>
              <w:start w:w="100" w:type="dxa"/>
              <w:bottom w:w="90" w:type="dxa"/>
              <w:end w:w="100" w:type="dxa"/>
            </w:tcMar>
          </w:tcPr>
          <w:p>
            <w:pPr>
              <w:spacing w:after="0" w:line="240" w:lineRule="auto"/>
            </w:pPr>
            <w:r/>
            <w:r>
              <w:rPr>
                <w:color w:val="232D34"/>
                <w:sz w:val="15"/>
              </w:rPr>
              <w:t>$53.4B pretax nonoperating income, largely Anthropic</w:t>
            </w:r>
          </w:p>
        </w:tc>
        <w:tc>
          <w:tcPr>
            <w:tcW w:type="dxa" w:w="4608"/>
            <w:vAlign w:val="center"/>
            <w:tcMar>
              <w:top w:w="90" w:type="dxa"/>
              <w:start w:w="100" w:type="dxa"/>
              <w:bottom w:w="90" w:type="dxa"/>
              <w:end w:w="100" w:type="dxa"/>
            </w:tcMar>
          </w:tcPr>
          <w:p>
            <w:pPr>
              <w:spacing w:after="0" w:line="240" w:lineRule="auto"/>
            </w:pPr>
            <w:r/>
            <w:r>
              <w:rPr>
                <w:color w:val="232D34"/>
                <w:sz w:val="15"/>
              </w:rPr>
              <w:t>Paper gain; not operating cash flow</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S19</w:t>
            </w:r>
          </w:p>
        </w:tc>
      </w:tr>
    </w:tbl>
    <w:p>
      <w:pPr>
        <w:spacing w:after="20"/>
      </w:pP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Circularity to track</w:t>
            </w:r>
          </w:p>
          <w:p>
            <w:pPr>
              <w:spacing w:after="0" w:line="252" w:lineRule="auto"/>
            </w:pPr>
            <w:r>
              <w:t>Amazon can be investor, lender/financing provider, cloud vendor and beneficiary of long-term customer commitments at the same time. That does not make the transactions fictitious. It means private-company marks, AWS backlog and customer purchasing capacity are partly linked to the same capital relationship.</w:t>
            </w:r>
            <w:r>
              <w:rPr>
                <w:color w:val="2F5E75"/>
                <w:sz w:val="16"/>
                <w:vertAlign w:val="superscript"/>
              </w:rPr>
              <w:t xml:space="preserve"> [S16,S17,S19]</w:t>
            </w:r>
          </w:p>
        </w:tc>
      </w:tr>
    </w:tbl>
    <w:p>
      <w:pPr>
        <w:spacing w:after="20"/>
      </w:pPr>
    </w:p>
    <w:p>
      <w:pPr>
        <w:pStyle w:val="Heading2"/>
        <w:keepNext/>
      </w:pPr>
      <w:r>
        <w:t>7.4 Oracle: the most direct public-balance-sheet strain</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736"/>
            <w:shd w:fill="17324D"/>
            <w:vAlign w:val="center"/>
            <w:tcMar>
              <w:top w:w="100" w:type="dxa"/>
              <w:start w:w="110" w:type="dxa"/>
              <w:bottom w:w="100" w:type="dxa"/>
              <w:end w:w="110" w:type="dxa"/>
            </w:tcMar>
          </w:tcPr>
          <w:p>
            <w:pPr>
              <w:jc w:val="center"/>
            </w:pPr>
            <w:r/>
            <w:r>
              <w:rPr>
                <w:b/>
                <w:color w:val="FFFFFF"/>
                <w:sz w:val="15"/>
              </w:rPr>
              <w:t>Category</w:t>
            </w:r>
          </w:p>
        </w:tc>
        <w:tc>
          <w:tcPr>
            <w:tcW w:type="dxa" w:w="2232"/>
            <w:shd w:fill="17324D"/>
            <w:vAlign w:val="center"/>
            <w:tcMar>
              <w:top w:w="100" w:type="dxa"/>
              <w:start w:w="110" w:type="dxa"/>
              <w:bottom w:w="100" w:type="dxa"/>
              <w:end w:w="110" w:type="dxa"/>
            </w:tcMar>
          </w:tcPr>
          <w:p>
            <w:pPr>
              <w:jc w:val="center"/>
            </w:pPr>
            <w:r/>
            <w:r>
              <w:rPr>
                <w:b/>
                <w:color w:val="FFFFFF"/>
                <w:sz w:val="15"/>
              </w:rPr>
              <w:t>Amount</w:t>
            </w:r>
          </w:p>
        </w:tc>
        <w:tc>
          <w:tcPr>
            <w:tcW w:type="dxa" w:w="4536"/>
            <w:shd w:fill="17324D"/>
            <w:vAlign w:val="center"/>
            <w:tcMar>
              <w:top w:w="100" w:type="dxa"/>
              <w:start w:w="110" w:type="dxa"/>
              <w:bottom w:w="100" w:type="dxa"/>
              <w:end w:w="110" w:type="dxa"/>
            </w:tcMar>
          </w:tcPr>
          <w:p>
            <w:pPr>
              <w:jc w:val="center"/>
            </w:pPr>
            <w:r/>
            <w:r>
              <w:rPr>
                <w:b/>
                <w:color w:val="FFFFFF"/>
                <w:sz w:val="15"/>
              </w:rPr>
              <w:t>Meaning</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FY2026 capital expenditures</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$55.663B</w:t>
            </w:r>
          </w:p>
        </w:tc>
        <w:tc>
          <w:tcPr>
            <w:tcW w:type="dxa" w:w="4536"/>
            <w:vAlign w:val="center"/>
            <w:tcMar>
              <w:top w:w="90" w:type="dxa"/>
              <w:start w:w="100" w:type="dxa"/>
              <w:bottom w:w="90" w:type="dxa"/>
              <w:end w:w="100" w:type="dxa"/>
            </w:tcMar>
          </w:tcPr>
          <w:p>
            <w:pPr>
              <w:spacing w:after="0" w:line="240" w:lineRule="auto"/>
              <w:jc w:val="center"/>
            </w:pPr>
            <w:r/>
            <w:r>
              <w:rPr>
                <w:color w:val="232D34"/>
                <w:sz w:val="15"/>
              </w:rPr>
              <w:t>Versus $21.215B prior year</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S20,S21</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Operating cash flow</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$31.977B</w:t>
            </w:r>
          </w:p>
        </w:tc>
        <w:tc>
          <w:tcPr>
            <w:tcW w:type="dxa" w:w="4536"/>
            <w:vAlign w:val="center"/>
            <w:tcMar>
              <w:top w:w="90" w:type="dxa"/>
              <w:start w:w="100" w:type="dxa"/>
              <w:bottom w:w="90" w:type="dxa"/>
              <w:end w:w="100" w:type="dxa"/>
            </w:tcMar>
            <w:shd w:fill="F5F7F8"/>
          </w:tcPr>
          <w:p>
            <w:pPr>
              <w:spacing w:after="0" w:line="240" w:lineRule="auto"/>
              <w:jc w:val="center"/>
            </w:pPr>
            <w:r/>
            <w:r>
              <w:rPr>
                <w:color w:val="232D34"/>
                <w:sz w:val="15"/>
              </w:rPr>
              <w:t>FY2026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S20,S21</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Free cash flow</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-$23.686B</w:t>
            </w:r>
          </w:p>
        </w:tc>
        <w:tc>
          <w:tcPr>
            <w:tcW w:type="dxa" w:w="4536"/>
            <w:vAlign w:val="center"/>
            <w:tcMar>
              <w:top w:w="90" w:type="dxa"/>
              <w:start w:w="100" w:type="dxa"/>
              <w:bottom w:w="90" w:type="dxa"/>
              <w:end w:w="100" w:type="dxa"/>
            </w:tcMar>
          </w:tcPr>
          <w:p>
            <w:pPr>
              <w:spacing w:after="0" w:line="240" w:lineRule="auto"/>
            </w:pPr>
            <w:r/>
            <w:r>
              <w:rPr>
                <w:color w:val="232D34"/>
                <w:sz w:val="15"/>
              </w:rPr>
              <w:t>Operating cash flow minus capex</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S20,S21</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Net income</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$17.087B</w:t>
            </w:r>
          </w:p>
        </w:tc>
        <w:tc>
          <w:tcPr>
            <w:tcW w:type="dxa" w:w="4536"/>
            <w:vAlign w:val="center"/>
            <w:tcMar>
              <w:top w:w="90" w:type="dxa"/>
              <w:start w:w="100" w:type="dxa"/>
              <w:bottom w:w="90" w:type="dxa"/>
              <w:end w:w="100" w:type="dxa"/>
            </w:tcMar>
            <w:shd w:fill="F5F7F8"/>
          </w:tcPr>
          <w:p>
            <w:pPr>
              <w:spacing w:after="0" w:line="240" w:lineRule="auto"/>
              <w:jc w:val="center"/>
            </w:pPr>
            <w:r/>
            <w:r>
              <w:rPr>
                <w:color w:val="232D34"/>
                <w:sz w:val="15"/>
              </w:rPr>
              <w:t>FY2026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S20,S21</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Senior-note net proceeds</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$42.7B</w:t>
            </w:r>
          </w:p>
        </w:tc>
        <w:tc>
          <w:tcPr>
            <w:tcW w:type="dxa" w:w="4536"/>
            <w:vAlign w:val="center"/>
            <w:tcMar>
              <w:top w:w="90" w:type="dxa"/>
              <w:start w:w="100" w:type="dxa"/>
              <w:bottom w:w="90" w:type="dxa"/>
              <w:end w:w="100" w:type="dxa"/>
            </w:tcMar>
          </w:tcPr>
          <w:p>
            <w:pPr>
              <w:spacing w:after="0" w:line="240" w:lineRule="auto"/>
              <w:jc w:val="center"/>
            </w:pPr>
            <w:r/>
            <w:r>
              <w:rPr>
                <w:color w:val="232D34"/>
                <w:sz w:val="15"/>
              </w:rPr>
              <w:t>FY2026 issuance</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S21</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Mandatory convertible preferred proceeds</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$5.0B</w:t>
            </w:r>
          </w:p>
        </w:tc>
        <w:tc>
          <w:tcPr>
            <w:tcW w:type="dxa" w:w="4536"/>
            <w:vAlign w:val="center"/>
            <w:tcMar>
              <w:top w:w="90" w:type="dxa"/>
              <w:start w:w="100" w:type="dxa"/>
              <w:bottom w:w="90" w:type="dxa"/>
              <w:end w:w="100" w:type="dxa"/>
            </w:tcMar>
            <w:shd w:fill="F5F7F8"/>
          </w:tcPr>
          <w:p>
            <w:pPr>
              <w:spacing w:after="0" w:line="240" w:lineRule="auto"/>
              <w:jc w:val="center"/>
            </w:pPr>
            <w:r/>
            <w:r>
              <w:rPr>
                <w:color w:val="232D34"/>
                <w:sz w:val="15"/>
              </w:rPr>
              <w:t>Equity-linked capital</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S21</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Short-term capex financing net inflow</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$3.3B</w:t>
            </w:r>
          </w:p>
        </w:tc>
        <w:tc>
          <w:tcPr>
            <w:tcW w:type="dxa" w:w="4536"/>
            <w:vAlign w:val="center"/>
            <w:tcMar>
              <w:top w:w="90" w:type="dxa"/>
              <w:start w:w="100" w:type="dxa"/>
              <w:bottom w:w="90" w:type="dxa"/>
              <w:end w:w="100" w:type="dxa"/>
            </w:tcMar>
          </w:tcPr>
          <w:p>
            <w:pPr>
              <w:spacing w:after="0" w:line="240" w:lineRule="auto"/>
              <w:jc w:val="center"/>
            </w:pPr>
            <w:r/>
            <w:r>
              <w:rPr>
                <w:color w:val="232D34"/>
                <w:sz w:val="15"/>
              </w:rPr>
              <w:t>Additional financing source</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S21</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Cash and marketable securities</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$31.894B</w:t>
            </w:r>
          </w:p>
        </w:tc>
        <w:tc>
          <w:tcPr>
            <w:tcW w:type="dxa" w:w="4536"/>
            <w:vAlign w:val="center"/>
            <w:tcMar>
              <w:top w:w="90" w:type="dxa"/>
              <w:start w:w="100" w:type="dxa"/>
              <w:bottom w:w="90" w:type="dxa"/>
              <w:end w:w="100" w:type="dxa"/>
            </w:tcMar>
            <w:shd w:fill="F5F7F8"/>
          </w:tcPr>
          <w:p>
            <w:pPr>
              <w:spacing w:after="0" w:line="240" w:lineRule="auto"/>
              <w:jc w:val="center"/>
            </w:pPr>
            <w:r/>
            <w:r>
              <w:rPr>
                <w:color w:val="232D34"/>
                <w:sz w:val="15"/>
              </w:rPr>
              <w:t>Up from $11.203B</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S21</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Revolver</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$10B</w:t>
            </w:r>
          </w:p>
        </w:tc>
        <w:tc>
          <w:tcPr>
            <w:tcW w:type="dxa" w:w="4536"/>
            <w:vAlign w:val="center"/>
            <w:tcMar>
              <w:top w:w="90" w:type="dxa"/>
              <w:start w:w="100" w:type="dxa"/>
              <w:bottom w:w="90" w:type="dxa"/>
              <w:end w:w="100" w:type="dxa"/>
            </w:tcMar>
          </w:tcPr>
          <w:p>
            <w:pPr>
              <w:spacing w:after="0" w:line="240" w:lineRule="auto"/>
            </w:pPr>
            <w:r/>
            <w:r>
              <w:rPr>
                <w:color w:val="232D34"/>
                <w:sz w:val="15"/>
              </w:rPr>
              <w:t>No borrowings at fiscal year-end</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S21</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Remaining performance obligations</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$638B</w:t>
            </w:r>
          </w:p>
        </w:tc>
        <w:tc>
          <w:tcPr>
            <w:tcW w:type="dxa" w:w="4536"/>
            <w:vAlign w:val="center"/>
            <w:tcMar>
              <w:top w:w="90" w:type="dxa"/>
              <w:start w:w="100" w:type="dxa"/>
              <w:bottom w:w="90" w:type="dxa"/>
              <w:end w:w="100" w:type="dxa"/>
            </w:tcMar>
            <w:shd w:fill="F5F7F8"/>
          </w:tcPr>
          <w:p>
            <w:pPr>
              <w:spacing w:after="0" w:line="240" w:lineRule="auto"/>
            </w:pPr>
            <w:r/>
            <w:r>
              <w:rPr>
                <w:color w:val="232D34"/>
                <w:sz w:val="15"/>
              </w:rPr>
              <w:t>12% expected next 12 months; 34% months 13–36; 34% months 37–60; remainder later</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S20,S21</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Customer prepayments with financing component</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$4.6B</w:t>
            </w:r>
          </w:p>
        </w:tc>
        <w:tc>
          <w:tcPr>
            <w:tcW w:type="dxa" w:w="4536"/>
            <w:vAlign w:val="center"/>
            <w:tcMar>
              <w:top w:w="90" w:type="dxa"/>
              <w:start w:w="100" w:type="dxa"/>
              <w:bottom w:w="90" w:type="dxa"/>
              <w:end w:w="100" w:type="dxa"/>
            </w:tcMar>
          </w:tcPr>
          <w:p>
            <w:pPr>
              <w:spacing w:after="0" w:line="240" w:lineRule="auto"/>
              <w:jc w:val="center"/>
            </w:pPr>
            <w:r/>
            <w:r>
              <w:rPr>
                <w:color w:val="232D34"/>
                <w:sz w:val="15"/>
              </w:rPr>
              <w:t>Carrying amount at FY2026</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S21</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Prepaid / customer-supplied hardware portions</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$75B</w:t>
            </w:r>
          </w:p>
        </w:tc>
        <w:tc>
          <w:tcPr>
            <w:tcW w:type="dxa" w:w="4536"/>
            <w:vAlign w:val="center"/>
            <w:tcMar>
              <w:top w:w="90" w:type="dxa"/>
              <w:start w:w="100" w:type="dxa"/>
              <w:bottom w:w="90" w:type="dxa"/>
              <w:end w:w="100" w:type="dxa"/>
            </w:tcMar>
            <w:shd w:fill="F5F7F8"/>
          </w:tcPr>
          <w:p>
            <w:pPr>
              <w:spacing w:after="0" w:line="240" w:lineRule="auto"/>
              <w:jc w:val="center"/>
            </w:pPr>
            <w:r/>
            <w:r>
              <w:rPr>
                <w:color w:val="232D34"/>
                <w:sz w:val="15"/>
              </w:rPr>
              <w:t>Large AI contract components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S20,S21</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Expected FY2027 financing</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Approximately $40B</w:t>
            </w:r>
          </w:p>
        </w:tc>
        <w:tc>
          <w:tcPr>
            <w:tcW w:type="dxa" w:w="4536"/>
            <w:vAlign w:val="center"/>
            <w:tcMar>
              <w:top w:w="90" w:type="dxa"/>
              <w:start w:w="100" w:type="dxa"/>
              <w:bottom w:w="90" w:type="dxa"/>
              <w:end w:w="100" w:type="dxa"/>
            </w:tcMar>
          </w:tcPr>
          <w:p>
            <w:pPr>
              <w:spacing w:after="0" w:line="240" w:lineRule="auto"/>
            </w:pPr>
            <w:r/>
            <w:r>
              <w:rPr>
                <w:color w:val="232D34"/>
                <w:sz w:val="15"/>
              </w:rPr>
              <w:t>Debt and equity; includes up to $20B ATM equity program</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S20,S21</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Calendar 2026 funding plan</w:t>
            </w:r>
          </w:p>
        </w:tc>
        <w:tc>
          <w:tcPr>
            <w:tcW w:type="dxa" w:w="2232"/>
            <w:vAlign w:val="center"/>
            <w:tcMar>
              <w:top w:w="90" w:type="dxa"/>
              <w:start w:w="100" w:type="dxa"/>
              <w:bottom w:w="90" w:type="dxa"/>
              <w:end w:w="100" w:type="dxa"/>
            </w:tcMar>
            <w:shd w:fill="F5F7F8"/>
          </w:tcPr>
          <w:p>
            <w:pPr>
              <w:spacing w:after="0" w:line="240" w:lineRule="auto"/>
              <w:jc w:val="center"/>
            </w:pPr>
            <w:r/>
            <w:r>
              <w:rPr>
                <w:color w:val="232D34"/>
                <w:sz w:val="15"/>
              </w:rPr>
              <w:t>$45B–$50B gross</w:t>
            </w:r>
          </w:p>
        </w:tc>
        <w:tc>
          <w:tcPr>
            <w:tcW w:type="dxa" w:w="4536"/>
            <w:vAlign w:val="center"/>
            <w:tcMar>
              <w:top w:w="90" w:type="dxa"/>
              <w:start w:w="100" w:type="dxa"/>
              <w:bottom w:w="90" w:type="dxa"/>
              <w:end w:w="100" w:type="dxa"/>
            </w:tcMar>
            <w:shd w:fill="F5F7F8"/>
          </w:tcPr>
          <w:p>
            <w:pPr>
              <w:spacing w:after="0" w:line="240" w:lineRule="auto"/>
            </w:pPr>
            <w:r/>
            <w:r>
              <w:rPr>
                <w:color w:val="232D34"/>
                <w:sz w:val="15"/>
              </w:rPr>
              <w:t>Approximately half debt and half equity-linked/common equity</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4"/>
              </w:rPr>
              <w:t>S22</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Reported OpenAI infrastructure contract</w:t>
            </w:r>
          </w:p>
        </w:tc>
        <w:tc>
          <w:tcPr>
            <w:tcW w:type="dxa" w:w="2232"/>
            <w:vAlign w:val="center"/>
            <w:tcMar>
              <w:top w:w="90" w:type="dxa"/>
              <w:start w:w="100" w:type="dxa"/>
              <w:bottom w:w="90" w:type="dxa"/>
              <w:end w:w="100" w:type="dxa"/>
            </w:tcMar>
          </w:tcPr>
          <w:p>
            <w:pPr>
              <w:spacing w:after="0" w:line="240" w:lineRule="auto"/>
              <w:jc w:val="center"/>
            </w:pPr>
            <w:r/>
            <w:r>
              <w:rPr>
                <w:color w:val="232D34"/>
                <w:sz w:val="15"/>
              </w:rPr>
              <w:t>$300B over five years</w:t>
            </w:r>
          </w:p>
        </w:tc>
        <w:tc>
          <w:tcPr>
            <w:tcW w:type="dxa" w:w="4536"/>
            <w:vAlign w:val="center"/>
            <w:tcMar>
              <w:top w:w="90" w:type="dxa"/>
              <w:start w:w="100" w:type="dxa"/>
              <w:bottom w:w="90" w:type="dxa"/>
              <w:end w:w="100" w:type="dxa"/>
            </w:tcMar>
          </w:tcPr>
          <w:p>
            <w:pPr>
              <w:spacing w:after="0" w:line="240" w:lineRule="auto"/>
            </w:pPr>
            <w:r/>
            <w:r>
              <w:rPr>
                <w:color w:val="232D34"/>
                <w:sz w:val="15"/>
              </w:rPr>
              <w:t>Press-reported; contract details not fully public</w:t>
            </w:r>
          </w:p>
        </w:tc>
        <w:tc>
          <w:tcPr>
            <w:tcW w:type="dxa" w:w="792"/>
            <w:vAlign w:val="center"/>
            <w:tcMar>
              <w:top w:w="90" w:type="dxa"/>
              <w:start w:w="100" w:type="dxa"/>
              <w:bottom w:w="90" w:type="dxa"/>
              <w:end w:w="100" w:type="dxa"/>
            </w:tcMar>
          </w:tcPr>
          <w:p>
            <w:pPr>
              <w:spacing w:after="0" w:line="240" w:lineRule="auto"/>
              <w:jc w:val="center"/>
            </w:pPr>
            <w:r/>
            <w:r>
              <w:rPr>
                <w:color w:val="2F5E75"/>
                <w:sz w:val="14"/>
              </w:rPr>
              <w:t>S23</w:t>
            </w:r>
          </w:p>
        </w:tc>
      </w:tr>
    </w:tbl>
    <w:p>
      <w:pPr>
        <w:spacing w:after="20"/>
      </w:pPr>
    </w:p>
    <w:p>
      <w:pPr>
        <w:spacing w:after="100" w:line="259" w:lineRule="auto"/>
      </w:pPr>
      <w:r>
        <w:t>Oracle’s exposure is easier to see because funding lands directly in capex, bond proceeds, equity issuance and negative free cash flow. Customer prepayments and supplied hardware reduce Oracle’s net funding need, but they also tie capacity economics to a small number of large counterparties and contracts.</w:t>
      </w:r>
      <w:r>
        <w:rPr>
          <w:color w:val="2F5E75"/>
          <w:sz w:val="16"/>
          <w:vertAlign w:val="superscript"/>
        </w:rPr>
        <w:t xml:space="preserve"> [S20,S21,S22,S23]</w:t>
      </w:r>
    </w:p>
    <w:p>
      <w:pPr>
        <w:pStyle w:val="Heading2"/>
        <w:keepNext/>
      </w:pPr>
      <w:r>
        <w:t>7.5 Microsoft: finance leases accelerate recognized capex</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736"/>
            <w:shd w:fill="17324D"/>
            <w:vAlign w:val="center"/>
            <w:tcMar>
              <w:top w:w="100" w:type="dxa"/>
              <w:start w:w="110" w:type="dxa"/>
              <w:bottom w:w="100" w:type="dxa"/>
              <w:end w:w="110" w:type="dxa"/>
            </w:tcMar>
          </w:tcPr>
          <w:p>
            <w:pPr>
              <w:jc w:val="center"/>
            </w:pPr>
            <w:r/>
            <w:r>
              <w:rPr>
                <w:b/>
                <w:color w:val="FFFFFF"/>
                <w:sz w:val="15"/>
              </w:rPr>
              <w:t>Category</w:t>
            </w:r>
          </w:p>
        </w:tc>
        <w:tc>
          <w:tcPr>
            <w:tcW w:type="dxa" w:w="2160"/>
            <w:shd w:fill="17324D"/>
            <w:vAlign w:val="center"/>
            <w:tcMar>
              <w:top w:w="100" w:type="dxa"/>
              <w:start w:w="110" w:type="dxa"/>
              <w:bottom w:w="100" w:type="dxa"/>
              <w:end w:w="110" w:type="dxa"/>
            </w:tcMar>
          </w:tcPr>
          <w:p>
            <w:pPr>
              <w:jc w:val="center"/>
            </w:pPr>
            <w:r/>
            <w:r>
              <w:rPr>
                <w:b/>
                <w:color w:val="FFFFFF"/>
                <w:sz w:val="15"/>
              </w:rPr>
              <w:t>Amount</w:t>
            </w:r>
          </w:p>
        </w:tc>
        <w:tc>
          <w:tcPr>
            <w:tcW w:type="dxa" w:w="4608"/>
            <w:shd w:fill="17324D"/>
            <w:vAlign w:val="center"/>
            <w:tcMar>
              <w:top w:w="100" w:type="dxa"/>
              <w:start w:w="110" w:type="dxa"/>
              <w:bottom w:w="100" w:type="dxa"/>
              <w:end w:w="110" w:type="dxa"/>
            </w:tcMar>
          </w:tcPr>
          <w:p>
            <w:pPr>
              <w:jc w:val="center"/>
            </w:pPr>
            <w:r/>
            <w:r>
              <w:rPr>
                <w:b/>
                <w:color w:val="FFFFFF"/>
                <w:sz w:val="15"/>
              </w:rPr>
              <w:t>Meaning</w:t>
            </w:r>
          </w:p>
        </w:tc>
        <w:tc>
          <w:tcPr>
            <w:tcW w:type="dxa" w:w="792"/>
            <w:shd w:fill="17324D"/>
            <w:vAlign w:val="center"/>
            <w:tcMar>
              <w:top w:w="100" w:type="dxa"/>
              <w:start w:w="110" w:type="dxa"/>
              <w:bottom w:w="100" w:type="dxa"/>
              <w:end w:w="110" w:type="dxa"/>
            </w:tcMar>
          </w:tcPr>
          <w:p>
            <w:pPr>
              <w:jc w:val="center"/>
            </w:pPr>
            <w:r/>
            <w:r>
              <w:rPr>
                <w:b/>
                <w:color w:val="FFFFFF"/>
                <w:sz w:val="15"/>
              </w:rPr>
              <w:t>Source</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Operating lease liability</w:t>
            </w:r>
          </w:p>
        </w:tc>
        <w:tc>
          <w:tcPr>
            <w:tcW w:type="dxa" w:w="2160"/>
            <w:vAlign w:val="center"/>
            <w:tcMar>
              <w:top w:w="90" w:type="dxa"/>
              <w:start w:w="100" w:type="dxa"/>
              <w:bottom w:w="90" w:type="dxa"/>
              <w:end w:w="100" w:type="dxa"/>
            </w:tcMar>
          </w:tcPr>
          <w:p>
            <w:pPr>
              <w:spacing w:after="0" w:line="240" w:lineRule="auto"/>
              <w:jc w:val="center"/>
            </w:pPr>
            <w:r/>
            <w:r>
              <w:rPr>
                <w:color w:val="232D34"/>
                <w:sz w:val="15"/>
              </w:rPr>
              <w:t>$22.238B</w:t>
            </w:r>
          </w:p>
        </w:tc>
        <w:tc>
          <w:tcPr>
            <w:tcW w:type="dxa" w:w="4608"/>
            <w:vAlign w:val="center"/>
            <w:tcMar>
              <w:top w:w="90" w:type="dxa"/>
              <w:start w:w="100" w:type="dxa"/>
              <w:bottom w:w="90" w:type="dxa"/>
              <w:end w:w="100" w:type="dxa"/>
            </w:tcMar>
          </w:tcPr>
          <w:p>
            <w:pPr>
              <w:spacing w:after="0" w:line="240" w:lineRule="auto"/>
              <w:jc w:val="center"/>
            </w:pPr>
            <w:r/>
            <w:r>
              <w:rPr>
                <w:color w:val="232D34"/>
                <w:sz w:val="15"/>
              </w:rPr>
              <w:t>Mar. 31, 2026</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S25</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Finance lease liability</w:t>
            </w:r>
          </w:p>
        </w:tc>
        <w:tc>
          <w:tcPr>
            <w:tcW w:type="dxa" w:w="2160"/>
            <w:vAlign w:val="center"/>
            <w:tcMar>
              <w:top w:w="90" w:type="dxa"/>
              <w:start w:w="100" w:type="dxa"/>
              <w:bottom w:w="90" w:type="dxa"/>
              <w:end w:w="100" w:type="dxa"/>
            </w:tcMar>
            <w:shd w:fill="F5F7F8"/>
          </w:tcPr>
          <w:p>
            <w:pPr>
              <w:spacing w:after="0" w:line="240" w:lineRule="auto"/>
              <w:jc w:val="center"/>
            </w:pPr>
            <w:r/>
            <w:r>
              <w:rPr>
                <w:color w:val="232D34"/>
                <w:sz w:val="15"/>
              </w:rPr>
              <w:t>$62.932B</w:t>
            </w:r>
          </w:p>
        </w:tc>
        <w:tc>
          <w:tcPr>
            <w:tcW w:type="dxa" w:w="4608"/>
            <w:vAlign w:val="center"/>
            <w:tcMar>
              <w:top w:w="90" w:type="dxa"/>
              <w:start w:w="100" w:type="dxa"/>
              <w:bottom w:w="90" w:type="dxa"/>
              <w:end w:w="100" w:type="dxa"/>
            </w:tcMar>
            <w:shd w:fill="F5F7F8"/>
          </w:tcPr>
          <w:p>
            <w:pPr>
              <w:spacing w:after="0" w:line="240" w:lineRule="auto"/>
            </w:pPr>
            <w:r/>
            <w:r>
              <w:rPr>
                <w:color w:val="232D34"/>
                <w:sz w:val="15"/>
              </w:rPr>
              <w:t>Mar. 31, 2026; up from $46.172B at Jun. 30, 2025</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S25,S27</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Undiscounted operating lease payments</w:t>
            </w:r>
          </w:p>
        </w:tc>
        <w:tc>
          <w:tcPr>
            <w:tcW w:type="dxa" w:w="2160"/>
            <w:vAlign w:val="center"/>
            <w:tcMar>
              <w:top w:w="90" w:type="dxa"/>
              <w:start w:w="100" w:type="dxa"/>
              <w:bottom w:w="90" w:type="dxa"/>
              <w:end w:w="100" w:type="dxa"/>
            </w:tcMar>
          </w:tcPr>
          <w:p>
            <w:pPr>
              <w:spacing w:after="0" w:line="240" w:lineRule="auto"/>
              <w:jc w:val="center"/>
            </w:pPr>
            <w:r/>
            <w:r>
              <w:rPr>
                <w:color w:val="232D34"/>
                <w:sz w:val="15"/>
              </w:rPr>
              <w:t>$24.855B</w:t>
            </w:r>
          </w:p>
        </w:tc>
        <w:tc>
          <w:tcPr>
            <w:tcW w:type="dxa" w:w="4608"/>
            <w:vAlign w:val="center"/>
            <w:tcMar>
              <w:top w:w="90" w:type="dxa"/>
              <w:start w:w="100" w:type="dxa"/>
              <w:bottom w:w="90" w:type="dxa"/>
              <w:end w:w="100" w:type="dxa"/>
            </w:tcMar>
          </w:tcPr>
          <w:p>
            <w:pPr>
              <w:spacing w:after="0" w:line="240" w:lineRule="auto"/>
              <w:jc w:val="center"/>
            </w:pPr>
            <w:r/>
            <w:r>
              <w:rPr>
                <w:color w:val="232D34"/>
                <w:sz w:val="15"/>
              </w:rPr>
              <w:t>Mar. 31, 2026</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S25</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Undiscounted finance lease payments</w:t>
            </w:r>
          </w:p>
        </w:tc>
        <w:tc>
          <w:tcPr>
            <w:tcW w:type="dxa" w:w="2160"/>
            <w:vAlign w:val="center"/>
            <w:tcMar>
              <w:top w:w="90" w:type="dxa"/>
              <w:start w:w="100" w:type="dxa"/>
              <w:bottom w:w="90" w:type="dxa"/>
              <w:end w:w="100" w:type="dxa"/>
            </w:tcMar>
            <w:shd w:fill="F5F7F8"/>
          </w:tcPr>
          <w:p>
            <w:pPr>
              <w:spacing w:after="0" w:line="240" w:lineRule="auto"/>
              <w:jc w:val="center"/>
            </w:pPr>
            <w:r/>
            <w:r>
              <w:rPr>
                <w:color w:val="232D34"/>
                <w:sz w:val="15"/>
              </w:rPr>
              <w:t>$84.602B</w:t>
            </w:r>
          </w:p>
        </w:tc>
        <w:tc>
          <w:tcPr>
            <w:tcW w:type="dxa" w:w="4608"/>
            <w:vAlign w:val="center"/>
            <w:tcMar>
              <w:top w:w="90" w:type="dxa"/>
              <w:start w:w="100" w:type="dxa"/>
              <w:bottom w:w="90" w:type="dxa"/>
              <w:end w:w="100" w:type="dxa"/>
            </w:tcMar>
            <w:shd w:fill="F5F7F8"/>
          </w:tcPr>
          <w:p>
            <w:pPr>
              <w:spacing w:after="0" w:line="240" w:lineRule="auto"/>
              <w:jc w:val="center"/>
            </w:pPr>
            <w:r/>
            <w:r>
              <w:rPr>
                <w:color w:val="232D34"/>
                <w:sz w:val="15"/>
              </w:rPr>
              <w:t>Mar. 31, 2026</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S25</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Uncommenced leases</w:t>
            </w:r>
          </w:p>
        </w:tc>
        <w:tc>
          <w:tcPr>
            <w:tcW w:type="dxa" w:w="2160"/>
            <w:vAlign w:val="center"/>
            <w:tcMar>
              <w:top w:w="90" w:type="dxa"/>
              <w:start w:w="100" w:type="dxa"/>
              <w:bottom w:w="90" w:type="dxa"/>
              <w:end w:w="100" w:type="dxa"/>
            </w:tcMar>
          </w:tcPr>
          <w:p>
            <w:pPr>
              <w:spacing w:after="0" w:line="240" w:lineRule="auto"/>
              <w:jc w:val="center"/>
            </w:pPr>
            <w:r/>
            <w:r>
              <w:rPr>
                <w:color w:val="232D34"/>
                <w:sz w:val="15"/>
              </w:rPr>
              <w:t>$196.6B</w:t>
            </w:r>
          </w:p>
        </w:tc>
        <w:tc>
          <w:tcPr>
            <w:tcW w:type="dxa" w:w="4608"/>
            <w:vAlign w:val="center"/>
            <w:tcMar>
              <w:top w:w="90" w:type="dxa"/>
              <w:start w:w="100" w:type="dxa"/>
              <w:bottom w:w="90" w:type="dxa"/>
              <w:end w:w="100" w:type="dxa"/>
            </w:tcMar>
          </w:tcPr>
          <w:p>
            <w:pPr>
              <w:spacing w:after="0" w:line="240" w:lineRule="auto"/>
            </w:pPr>
            <w:r/>
            <w:r>
              <w:rPr>
                <w:color w:val="232D34"/>
                <w:sz w:val="15"/>
              </w:rPr>
              <w:t>Primarily data centers; commencements through FY2031; terms 1–21 years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S25</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Calendar 2026 capex plan</w:t>
            </w:r>
          </w:p>
        </w:tc>
        <w:tc>
          <w:tcPr>
            <w:tcW w:type="dxa" w:w="2160"/>
            <w:vAlign w:val="center"/>
            <w:tcMar>
              <w:top w:w="90" w:type="dxa"/>
              <w:start w:w="100" w:type="dxa"/>
              <w:bottom w:w="90" w:type="dxa"/>
              <w:end w:w="100" w:type="dxa"/>
            </w:tcMar>
            <w:shd w:fill="F5F7F8"/>
          </w:tcPr>
          <w:p>
            <w:pPr>
              <w:spacing w:after="0" w:line="240" w:lineRule="auto"/>
              <w:jc w:val="center"/>
            </w:pPr>
            <w:r/>
            <w:r>
              <w:rPr>
                <w:color w:val="232D34"/>
                <w:sz w:val="15"/>
              </w:rPr>
              <w:t>Approximately $190B</w:t>
            </w:r>
          </w:p>
        </w:tc>
        <w:tc>
          <w:tcPr>
            <w:tcW w:type="dxa" w:w="4608"/>
            <w:vAlign w:val="center"/>
            <w:tcMar>
              <w:top w:w="90" w:type="dxa"/>
              <w:start w:w="100" w:type="dxa"/>
              <w:bottom w:w="90" w:type="dxa"/>
              <w:end w:w="100" w:type="dxa"/>
            </w:tcMar>
            <w:shd w:fill="F5F7F8"/>
          </w:tcPr>
          <w:p>
            <w:pPr>
              <w:spacing w:after="0" w:line="240" w:lineRule="auto"/>
            </w:pPr>
            <w:r/>
            <w:r>
              <w:rPr>
                <w:color w:val="232D34"/>
                <w:sz w:val="15"/>
              </w:rPr>
              <w:t>Includes ~$25B higher component-pricing impact</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S26</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Expected fiscal Q4 capex</w:t>
            </w:r>
          </w:p>
        </w:tc>
        <w:tc>
          <w:tcPr>
            <w:tcW w:type="dxa" w:w="2160"/>
            <w:vAlign w:val="center"/>
            <w:tcMar>
              <w:top w:w="90" w:type="dxa"/>
              <w:start w:w="100" w:type="dxa"/>
              <w:bottom w:w="90" w:type="dxa"/>
              <w:end w:w="100" w:type="dxa"/>
            </w:tcMar>
          </w:tcPr>
          <w:p>
            <w:pPr>
              <w:spacing w:after="0" w:line="240" w:lineRule="auto"/>
              <w:jc w:val="center"/>
            </w:pPr>
            <w:r/>
            <w:r>
              <w:rPr>
                <w:color w:val="232D34"/>
                <w:sz w:val="15"/>
              </w:rPr>
              <w:t>More than $40B</w:t>
            </w:r>
          </w:p>
        </w:tc>
        <w:tc>
          <w:tcPr>
            <w:tcW w:type="dxa" w:w="4608"/>
            <w:vAlign w:val="center"/>
            <w:tcMar>
              <w:top w:w="90" w:type="dxa"/>
              <w:start w:w="100" w:type="dxa"/>
              <w:bottom w:w="90" w:type="dxa"/>
              <w:end w:w="100" w:type="dxa"/>
            </w:tcMar>
          </w:tcPr>
          <w:p>
            <w:pPr>
              <w:spacing w:after="0" w:line="240" w:lineRule="auto"/>
            </w:pPr>
            <w:r/>
            <w:r>
              <w:rPr>
                <w:color w:val="232D34"/>
                <w:sz w:val="15"/>
              </w:rPr>
              <w:t>Includes finance-lease variability</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S26</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FY2026 Q1 capex</w:t>
            </w:r>
          </w:p>
        </w:tc>
        <w:tc>
          <w:tcPr>
            <w:tcW w:type="dxa" w:w="2160"/>
            <w:vAlign w:val="center"/>
            <w:tcMar>
              <w:top w:w="90" w:type="dxa"/>
              <w:start w:w="100" w:type="dxa"/>
              <w:bottom w:w="90" w:type="dxa"/>
              <w:end w:w="100" w:type="dxa"/>
            </w:tcMar>
            <w:shd w:fill="F5F7F8"/>
          </w:tcPr>
          <w:p>
            <w:pPr>
              <w:spacing w:after="0" w:line="240" w:lineRule="auto"/>
              <w:jc w:val="center"/>
            </w:pPr>
            <w:r/>
            <w:r>
              <w:rPr>
                <w:color w:val="232D34"/>
                <w:sz w:val="15"/>
              </w:rPr>
              <w:t>$34.9B</w:t>
            </w:r>
          </w:p>
        </w:tc>
        <w:tc>
          <w:tcPr>
            <w:tcW w:type="dxa" w:w="4608"/>
            <w:vAlign w:val="center"/>
            <w:tcMar>
              <w:top w:w="90" w:type="dxa"/>
              <w:start w:w="100" w:type="dxa"/>
              <w:bottom w:w="90" w:type="dxa"/>
              <w:end w:w="100" w:type="dxa"/>
            </w:tcMar>
            <w:shd w:fill="F5F7F8"/>
          </w:tcPr>
          <w:p>
            <w:pPr>
              <w:spacing w:after="0" w:line="240" w:lineRule="auto"/>
            </w:pPr>
            <w:r/>
            <w:r>
              <w:rPr>
                <w:color w:val="232D34"/>
                <w:sz w:val="15"/>
              </w:rPr>
              <w:t>Roughly half short-lived assets; $11.1B finance leases; $19.4B cash PP&amp;E</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S47</w:t>
            </w:r>
          </w:p>
        </w:tc>
      </w:tr>
      <w:tr>
        <w:trPr>
          <w:cantSplit/>
        </w:trPr>
        <w:tc>
          <w:tcPr>
            <w:tcW w:type="dxa" w:w="2736"/>
            <w:vAlign w:val="center"/>
            <w:tcMar>
              <w:top w:w="90" w:type="dxa"/>
              <w:start w:w="100" w:type="dxa"/>
              <w:bottom w:w="90" w:type="dxa"/>
              <w:end w:w="100" w:type="dxa"/>
            </w:tcMar>
          </w:tcPr>
          <w:p>
            <w:pPr>
              <w:spacing w:after="0" w:line="240" w:lineRule="auto"/>
            </w:pPr>
            <w:r/>
            <w:r>
              <w:rPr>
                <w:color w:val="232D34"/>
                <w:sz w:val="15"/>
              </w:rPr>
              <w:t>Debt at Dec. 31, 2025</w:t>
            </w:r>
          </w:p>
        </w:tc>
        <w:tc>
          <w:tcPr>
            <w:tcW w:type="dxa" w:w="2160"/>
            <w:vAlign w:val="center"/>
            <w:tcMar>
              <w:top w:w="90" w:type="dxa"/>
              <w:start w:w="100" w:type="dxa"/>
              <w:bottom w:w="90" w:type="dxa"/>
              <w:end w:w="100" w:type="dxa"/>
            </w:tcMar>
          </w:tcPr>
          <w:p>
            <w:pPr>
              <w:spacing w:after="0" w:line="240" w:lineRule="auto"/>
              <w:jc w:val="center"/>
            </w:pPr>
            <w:r/>
            <w:r>
              <w:rPr>
                <w:color w:val="232D34"/>
                <w:sz w:val="15"/>
              </w:rPr>
              <w:t>$40.262B</w:t>
            </w:r>
          </w:p>
        </w:tc>
        <w:tc>
          <w:tcPr>
            <w:tcW w:type="dxa" w:w="4608"/>
            <w:vAlign w:val="center"/>
            <w:tcMar>
              <w:top w:w="90" w:type="dxa"/>
              <w:start w:w="100" w:type="dxa"/>
              <w:bottom w:w="90" w:type="dxa"/>
              <w:end w:w="100" w:type="dxa"/>
            </w:tcMar>
          </w:tcPr>
          <w:p>
            <w:pPr>
              <w:spacing w:after="0" w:line="240" w:lineRule="auto"/>
            </w:pPr>
            <w:r/>
            <w:r>
              <w:rPr>
                <w:color w:val="232D34"/>
                <w:sz w:val="15"/>
              </w:rPr>
              <w:t>Current $4.837B + long-term $35.425B</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S25</w:t>
            </w:r>
          </w:p>
        </w:tc>
      </w:tr>
      <w:tr>
        <w:trPr>
          <w:cantSplit/>
        </w:trPr>
        <w:tc>
          <w:tcPr>
            <w:tcW w:type="dxa" w:w="2736"/>
            <w:vAlign w:val="center"/>
            <w:tcMar>
              <w:top w:w="90" w:type="dxa"/>
              <w:start w:w="100" w:type="dxa"/>
              <w:bottom w:w="90" w:type="dxa"/>
              <w:end w:w="100" w:type="dxa"/>
            </w:tcMar>
            <w:shd w:fill="F5F7F8"/>
          </w:tcPr>
          <w:p>
            <w:pPr>
              <w:spacing w:after="0" w:line="240" w:lineRule="auto"/>
            </w:pPr>
            <w:r/>
            <w:r>
              <w:rPr>
                <w:color w:val="232D34"/>
                <w:sz w:val="15"/>
              </w:rPr>
              <w:t>Cash + short-term investments</w:t>
            </w:r>
          </w:p>
        </w:tc>
        <w:tc>
          <w:tcPr>
            <w:tcW w:type="dxa" w:w="2160"/>
            <w:vAlign w:val="center"/>
            <w:tcMar>
              <w:top w:w="90" w:type="dxa"/>
              <w:start w:w="100" w:type="dxa"/>
              <w:bottom w:w="90" w:type="dxa"/>
              <w:end w:w="100" w:type="dxa"/>
            </w:tcMar>
            <w:shd w:fill="F5F7F8"/>
          </w:tcPr>
          <w:p>
            <w:pPr>
              <w:spacing w:after="0" w:line="240" w:lineRule="auto"/>
              <w:jc w:val="center"/>
            </w:pPr>
            <w:r/>
            <w:r>
              <w:rPr>
                <w:color w:val="232D34"/>
                <w:sz w:val="15"/>
              </w:rPr>
              <w:t>$89.462B</w:t>
            </w:r>
          </w:p>
        </w:tc>
        <w:tc>
          <w:tcPr>
            <w:tcW w:type="dxa" w:w="4608"/>
            <w:vAlign w:val="center"/>
            <w:tcMar>
              <w:top w:w="90" w:type="dxa"/>
              <w:start w:w="100" w:type="dxa"/>
              <w:bottom w:w="90" w:type="dxa"/>
              <w:end w:w="100" w:type="dxa"/>
            </w:tcMar>
            <w:shd w:fill="F5F7F8"/>
          </w:tcPr>
          <w:p>
            <w:pPr>
              <w:spacing w:after="0" w:line="240" w:lineRule="auto"/>
              <w:jc w:val="center"/>
            </w:pPr>
            <w:r/>
            <w:r>
              <w:rPr>
                <w:color w:val="232D34"/>
                <w:sz w:val="15"/>
              </w:rPr>
              <w:t>Dec. 31, 2025</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S25</w:t>
            </w:r>
          </w:p>
        </w:tc>
      </w:tr>
    </w:tbl>
    <w:p>
      <w:pPr>
        <w:spacing w:after="20"/>
      </w:pPr>
    </w:p>
    <w:p>
      <w:pPr>
        <w:spacing w:after="100" w:line="259" w:lineRule="auto"/>
      </w:pPr>
      <w:r>
        <w:t>Microsoft records the full value of a finance-leased asset in capex when the lease commences, even though cash is paid over time. That creates a widening gap between reported capex and cash paid for property and equipment. The lease structure preserves near-term cash but creates a long-duration fixed payment schedule.</w:t>
      </w:r>
      <w:r>
        <w:rPr>
          <w:color w:val="2F5E75"/>
          <w:sz w:val="16"/>
          <w:vertAlign w:val="superscript"/>
        </w:rPr>
        <w:t xml:space="preserve"> [S25,S26,S47]</w:t>
      </w:r>
    </w:p>
    <w:p>
      <w:pPr>
        <w:pStyle w:val="Heading2"/>
        <w:keepNext/>
      </w:pPr>
      <w:r>
        <w:t>7.6 CoreWeave: contract-backed leverage and refinancing sensitivity</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664"/>
            <w:shd w:fill="17324D"/>
            <w:vAlign w:val="center"/>
            <w:tcMar>
              <w:top w:w="100" w:type="dxa"/>
              <w:start w:w="110" w:type="dxa"/>
              <w:bottom w:w="100" w:type="dxa"/>
              <w:end w:w="110" w:type="dxa"/>
            </w:tcMar>
          </w:tcPr>
          <w:p>
            <w:pPr>
              <w:jc w:val="center"/>
            </w:pPr>
            <w:r/>
            <w:r>
              <w:rPr>
                <w:b/>
                <w:color w:val="FFFFFF"/>
                <w:sz w:val="16"/>
              </w:rPr>
              <w:t>Category</w:t>
            </w:r>
          </w:p>
        </w:tc>
        <w:tc>
          <w:tcPr>
            <w:tcW w:type="dxa" w:w="2520"/>
            <w:shd w:fill="17324D"/>
            <w:vAlign w:val="center"/>
            <w:tcMar>
              <w:top w:w="100" w:type="dxa"/>
              <w:start w:w="110" w:type="dxa"/>
              <w:bottom w:w="100" w:type="dxa"/>
              <w:end w:w="110" w:type="dxa"/>
            </w:tcMar>
          </w:tcPr>
          <w:p>
            <w:pPr>
              <w:jc w:val="center"/>
            </w:pPr>
            <w:r/>
            <w:r>
              <w:rPr>
                <w:b/>
                <w:color w:val="FFFFFF"/>
                <w:sz w:val="16"/>
              </w:rPr>
              <w:t>Amount / term</w:t>
            </w:r>
          </w:p>
        </w:tc>
        <w:tc>
          <w:tcPr>
            <w:tcW w:type="dxa" w:w="4320"/>
            <w:shd w:fill="17324D"/>
            <w:vAlign w:val="center"/>
            <w:tcMar>
              <w:top w:w="100" w:type="dxa"/>
              <w:start w:w="110" w:type="dxa"/>
              <w:bottom w:w="100" w:type="dxa"/>
              <w:end w:w="110" w:type="dxa"/>
            </w:tcMar>
          </w:tcPr>
          <w:p>
            <w:pPr>
              <w:jc w:val="center"/>
            </w:pPr>
            <w:r/>
            <w:r>
              <w:rPr>
                <w:b/>
                <w:color w:val="FFFFFF"/>
                <w:sz w:val="16"/>
              </w:rPr>
              <w:t>Meaning</w:t>
            </w:r>
          </w:p>
        </w:tc>
        <w:tc>
          <w:tcPr>
            <w:tcW w:type="dxa" w:w="792"/>
            <w:shd w:fill="17324D"/>
            <w:vAlign w:val="center"/>
            <w:tcMar>
              <w:top w:w="100" w:type="dxa"/>
              <w:start w:w="110" w:type="dxa"/>
              <w:bottom w:w="100" w:type="dxa"/>
              <w:end w:w="110" w:type="dxa"/>
            </w:tcMar>
          </w:tcPr>
          <w:p>
            <w:pPr>
              <w:jc w:val="center"/>
            </w:pPr>
            <w:r/>
            <w:r>
              <w:rPr>
                <w:b/>
                <w:color w:val="FFFFFF"/>
                <w:sz w:val="16"/>
              </w:rPr>
              <w:t>Source</w:t>
            </w:r>
          </w:p>
        </w:tc>
      </w:tr>
      <w:tr>
        <w:trPr>
          <w:cantSplit/>
        </w:trPr>
        <w:tc>
          <w:tcPr>
            <w:tcW w:type="dxa" w:w="2664"/>
            <w:vAlign w:val="center"/>
            <w:tcMar>
              <w:top w:w="90" w:type="dxa"/>
              <w:start w:w="100" w:type="dxa"/>
              <w:bottom w:w="90" w:type="dxa"/>
              <w:end w:w="100" w:type="dxa"/>
            </w:tcMar>
          </w:tcPr>
          <w:p>
            <w:pPr>
              <w:spacing w:after="0" w:line="240" w:lineRule="auto"/>
            </w:pPr>
            <w:r/>
            <w:r>
              <w:rPr>
                <w:color w:val="232D34"/>
                <w:sz w:val="16"/>
              </w:rPr>
              <w:t>Total indebtedness</w:t>
            </w:r>
          </w:p>
        </w:tc>
        <w:tc>
          <w:tcPr>
            <w:tcW w:type="dxa" w:w="2520"/>
            <w:vAlign w:val="center"/>
            <w:tcMar>
              <w:top w:w="90" w:type="dxa"/>
              <w:start w:w="100" w:type="dxa"/>
              <w:bottom w:w="90" w:type="dxa"/>
              <w:end w:w="100" w:type="dxa"/>
            </w:tcMar>
          </w:tcPr>
          <w:p>
            <w:pPr>
              <w:spacing w:after="0" w:line="240" w:lineRule="auto"/>
              <w:jc w:val="center"/>
            </w:pPr>
            <w:r/>
            <w:r>
              <w:rPr>
                <w:color w:val="232D34"/>
                <w:sz w:val="16"/>
              </w:rPr>
              <w:t>$11.2B</w:t>
            </w:r>
          </w:p>
        </w:tc>
        <w:tc>
          <w:tcPr>
            <w:tcW w:type="dxa" w:w="4320"/>
            <w:vAlign w:val="center"/>
            <w:tcMar>
              <w:top w:w="90" w:type="dxa"/>
              <w:start w:w="100" w:type="dxa"/>
              <w:bottom w:w="90" w:type="dxa"/>
              <w:end w:w="100" w:type="dxa"/>
            </w:tcMar>
          </w:tcPr>
          <w:p>
            <w:pPr>
              <w:spacing w:after="0" w:line="240" w:lineRule="auto"/>
              <w:jc w:val="center"/>
            </w:pPr>
            <w:r/>
            <w:r>
              <w:rPr>
                <w:color w:val="232D34"/>
                <w:sz w:val="16"/>
              </w:rPr>
              <w:t>Jun. 30, 2025</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S28</w:t>
            </w:r>
          </w:p>
        </w:tc>
      </w:tr>
      <w:tr>
        <w:trPr>
          <w:cantSplit/>
        </w:trPr>
        <w:tc>
          <w:tcPr>
            <w:tcW w:type="dxa" w:w="2664"/>
            <w:vAlign w:val="center"/>
            <w:tcMar>
              <w:top w:w="90" w:type="dxa"/>
              <w:start w:w="100" w:type="dxa"/>
              <w:bottom w:w="90" w:type="dxa"/>
              <w:end w:w="100" w:type="dxa"/>
            </w:tcMar>
            <w:shd w:fill="F5F7F8"/>
          </w:tcPr>
          <w:p>
            <w:pPr>
              <w:spacing w:after="0" w:line="240" w:lineRule="auto"/>
            </w:pPr>
            <w:r/>
            <w:r>
              <w:rPr>
                <w:color w:val="232D34"/>
                <w:sz w:val="16"/>
              </w:rPr>
              <w:t>Undrawn availability</w:t>
            </w:r>
          </w:p>
        </w:tc>
        <w:tc>
          <w:tcPr>
            <w:tcW w:type="dxa" w:w="2520"/>
            <w:vAlign w:val="center"/>
            <w:tcMar>
              <w:top w:w="90" w:type="dxa"/>
              <w:start w:w="100" w:type="dxa"/>
              <w:bottom w:w="90" w:type="dxa"/>
              <w:end w:w="100" w:type="dxa"/>
            </w:tcMar>
            <w:shd w:fill="F5F7F8"/>
          </w:tcPr>
          <w:p>
            <w:pPr>
              <w:spacing w:after="0" w:line="240" w:lineRule="auto"/>
              <w:jc w:val="center"/>
            </w:pPr>
            <w:r/>
            <w:r>
              <w:rPr>
                <w:color w:val="232D34"/>
                <w:sz w:val="16"/>
              </w:rPr>
              <w:t>$3.7B</w:t>
            </w:r>
          </w:p>
        </w:tc>
        <w:tc>
          <w:tcPr>
            <w:tcW w:type="dxa" w:w="4320"/>
            <w:vAlign w:val="center"/>
            <w:tcMar>
              <w:top w:w="90" w:type="dxa"/>
              <w:start w:w="100" w:type="dxa"/>
              <w:bottom w:w="90" w:type="dxa"/>
              <w:end w:w="100" w:type="dxa"/>
            </w:tcMar>
            <w:shd w:fill="F5F7F8"/>
          </w:tcPr>
          <w:p>
            <w:pPr>
              <w:spacing w:after="0" w:line="240" w:lineRule="auto"/>
            </w:pPr>
            <w:r/>
            <w:r>
              <w:rPr>
                <w:color w:val="232D34"/>
                <w:sz w:val="16"/>
              </w:rPr>
              <w:t>Revolver and delayed-draw facilities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S28</w:t>
            </w:r>
          </w:p>
        </w:tc>
      </w:tr>
      <w:tr>
        <w:trPr>
          <w:cantSplit/>
        </w:trPr>
        <w:tc>
          <w:tcPr>
            <w:tcW w:type="dxa" w:w="2664"/>
            <w:vAlign w:val="center"/>
            <w:tcMar>
              <w:top w:w="90" w:type="dxa"/>
              <w:start w:w="100" w:type="dxa"/>
              <w:bottom w:w="90" w:type="dxa"/>
              <w:end w:w="100" w:type="dxa"/>
            </w:tcMar>
          </w:tcPr>
          <w:p>
            <w:pPr>
              <w:spacing w:after="0" w:line="240" w:lineRule="auto"/>
            </w:pPr>
            <w:r/>
            <w:r>
              <w:rPr>
                <w:color w:val="232D34"/>
                <w:sz w:val="16"/>
              </w:rPr>
              <w:t>DDTL 1.0</w:t>
            </w:r>
          </w:p>
        </w:tc>
        <w:tc>
          <w:tcPr>
            <w:tcW w:type="dxa" w:w="2520"/>
            <w:vAlign w:val="center"/>
            <w:tcMar>
              <w:top w:w="90" w:type="dxa"/>
              <w:start w:w="100" w:type="dxa"/>
              <w:bottom w:w="90" w:type="dxa"/>
              <w:end w:w="100" w:type="dxa"/>
            </w:tcMar>
          </w:tcPr>
          <w:p>
            <w:pPr>
              <w:spacing w:after="0" w:line="240" w:lineRule="auto"/>
              <w:jc w:val="center"/>
            </w:pPr>
            <w:r/>
            <w:r>
              <w:rPr>
                <w:color w:val="232D34"/>
                <w:sz w:val="16"/>
              </w:rPr>
              <w:t>Up to $2.3B</w:t>
            </w:r>
          </w:p>
        </w:tc>
        <w:tc>
          <w:tcPr>
            <w:tcW w:type="dxa" w:w="4320"/>
            <w:vAlign w:val="center"/>
            <w:tcMar>
              <w:top w:w="90" w:type="dxa"/>
              <w:start w:w="100" w:type="dxa"/>
              <w:bottom w:w="90" w:type="dxa"/>
              <w:end w:w="100" w:type="dxa"/>
            </w:tcMar>
          </w:tcPr>
          <w:p>
            <w:pPr>
              <w:spacing w:after="0" w:line="240" w:lineRule="auto"/>
            </w:pPr>
            <w:r/>
            <w:r>
              <w:rPr>
                <w:color w:val="232D34"/>
                <w:sz w:val="16"/>
              </w:rPr>
              <w:t>Subsidiary delayed-draw facility</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S28</w:t>
            </w:r>
          </w:p>
        </w:tc>
      </w:tr>
      <w:tr>
        <w:trPr>
          <w:cantSplit/>
        </w:trPr>
        <w:tc>
          <w:tcPr>
            <w:tcW w:type="dxa" w:w="2664"/>
            <w:vAlign w:val="center"/>
            <w:tcMar>
              <w:top w:w="90" w:type="dxa"/>
              <w:start w:w="100" w:type="dxa"/>
              <w:bottom w:w="90" w:type="dxa"/>
              <w:end w:w="100" w:type="dxa"/>
            </w:tcMar>
            <w:shd w:fill="F5F7F8"/>
          </w:tcPr>
          <w:p>
            <w:pPr>
              <w:spacing w:after="0" w:line="240" w:lineRule="auto"/>
            </w:pPr>
            <w:r/>
            <w:r>
              <w:rPr>
                <w:color w:val="232D34"/>
                <w:sz w:val="16"/>
              </w:rPr>
              <w:t>DDTL 2.0</w:t>
            </w:r>
          </w:p>
        </w:tc>
        <w:tc>
          <w:tcPr>
            <w:tcW w:type="dxa" w:w="2520"/>
            <w:vAlign w:val="center"/>
            <w:tcMar>
              <w:top w:w="90" w:type="dxa"/>
              <w:start w:w="100" w:type="dxa"/>
              <w:bottom w:w="90" w:type="dxa"/>
              <w:end w:w="100" w:type="dxa"/>
            </w:tcMar>
            <w:shd w:fill="F5F7F8"/>
          </w:tcPr>
          <w:p>
            <w:pPr>
              <w:spacing w:after="0" w:line="240" w:lineRule="auto"/>
              <w:jc w:val="center"/>
            </w:pPr>
            <w:r/>
            <w:r>
              <w:rPr>
                <w:color w:val="232D34"/>
                <w:sz w:val="16"/>
              </w:rPr>
              <w:t>Up to $7.6B</w:t>
            </w:r>
          </w:p>
        </w:tc>
        <w:tc>
          <w:tcPr>
            <w:tcW w:type="dxa" w:w="4320"/>
            <w:vAlign w:val="center"/>
            <w:tcMar>
              <w:top w:w="90" w:type="dxa"/>
              <w:start w:w="100" w:type="dxa"/>
              <w:bottom w:w="90" w:type="dxa"/>
              <w:end w:w="100" w:type="dxa"/>
            </w:tcMar>
            <w:shd w:fill="F5F7F8"/>
          </w:tcPr>
          <w:p>
            <w:pPr>
              <w:spacing w:after="0" w:line="240" w:lineRule="auto"/>
            </w:pPr>
            <w:r/>
            <w:r>
              <w:rPr>
                <w:color w:val="232D34"/>
                <w:sz w:val="16"/>
              </w:rPr>
              <w:t>Subsidiary delayed-draw facility</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S28</w:t>
            </w:r>
          </w:p>
        </w:tc>
      </w:tr>
      <w:tr>
        <w:trPr>
          <w:cantSplit/>
        </w:trPr>
        <w:tc>
          <w:tcPr>
            <w:tcW w:type="dxa" w:w="2664"/>
            <w:vAlign w:val="center"/>
            <w:tcMar>
              <w:top w:w="90" w:type="dxa"/>
              <w:start w:w="100" w:type="dxa"/>
              <w:bottom w:w="90" w:type="dxa"/>
              <w:end w:w="100" w:type="dxa"/>
            </w:tcMar>
          </w:tcPr>
          <w:p>
            <w:pPr>
              <w:spacing w:after="0" w:line="240" w:lineRule="auto"/>
            </w:pPr>
            <w:r/>
            <w:r>
              <w:rPr>
                <w:color w:val="232D34"/>
                <w:sz w:val="16"/>
              </w:rPr>
              <w:t>DDTL 3.0</w:t>
            </w:r>
          </w:p>
        </w:tc>
        <w:tc>
          <w:tcPr>
            <w:tcW w:type="dxa" w:w="2520"/>
            <w:vAlign w:val="center"/>
            <w:tcMar>
              <w:top w:w="90" w:type="dxa"/>
              <w:start w:w="100" w:type="dxa"/>
              <w:bottom w:w="90" w:type="dxa"/>
              <w:end w:w="100" w:type="dxa"/>
            </w:tcMar>
          </w:tcPr>
          <w:p>
            <w:pPr>
              <w:spacing w:after="0" w:line="240" w:lineRule="auto"/>
              <w:jc w:val="center"/>
            </w:pPr>
            <w:r/>
            <w:r>
              <w:rPr>
                <w:color w:val="232D34"/>
                <w:sz w:val="16"/>
              </w:rPr>
              <w:t>Up to $2.6B</w:t>
            </w:r>
          </w:p>
        </w:tc>
        <w:tc>
          <w:tcPr>
            <w:tcW w:type="dxa" w:w="4320"/>
            <w:vAlign w:val="center"/>
            <w:tcMar>
              <w:top w:w="90" w:type="dxa"/>
              <w:start w:w="100" w:type="dxa"/>
              <w:bottom w:w="90" w:type="dxa"/>
              <w:end w:w="100" w:type="dxa"/>
            </w:tcMar>
          </w:tcPr>
          <w:p>
            <w:pPr>
              <w:spacing w:after="0" w:line="240" w:lineRule="auto"/>
              <w:jc w:val="center"/>
            </w:pPr>
            <w:r/>
            <w:r>
              <w:rPr>
                <w:color w:val="232D34"/>
                <w:sz w:val="16"/>
              </w:rPr>
              <w:t>Added July 2025</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S28</w:t>
            </w:r>
          </w:p>
        </w:tc>
      </w:tr>
      <w:tr>
        <w:trPr>
          <w:cantSplit/>
        </w:trPr>
        <w:tc>
          <w:tcPr>
            <w:tcW w:type="dxa" w:w="2664"/>
            <w:vAlign w:val="center"/>
            <w:tcMar>
              <w:top w:w="90" w:type="dxa"/>
              <w:start w:w="100" w:type="dxa"/>
              <w:bottom w:w="90" w:type="dxa"/>
              <w:end w:w="100" w:type="dxa"/>
            </w:tcMar>
            <w:shd w:fill="F5F7F8"/>
          </w:tcPr>
          <w:p>
            <w:pPr>
              <w:spacing w:after="0" w:line="240" w:lineRule="auto"/>
            </w:pPr>
            <w:r/>
            <w:r>
              <w:rPr>
                <w:color w:val="232D34"/>
                <w:sz w:val="16"/>
              </w:rPr>
              <w:t>Reported Anthropic-linked loan</w:t>
            </w:r>
          </w:p>
        </w:tc>
        <w:tc>
          <w:tcPr>
            <w:tcW w:type="dxa" w:w="2520"/>
            <w:vAlign w:val="center"/>
            <w:tcMar>
              <w:top w:w="90" w:type="dxa"/>
              <w:start w:w="100" w:type="dxa"/>
              <w:bottom w:w="90" w:type="dxa"/>
              <w:end w:w="100" w:type="dxa"/>
            </w:tcMar>
            <w:shd w:fill="F5F7F8"/>
          </w:tcPr>
          <w:p>
            <w:pPr>
              <w:spacing w:after="0" w:line="240" w:lineRule="auto"/>
              <w:jc w:val="center"/>
            </w:pPr>
            <w:r/>
            <w:r>
              <w:rPr>
                <w:color w:val="232D34"/>
                <w:sz w:val="16"/>
              </w:rPr>
              <w:t>$2.6B</w:t>
            </w:r>
          </w:p>
        </w:tc>
        <w:tc>
          <w:tcPr>
            <w:tcW w:type="dxa" w:w="4320"/>
            <w:vAlign w:val="center"/>
            <w:tcMar>
              <w:top w:w="90" w:type="dxa"/>
              <w:start w:w="100" w:type="dxa"/>
              <w:bottom w:w="90" w:type="dxa"/>
              <w:end w:w="100" w:type="dxa"/>
            </w:tcMar>
            <w:shd w:fill="F5F7F8"/>
          </w:tcPr>
          <w:p>
            <w:pPr>
              <w:spacing w:after="0" w:line="240" w:lineRule="auto"/>
            </w:pPr>
            <w:r/>
            <w:r>
              <w:rPr>
                <w:color w:val="232D34"/>
                <w:sz w:val="16"/>
              </w:rPr>
              <w:t>Yield raised to approximately 9.1%; revenue lockbox and lender protections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S29</w:t>
            </w:r>
          </w:p>
        </w:tc>
      </w:tr>
      <w:tr>
        <w:trPr>
          <w:cantSplit/>
        </w:trPr>
        <w:tc>
          <w:tcPr>
            <w:tcW w:type="dxa" w:w="2664"/>
            <w:vAlign w:val="center"/>
            <w:tcMar>
              <w:top w:w="90" w:type="dxa"/>
              <w:start w:w="100" w:type="dxa"/>
              <w:bottom w:w="90" w:type="dxa"/>
              <w:end w:w="100" w:type="dxa"/>
            </w:tcMar>
          </w:tcPr>
          <w:p>
            <w:pPr>
              <w:spacing w:after="0" w:line="240" w:lineRule="auto"/>
            </w:pPr>
            <w:r/>
            <w:r>
              <w:rPr>
                <w:color w:val="232D34"/>
                <w:sz w:val="16"/>
              </w:rPr>
              <w:t>Reported prior OpenAI-linked financing</w:t>
            </w:r>
          </w:p>
        </w:tc>
        <w:tc>
          <w:tcPr>
            <w:tcW w:type="dxa" w:w="2520"/>
            <w:vAlign w:val="center"/>
            <w:tcMar>
              <w:top w:w="90" w:type="dxa"/>
              <w:start w:w="100" w:type="dxa"/>
              <w:bottom w:w="90" w:type="dxa"/>
              <w:end w:w="100" w:type="dxa"/>
            </w:tcMar>
          </w:tcPr>
          <w:p>
            <w:pPr>
              <w:spacing w:after="0" w:line="240" w:lineRule="auto"/>
              <w:jc w:val="center"/>
            </w:pPr>
            <w:r/>
            <w:r>
              <w:rPr>
                <w:color w:val="232D34"/>
                <w:sz w:val="16"/>
              </w:rPr>
              <w:t>$3.1B</w:t>
            </w:r>
          </w:p>
        </w:tc>
        <w:tc>
          <w:tcPr>
            <w:tcW w:type="dxa" w:w="4320"/>
            <w:vAlign w:val="center"/>
            <w:tcMar>
              <w:top w:w="90" w:type="dxa"/>
              <w:start w:w="100" w:type="dxa"/>
              <w:bottom w:w="90" w:type="dxa"/>
              <w:end w:w="100" w:type="dxa"/>
            </w:tcMar>
          </w:tcPr>
          <w:p>
            <w:pPr>
              <w:spacing w:after="0" w:line="240" w:lineRule="auto"/>
            </w:pPr>
            <w:r/>
            <w:r>
              <w:rPr>
                <w:color w:val="232D34"/>
                <w:sz w:val="16"/>
              </w:rPr>
              <w:t>Contract-supported financing on stronger terms</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S29</w:t>
            </w:r>
          </w:p>
        </w:tc>
      </w:tr>
      <w:tr>
        <w:trPr>
          <w:cantSplit/>
        </w:trPr>
        <w:tc>
          <w:tcPr>
            <w:tcW w:type="dxa" w:w="2664"/>
            <w:vAlign w:val="center"/>
            <w:tcMar>
              <w:top w:w="90" w:type="dxa"/>
              <w:start w:w="100" w:type="dxa"/>
              <w:bottom w:w="90" w:type="dxa"/>
              <w:end w:w="100" w:type="dxa"/>
            </w:tcMar>
            <w:shd w:fill="F5F7F8"/>
          </w:tcPr>
          <w:p>
            <w:pPr>
              <w:spacing w:after="0" w:line="240" w:lineRule="auto"/>
            </w:pPr>
            <w:r/>
            <w:r>
              <w:rPr>
                <w:color w:val="232D34"/>
                <w:sz w:val="16"/>
              </w:rPr>
              <w:t>Contract / asset duration mismatch</w:t>
            </w:r>
          </w:p>
        </w:tc>
        <w:tc>
          <w:tcPr>
            <w:tcW w:type="dxa" w:w="2520"/>
            <w:vAlign w:val="center"/>
            <w:tcMar>
              <w:top w:w="90" w:type="dxa"/>
              <w:start w:w="100" w:type="dxa"/>
              <w:bottom w:w="90" w:type="dxa"/>
              <w:end w:w="100" w:type="dxa"/>
            </w:tcMar>
            <w:shd w:fill="F5F7F8"/>
          </w:tcPr>
          <w:p>
            <w:pPr>
              <w:spacing w:after="0" w:line="240" w:lineRule="auto"/>
            </w:pPr>
            <w:r/>
            <w:r>
              <w:rPr>
                <w:color w:val="232D34"/>
                <w:sz w:val="16"/>
              </w:rPr>
              <w:t>~3–5-year customer contracts vs up to ~15-year infrastructure leases</w:t>
            </w:r>
          </w:p>
        </w:tc>
        <w:tc>
          <w:tcPr>
            <w:tcW w:type="dxa" w:w="4320"/>
            <w:vAlign w:val="center"/>
            <w:tcMar>
              <w:top w:w="90" w:type="dxa"/>
              <w:start w:w="100" w:type="dxa"/>
              <w:bottom w:w="90" w:type="dxa"/>
              <w:end w:w="100" w:type="dxa"/>
            </w:tcMar>
            <w:shd w:fill="F5F7F8"/>
          </w:tcPr>
          <w:p>
            <w:pPr>
              <w:spacing w:after="0" w:line="240" w:lineRule="auto"/>
            </w:pPr>
            <w:r/>
            <w:r>
              <w:rPr>
                <w:color w:val="232D34"/>
                <w:sz w:val="16"/>
              </w:rPr>
              <w:t>Refinancing and re-leasing risk after customer contract expiry</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S29</w:t>
            </w:r>
          </w:p>
        </w:tc>
      </w:tr>
    </w:tbl>
    <w:p>
      <w:pPr>
        <w:spacing w:after="20"/>
      </w:pP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CoreWeave risk</w:t>
            </w:r>
          </w:p>
          <w:p>
            <w:pPr>
              <w:spacing w:after="0" w:line="252" w:lineRule="auto"/>
            </w:pPr>
            <w:r>
              <w:t>The borrowing base is strongest while customer contracts are current and capacity is scarce. The residual problem begins when a 3–5-year contract ends before a 15-year site obligation, or when chip economics and power costs make the original facility less competitive.</w:t>
            </w:r>
            <w:r>
              <w:rPr>
                <w:color w:val="2F5E75"/>
                <w:sz w:val="16"/>
                <w:vertAlign w:val="superscript"/>
              </w:rPr>
              <w:t xml:space="preserve"> [S28,S29]</w:t>
            </w:r>
          </w:p>
        </w:tc>
      </w:tr>
    </w:tbl>
    <w:p>
      <w:pPr>
        <w:spacing w:after="20"/>
      </w:pPr>
    </w:p>
    <w:p>
      <w:pPr>
        <w:pStyle w:val="Heading2"/>
        <w:keepNext/>
      </w:pPr>
      <w:r>
        <w:t>7.7 xAI: reported GPU SPV structure</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304"/>
            <w:shd w:fill="17324D"/>
            <w:vAlign w:val="center"/>
            <w:tcMar>
              <w:top w:w="100" w:type="dxa"/>
              <w:start w:w="110" w:type="dxa"/>
              <w:bottom w:w="100" w:type="dxa"/>
              <w:end w:w="110" w:type="dxa"/>
            </w:tcMar>
          </w:tcPr>
          <w:p>
            <w:pPr>
              <w:jc w:val="center"/>
            </w:pPr>
            <w:r/>
            <w:r>
              <w:rPr>
                <w:b/>
                <w:color w:val="FFFFFF"/>
                <w:sz w:val="16"/>
              </w:rPr>
              <w:t>Element</w:t>
            </w:r>
          </w:p>
        </w:tc>
        <w:tc>
          <w:tcPr>
            <w:tcW w:type="dxa" w:w="2088"/>
            <w:shd w:fill="17324D"/>
            <w:vAlign w:val="center"/>
            <w:tcMar>
              <w:top w:w="100" w:type="dxa"/>
              <w:start w:w="110" w:type="dxa"/>
              <w:bottom w:w="100" w:type="dxa"/>
              <w:end w:w="110" w:type="dxa"/>
            </w:tcMar>
          </w:tcPr>
          <w:p>
            <w:pPr>
              <w:jc w:val="center"/>
            </w:pPr>
            <w:r/>
            <w:r>
              <w:rPr>
                <w:b/>
                <w:color w:val="FFFFFF"/>
                <w:sz w:val="16"/>
              </w:rPr>
              <w:t>Amount</w:t>
            </w:r>
          </w:p>
        </w:tc>
        <w:tc>
          <w:tcPr>
            <w:tcW w:type="dxa" w:w="5112"/>
            <w:shd w:fill="17324D"/>
            <w:vAlign w:val="center"/>
            <w:tcMar>
              <w:top w:w="100" w:type="dxa"/>
              <w:start w:w="110" w:type="dxa"/>
              <w:bottom w:w="100" w:type="dxa"/>
              <w:end w:w="110" w:type="dxa"/>
            </w:tcMar>
          </w:tcPr>
          <w:p>
            <w:pPr>
              <w:jc w:val="center"/>
            </w:pPr>
            <w:r/>
            <w:r>
              <w:rPr>
                <w:b/>
                <w:color w:val="FFFFFF"/>
                <w:sz w:val="16"/>
              </w:rPr>
              <w:t>Meaning</w:t>
            </w:r>
          </w:p>
        </w:tc>
        <w:tc>
          <w:tcPr>
            <w:tcW w:type="dxa" w:w="792"/>
            <w:shd w:fill="17324D"/>
            <w:vAlign w:val="center"/>
            <w:tcMar>
              <w:top w:w="100" w:type="dxa"/>
              <w:start w:w="110" w:type="dxa"/>
              <w:bottom w:w="100" w:type="dxa"/>
              <w:end w:w="110" w:type="dxa"/>
            </w:tcMar>
          </w:tcPr>
          <w:p>
            <w:pPr>
              <w:jc w:val="center"/>
            </w:pPr>
            <w:r/>
            <w:r>
              <w:rPr>
                <w:b/>
                <w:color w:val="FFFFFF"/>
                <w:sz w:val="16"/>
              </w:rPr>
              <w:t>Source</w:t>
            </w:r>
          </w:p>
        </w:tc>
      </w:tr>
      <w:tr>
        <w:trPr>
          <w:cantSplit/>
        </w:trPr>
        <w:tc>
          <w:tcPr>
            <w:tcW w:type="dxa" w:w="2304"/>
            <w:vAlign w:val="center"/>
            <w:tcMar>
              <w:top w:w="90" w:type="dxa"/>
              <w:start w:w="100" w:type="dxa"/>
              <w:bottom w:w="90" w:type="dxa"/>
              <w:end w:w="100" w:type="dxa"/>
            </w:tcMar>
          </w:tcPr>
          <w:p>
            <w:pPr>
              <w:spacing w:after="0" w:line="240" w:lineRule="auto"/>
            </w:pPr>
            <w:r/>
            <w:r>
              <w:rPr>
                <w:color w:val="232D34"/>
                <w:sz w:val="16"/>
              </w:rPr>
              <w:t>Total contemplated financing</w:t>
            </w:r>
          </w:p>
        </w:tc>
        <w:tc>
          <w:tcPr>
            <w:tcW w:type="dxa" w:w="2088"/>
            <w:vAlign w:val="center"/>
            <w:tcMar>
              <w:top w:w="90" w:type="dxa"/>
              <w:start w:w="100" w:type="dxa"/>
              <w:bottom w:w="90" w:type="dxa"/>
              <w:end w:w="100" w:type="dxa"/>
            </w:tcMar>
          </w:tcPr>
          <w:p>
            <w:pPr>
              <w:spacing w:after="0" w:line="240" w:lineRule="auto"/>
              <w:jc w:val="center"/>
            </w:pPr>
            <w:r/>
            <w:r>
              <w:rPr>
                <w:color w:val="232D34"/>
                <w:sz w:val="16"/>
              </w:rPr>
              <w:t>$20B</w:t>
            </w:r>
          </w:p>
        </w:tc>
        <w:tc>
          <w:tcPr>
            <w:tcW w:type="dxa" w:w="5112"/>
            <w:vAlign w:val="center"/>
            <w:tcMar>
              <w:top w:w="90" w:type="dxa"/>
              <w:start w:w="100" w:type="dxa"/>
              <w:bottom w:w="90" w:type="dxa"/>
              <w:end w:w="100" w:type="dxa"/>
            </w:tcMar>
          </w:tcPr>
          <w:p>
            <w:pPr>
              <w:spacing w:after="0" w:line="240" w:lineRule="auto"/>
            </w:pPr>
            <w:r/>
            <w:r>
              <w:rPr>
                <w:color w:val="232D34"/>
                <w:sz w:val="16"/>
              </w:rPr>
              <w:t>Reported transaction; not all terms publicly confirmed</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S30</w:t>
            </w:r>
          </w:p>
        </w:tc>
      </w:tr>
      <w:tr>
        <w:trPr>
          <w:cantSplit/>
        </w:trPr>
        <w:tc>
          <w:tcPr>
            <w:tcW w:type="dxa" w:w="2304"/>
            <w:vAlign w:val="center"/>
            <w:tcMar>
              <w:top w:w="90" w:type="dxa"/>
              <w:start w:w="100" w:type="dxa"/>
              <w:bottom w:w="90" w:type="dxa"/>
              <w:end w:w="100" w:type="dxa"/>
            </w:tcMar>
            <w:shd w:fill="F5F7F8"/>
          </w:tcPr>
          <w:p>
            <w:pPr>
              <w:spacing w:after="0" w:line="240" w:lineRule="auto"/>
            </w:pPr>
            <w:r/>
            <w:r>
              <w:rPr>
                <w:color w:val="232D34"/>
                <w:sz w:val="16"/>
              </w:rPr>
              <w:t>Debt tranche</w:t>
            </w:r>
          </w:p>
        </w:tc>
        <w:tc>
          <w:tcPr>
            <w:tcW w:type="dxa" w:w="2088"/>
            <w:vAlign w:val="center"/>
            <w:tcMar>
              <w:top w:w="90" w:type="dxa"/>
              <w:start w:w="100" w:type="dxa"/>
              <w:bottom w:w="90" w:type="dxa"/>
              <w:end w:w="100" w:type="dxa"/>
            </w:tcMar>
            <w:shd w:fill="F5F7F8"/>
          </w:tcPr>
          <w:p>
            <w:pPr>
              <w:spacing w:after="0" w:line="240" w:lineRule="auto"/>
              <w:jc w:val="center"/>
            </w:pPr>
            <w:r/>
            <w:r>
              <w:rPr>
                <w:color w:val="232D34"/>
                <w:sz w:val="16"/>
              </w:rPr>
              <w:t>Up to $12.5B</w:t>
            </w:r>
          </w:p>
        </w:tc>
        <w:tc>
          <w:tcPr>
            <w:tcW w:type="dxa" w:w="5112"/>
            <w:vAlign w:val="center"/>
            <w:tcMar>
              <w:top w:w="90" w:type="dxa"/>
              <w:start w:w="100" w:type="dxa"/>
              <w:bottom w:w="90" w:type="dxa"/>
              <w:end w:w="100" w:type="dxa"/>
            </w:tcMar>
            <w:shd w:fill="F5F7F8"/>
          </w:tcPr>
          <w:p>
            <w:pPr>
              <w:spacing w:after="0" w:line="240" w:lineRule="auto"/>
            </w:pPr>
            <w:r/>
            <w:r>
              <w:rPr>
                <w:color w:val="232D34"/>
                <w:sz w:val="16"/>
              </w:rPr>
              <w:t>Apollo and Diameter reported on debt side</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S30</w:t>
            </w:r>
          </w:p>
        </w:tc>
      </w:tr>
      <w:tr>
        <w:trPr>
          <w:cantSplit/>
        </w:trPr>
        <w:tc>
          <w:tcPr>
            <w:tcW w:type="dxa" w:w="2304"/>
            <w:vAlign w:val="center"/>
            <w:tcMar>
              <w:top w:w="90" w:type="dxa"/>
              <w:start w:w="100" w:type="dxa"/>
              <w:bottom w:w="90" w:type="dxa"/>
              <w:end w:w="100" w:type="dxa"/>
            </w:tcMar>
          </w:tcPr>
          <w:p>
            <w:pPr>
              <w:spacing w:after="0" w:line="240" w:lineRule="auto"/>
            </w:pPr>
            <w:r/>
            <w:r>
              <w:rPr>
                <w:color w:val="232D34"/>
                <w:sz w:val="16"/>
              </w:rPr>
              <w:t>Equity tranche</w:t>
            </w:r>
          </w:p>
        </w:tc>
        <w:tc>
          <w:tcPr>
            <w:tcW w:type="dxa" w:w="2088"/>
            <w:vAlign w:val="center"/>
            <w:tcMar>
              <w:top w:w="90" w:type="dxa"/>
              <w:start w:w="100" w:type="dxa"/>
              <w:bottom w:w="90" w:type="dxa"/>
              <w:end w:w="100" w:type="dxa"/>
            </w:tcMar>
          </w:tcPr>
          <w:p>
            <w:pPr>
              <w:spacing w:after="0" w:line="240" w:lineRule="auto"/>
              <w:jc w:val="center"/>
            </w:pPr>
            <w:r/>
            <w:r>
              <w:rPr>
                <w:color w:val="232D34"/>
                <w:sz w:val="16"/>
              </w:rPr>
              <w:t>$7.5B</w:t>
            </w:r>
          </w:p>
        </w:tc>
        <w:tc>
          <w:tcPr>
            <w:tcW w:type="dxa" w:w="5112"/>
            <w:vAlign w:val="center"/>
            <w:tcMar>
              <w:top w:w="90" w:type="dxa"/>
              <w:start w:w="100" w:type="dxa"/>
              <w:bottom w:w="90" w:type="dxa"/>
              <w:end w:w="100" w:type="dxa"/>
            </w:tcMar>
          </w:tcPr>
          <w:p>
            <w:pPr>
              <w:spacing w:after="0" w:line="240" w:lineRule="auto"/>
              <w:jc w:val="center"/>
            </w:pPr>
            <w:r/>
            <w:r>
              <w:rPr>
                <w:color w:val="232D34"/>
                <w:sz w:val="16"/>
              </w:rPr>
              <w:t>Valor reported as equity lead</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S30</w:t>
            </w:r>
          </w:p>
        </w:tc>
      </w:tr>
      <w:tr>
        <w:trPr>
          <w:cantSplit/>
        </w:trPr>
        <w:tc>
          <w:tcPr>
            <w:tcW w:type="dxa" w:w="2304"/>
            <w:vAlign w:val="center"/>
            <w:tcMar>
              <w:top w:w="90" w:type="dxa"/>
              <w:start w:w="100" w:type="dxa"/>
              <w:bottom w:w="90" w:type="dxa"/>
              <w:end w:w="100" w:type="dxa"/>
            </w:tcMar>
            <w:shd w:fill="F5F7F8"/>
          </w:tcPr>
          <w:p>
            <w:pPr>
              <w:spacing w:after="0" w:line="240" w:lineRule="auto"/>
            </w:pPr>
            <w:r/>
            <w:r>
              <w:rPr>
                <w:color w:val="232D34"/>
                <w:sz w:val="16"/>
              </w:rPr>
              <w:t>Nvidia participation</w:t>
            </w:r>
          </w:p>
        </w:tc>
        <w:tc>
          <w:tcPr>
            <w:tcW w:type="dxa" w:w="2088"/>
            <w:vAlign w:val="center"/>
            <w:tcMar>
              <w:top w:w="90" w:type="dxa"/>
              <w:start w:w="100" w:type="dxa"/>
              <w:bottom w:w="90" w:type="dxa"/>
              <w:end w:w="100" w:type="dxa"/>
            </w:tcMar>
            <w:shd w:fill="F5F7F8"/>
          </w:tcPr>
          <w:p>
            <w:pPr>
              <w:spacing w:after="0" w:line="240" w:lineRule="auto"/>
              <w:jc w:val="center"/>
            </w:pPr>
            <w:r/>
            <w:r>
              <w:rPr>
                <w:color w:val="232D34"/>
                <w:sz w:val="16"/>
              </w:rPr>
              <w:t>Up to $2B equity</w:t>
            </w:r>
          </w:p>
        </w:tc>
        <w:tc>
          <w:tcPr>
            <w:tcW w:type="dxa" w:w="5112"/>
            <w:vAlign w:val="center"/>
            <w:tcMar>
              <w:top w:w="90" w:type="dxa"/>
              <w:start w:w="100" w:type="dxa"/>
              <w:bottom w:w="90" w:type="dxa"/>
              <w:end w:w="100" w:type="dxa"/>
            </w:tcMar>
            <w:shd w:fill="F5F7F8"/>
          </w:tcPr>
          <w:p>
            <w:pPr>
              <w:spacing w:after="0" w:line="240" w:lineRule="auto"/>
            </w:pPr>
            <w:r/>
            <w:r>
              <w:rPr>
                <w:color w:val="232D34"/>
                <w:sz w:val="16"/>
              </w:rPr>
              <w:t>Vendor potentially finances demand for its own chips</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S30</w:t>
            </w:r>
          </w:p>
        </w:tc>
      </w:tr>
      <w:tr>
        <w:trPr>
          <w:cantSplit/>
        </w:trPr>
        <w:tc>
          <w:tcPr>
            <w:tcW w:type="dxa" w:w="2304"/>
            <w:vAlign w:val="center"/>
            <w:tcMar>
              <w:top w:w="90" w:type="dxa"/>
              <w:start w:w="100" w:type="dxa"/>
              <w:bottom w:w="90" w:type="dxa"/>
              <w:end w:w="100" w:type="dxa"/>
            </w:tcMar>
          </w:tcPr>
          <w:p>
            <w:pPr>
              <w:spacing w:after="0" w:line="240" w:lineRule="auto"/>
            </w:pPr>
            <w:r/>
            <w:r>
              <w:rPr>
                <w:color w:val="232D34"/>
                <w:sz w:val="16"/>
              </w:rPr>
              <w:t>Lease term</w:t>
            </w:r>
          </w:p>
        </w:tc>
        <w:tc>
          <w:tcPr>
            <w:tcW w:type="dxa" w:w="2088"/>
            <w:vAlign w:val="center"/>
            <w:tcMar>
              <w:top w:w="90" w:type="dxa"/>
              <w:start w:w="100" w:type="dxa"/>
              <w:bottom w:w="90" w:type="dxa"/>
              <w:end w:w="100" w:type="dxa"/>
            </w:tcMar>
          </w:tcPr>
          <w:p>
            <w:pPr>
              <w:spacing w:after="0" w:line="240" w:lineRule="auto"/>
              <w:jc w:val="center"/>
            </w:pPr>
            <w:r/>
            <w:r>
              <w:rPr>
                <w:color w:val="232D34"/>
                <w:sz w:val="16"/>
              </w:rPr>
              <w:t>Five years</w:t>
            </w:r>
          </w:p>
        </w:tc>
        <w:tc>
          <w:tcPr>
            <w:tcW w:type="dxa" w:w="5112"/>
            <w:vAlign w:val="center"/>
            <w:tcMar>
              <w:top w:w="90" w:type="dxa"/>
              <w:start w:w="100" w:type="dxa"/>
              <w:bottom w:w="90" w:type="dxa"/>
              <w:end w:w="100" w:type="dxa"/>
            </w:tcMar>
          </w:tcPr>
          <w:p>
            <w:pPr>
              <w:spacing w:after="0" w:line="240" w:lineRule="auto"/>
            </w:pPr>
            <w:r/>
            <w:r>
              <w:rPr>
                <w:color w:val="232D34"/>
                <w:sz w:val="16"/>
              </w:rPr>
              <w:t>SPV buys GPUs and rents them to xAI</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S30</w:t>
            </w:r>
          </w:p>
        </w:tc>
      </w:tr>
    </w:tbl>
    <w:p>
      <w:pPr>
        <w:spacing w:after="20"/>
      </w:pPr>
    </w:p>
    <w:p>
      <w:pPr>
        <w:spacing w:after="100" w:line="259" w:lineRule="auto"/>
      </w:pPr>
      <w:r>
        <w:t>This structure is circular only in the economic sense that the GPU vendor may invest in the vehicle buying its chips. It is not proof of accounting misconduct. The relevant underwriting variables are xAI lease payments, chip resale value, Nvidia’s support, the five-year residual and the SPV’s covenant package.</w:t>
      </w:r>
      <w:r>
        <w:rPr>
          <w:color w:val="2F5E75"/>
          <w:sz w:val="16"/>
          <w:vertAlign w:val="superscript"/>
        </w:rPr>
        <w:t xml:space="preserve"> [S30]</w:t>
      </w:r>
    </w:p>
    <w:p>
      <w:r>
        <w:br w:type="page"/>
      </w:r>
    </w:p>
    <w:p>
      <w:pPr>
        <w:pStyle w:val="Heading1"/>
        <w:keepNext/>
      </w:pPr>
      <w:r>
        <w:t>8. Jefferies / Point Bonita / First Brands: collateral-control failure</w:t>
      </w:r>
    </w:p>
    <w:p>
      <w:pPr>
        <w:spacing w:after="100" w:line="259" w:lineRule="auto"/>
      </w:pPr>
      <w:r>
        <w:t>Jefferies Financial Group is an investment bank and asset manager—not a hedge fund. The troubled vehicle is Point Bonita, a trade-finance strategy managed within the Leucadia Asset Management ecosystem. The core failure is not ordinary borrower deterioration; it is whether receivables existed, were unique and were controlled by the lender.</w:t>
      </w:r>
      <w:r>
        <w:rPr>
          <w:color w:val="2F5E75"/>
          <w:sz w:val="16"/>
          <w:vertAlign w:val="superscript"/>
        </w:rPr>
        <w:t xml:space="preserve"> [S40,S41,S42]</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2541"/>
        <w:gridCol w:w="2541"/>
        <w:gridCol w:w="2541"/>
        <w:gridCol w:w="2541"/>
      </w:tblGrid>
      <w:tr>
        <w:trPr>
          <w:tblHeader w:val="true"/>
        </w:trPr>
        <w:tc>
          <w:tcPr>
            <w:tcW w:type="dxa" w:w="2808"/>
            <w:shd w:fill="17324D"/>
            <w:vAlign w:val="center"/>
            <w:tcMar>
              <w:top w:w="100" w:type="dxa"/>
              <w:start w:w="110" w:type="dxa"/>
              <w:bottom w:w="100" w:type="dxa"/>
              <w:end w:w="110" w:type="dxa"/>
            </w:tcMar>
          </w:tcPr>
          <w:p>
            <w:pPr>
              <w:jc w:val="center"/>
            </w:pPr>
            <w:r/>
            <w:r>
              <w:rPr>
                <w:b/>
                <w:color w:val="FFFFFF"/>
                <w:sz w:val="16"/>
              </w:rPr>
              <w:t>Category</w:t>
            </w:r>
          </w:p>
        </w:tc>
        <w:tc>
          <w:tcPr>
            <w:tcW w:type="dxa" w:w="2088"/>
            <w:shd w:fill="17324D"/>
            <w:vAlign w:val="center"/>
            <w:tcMar>
              <w:top w:w="100" w:type="dxa"/>
              <w:start w:w="110" w:type="dxa"/>
              <w:bottom w:w="100" w:type="dxa"/>
              <w:end w:w="110" w:type="dxa"/>
            </w:tcMar>
          </w:tcPr>
          <w:p>
            <w:pPr>
              <w:jc w:val="center"/>
            </w:pPr>
            <w:r/>
            <w:r>
              <w:rPr>
                <w:b/>
                <w:color w:val="FFFFFF"/>
                <w:sz w:val="16"/>
              </w:rPr>
              <w:t>Amount</w:t>
            </w:r>
          </w:p>
        </w:tc>
        <w:tc>
          <w:tcPr>
            <w:tcW w:type="dxa" w:w="4608"/>
            <w:shd w:fill="17324D"/>
            <w:vAlign w:val="center"/>
            <w:tcMar>
              <w:top w:w="100" w:type="dxa"/>
              <w:start w:w="110" w:type="dxa"/>
              <w:bottom w:w="100" w:type="dxa"/>
              <w:end w:w="110" w:type="dxa"/>
            </w:tcMar>
          </w:tcPr>
          <w:p>
            <w:pPr>
              <w:jc w:val="center"/>
            </w:pPr>
            <w:r/>
            <w:r>
              <w:rPr>
                <w:b/>
                <w:color w:val="FFFFFF"/>
                <w:sz w:val="16"/>
              </w:rPr>
              <w:t>Meaning</w:t>
            </w:r>
          </w:p>
        </w:tc>
        <w:tc>
          <w:tcPr>
            <w:tcW w:type="dxa" w:w="792"/>
            <w:shd w:fill="17324D"/>
            <w:vAlign w:val="center"/>
            <w:tcMar>
              <w:top w:w="100" w:type="dxa"/>
              <w:start w:w="110" w:type="dxa"/>
              <w:bottom w:w="100" w:type="dxa"/>
              <w:end w:w="110" w:type="dxa"/>
            </w:tcMar>
          </w:tcPr>
          <w:p>
            <w:pPr>
              <w:jc w:val="center"/>
            </w:pPr>
            <w:r/>
            <w:r>
              <w:rPr>
                <w:b/>
                <w:color w:val="FFFFFF"/>
                <w:sz w:val="16"/>
              </w:rPr>
              <w:t>Source</w:t>
            </w:r>
          </w:p>
        </w:tc>
      </w:tr>
      <w:tr>
        <w:trPr>
          <w:cantSplit/>
        </w:trPr>
        <w:tc>
          <w:tcPr>
            <w:tcW w:type="dxa" w:w="2808"/>
            <w:vAlign w:val="center"/>
            <w:tcMar>
              <w:top w:w="90" w:type="dxa"/>
              <w:start w:w="100" w:type="dxa"/>
              <w:bottom w:w="90" w:type="dxa"/>
              <w:end w:w="100" w:type="dxa"/>
            </w:tcMar>
          </w:tcPr>
          <w:p>
            <w:pPr>
              <w:spacing w:after="0" w:line="240" w:lineRule="auto"/>
            </w:pPr>
            <w:r/>
            <w:r>
              <w:rPr>
                <w:color w:val="232D34"/>
                <w:sz w:val="16"/>
              </w:rPr>
              <w:t>Point Bonita managed portfolio</w:t>
            </w:r>
          </w:p>
        </w:tc>
        <w:tc>
          <w:tcPr>
            <w:tcW w:type="dxa" w:w="2088"/>
            <w:vAlign w:val="center"/>
            <w:tcMar>
              <w:top w:w="90" w:type="dxa"/>
              <w:start w:w="100" w:type="dxa"/>
              <w:bottom w:w="90" w:type="dxa"/>
              <w:end w:w="100" w:type="dxa"/>
            </w:tcMar>
          </w:tcPr>
          <w:p>
            <w:pPr>
              <w:spacing w:after="0" w:line="240" w:lineRule="auto"/>
              <w:jc w:val="center"/>
            </w:pPr>
            <w:r/>
            <w:r>
              <w:rPr>
                <w:color w:val="232D34"/>
                <w:sz w:val="16"/>
              </w:rPr>
              <w:t>Approximately $3.0B</w:t>
            </w:r>
          </w:p>
        </w:tc>
        <w:tc>
          <w:tcPr>
            <w:tcW w:type="dxa" w:w="4608"/>
            <w:vAlign w:val="center"/>
            <w:tcMar>
              <w:top w:w="90" w:type="dxa"/>
              <w:start w:w="100" w:type="dxa"/>
              <w:bottom w:w="90" w:type="dxa"/>
              <w:end w:w="100" w:type="dxa"/>
            </w:tcMar>
          </w:tcPr>
          <w:p>
            <w:pPr>
              <w:spacing w:after="0" w:line="240" w:lineRule="auto"/>
              <w:jc w:val="center"/>
            </w:pPr>
            <w:r/>
            <w:r>
              <w:rPr>
                <w:color w:val="232D34"/>
                <w:sz w:val="16"/>
              </w:rPr>
              <w:t>Trade-finance portfolio</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S40,S41</w:t>
            </w:r>
          </w:p>
        </w:tc>
      </w:tr>
      <w:tr>
        <w:trPr>
          <w:cantSplit/>
        </w:trPr>
        <w:tc>
          <w:tcPr>
            <w:tcW w:type="dxa" w:w="2808"/>
            <w:vAlign w:val="center"/>
            <w:tcMar>
              <w:top w:w="90" w:type="dxa"/>
              <w:start w:w="100" w:type="dxa"/>
              <w:bottom w:w="90" w:type="dxa"/>
              <w:end w:w="100" w:type="dxa"/>
            </w:tcMar>
            <w:shd w:fill="F5F7F8"/>
          </w:tcPr>
          <w:p>
            <w:pPr>
              <w:spacing w:after="0" w:line="240" w:lineRule="auto"/>
            </w:pPr>
            <w:r/>
            <w:r>
              <w:rPr>
                <w:color w:val="232D34"/>
                <w:sz w:val="16"/>
              </w:rPr>
              <w:t>Invested equity supporting portfolio</w:t>
            </w:r>
          </w:p>
        </w:tc>
        <w:tc>
          <w:tcPr>
            <w:tcW w:type="dxa" w:w="2088"/>
            <w:vAlign w:val="center"/>
            <w:tcMar>
              <w:top w:w="90" w:type="dxa"/>
              <w:start w:w="100" w:type="dxa"/>
              <w:bottom w:w="90" w:type="dxa"/>
              <w:end w:w="100" w:type="dxa"/>
            </w:tcMar>
            <w:shd w:fill="F5F7F8"/>
          </w:tcPr>
          <w:p>
            <w:pPr>
              <w:spacing w:after="0" w:line="240" w:lineRule="auto"/>
              <w:jc w:val="center"/>
            </w:pPr>
            <w:r/>
            <w:r>
              <w:rPr>
                <w:color w:val="232D34"/>
                <w:sz w:val="16"/>
              </w:rPr>
              <w:t>Approximately $1.9B</w:t>
            </w:r>
          </w:p>
        </w:tc>
        <w:tc>
          <w:tcPr>
            <w:tcW w:type="dxa" w:w="4608"/>
            <w:vAlign w:val="center"/>
            <w:tcMar>
              <w:top w:w="90" w:type="dxa"/>
              <w:start w:w="100" w:type="dxa"/>
              <w:bottom w:w="90" w:type="dxa"/>
              <w:end w:w="100" w:type="dxa"/>
            </w:tcMar>
            <w:shd w:fill="F5F7F8"/>
          </w:tcPr>
          <w:p>
            <w:pPr>
              <w:spacing w:after="0" w:line="240" w:lineRule="auto"/>
              <w:jc w:val="center"/>
            </w:pPr>
            <w:r/>
            <w:r>
              <w:rPr>
                <w:color w:val="232D34"/>
                <w:sz w:val="16"/>
              </w:rPr>
              <w:t>Investor equity in strategy</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S40,S41</w:t>
            </w:r>
          </w:p>
        </w:tc>
      </w:tr>
      <w:tr>
        <w:trPr>
          <w:cantSplit/>
        </w:trPr>
        <w:tc>
          <w:tcPr>
            <w:tcW w:type="dxa" w:w="2808"/>
            <w:vAlign w:val="center"/>
            <w:tcMar>
              <w:top w:w="90" w:type="dxa"/>
              <w:start w:w="100" w:type="dxa"/>
              <w:bottom w:w="90" w:type="dxa"/>
              <w:end w:w="100" w:type="dxa"/>
            </w:tcMar>
          </w:tcPr>
          <w:p>
            <w:pPr>
              <w:spacing w:after="0" w:line="240" w:lineRule="auto"/>
            </w:pPr>
            <w:r/>
            <w:r>
              <w:rPr>
                <w:color w:val="232D34"/>
                <w:sz w:val="16"/>
              </w:rPr>
              <w:t>LAM / Jefferies-related invested amount</w:t>
            </w:r>
          </w:p>
        </w:tc>
        <w:tc>
          <w:tcPr>
            <w:tcW w:type="dxa" w:w="2088"/>
            <w:vAlign w:val="center"/>
            <w:tcMar>
              <w:top w:w="90" w:type="dxa"/>
              <w:start w:w="100" w:type="dxa"/>
              <w:bottom w:w="90" w:type="dxa"/>
              <w:end w:w="100" w:type="dxa"/>
            </w:tcMar>
          </w:tcPr>
          <w:p>
            <w:pPr>
              <w:spacing w:after="0" w:line="240" w:lineRule="auto"/>
              <w:jc w:val="center"/>
            </w:pPr>
            <w:r/>
            <w:r>
              <w:rPr>
                <w:color w:val="232D34"/>
                <w:sz w:val="16"/>
              </w:rPr>
              <w:t>$113M / 5.9%</w:t>
            </w:r>
          </w:p>
        </w:tc>
        <w:tc>
          <w:tcPr>
            <w:tcW w:type="dxa" w:w="4608"/>
            <w:vAlign w:val="center"/>
            <w:tcMar>
              <w:top w:w="90" w:type="dxa"/>
              <w:start w:w="100" w:type="dxa"/>
              <w:bottom w:w="90" w:type="dxa"/>
              <w:end w:w="100" w:type="dxa"/>
            </w:tcMar>
          </w:tcPr>
          <w:p>
            <w:pPr>
              <w:spacing w:after="0" w:line="240" w:lineRule="auto"/>
            </w:pPr>
            <w:r/>
            <w:r>
              <w:rPr>
                <w:color w:val="232D34"/>
                <w:sz w:val="16"/>
              </w:rPr>
              <w:t>Manager-affiliate capital in Point Bonita structure</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S40,S41</w:t>
            </w:r>
          </w:p>
        </w:tc>
      </w:tr>
      <w:tr>
        <w:trPr>
          <w:cantSplit/>
        </w:trPr>
        <w:tc>
          <w:tcPr>
            <w:tcW w:type="dxa" w:w="2808"/>
            <w:vAlign w:val="center"/>
            <w:tcMar>
              <w:top w:w="90" w:type="dxa"/>
              <w:start w:w="100" w:type="dxa"/>
              <w:bottom w:w="90" w:type="dxa"/>
              <w:end w:w="100" w:type="dxa"/>
            </w:tcMar>
            <w:shd w:fill="F5F7F8"/>
          </w:tcPr>
          <w:p>
            <w:pPr>
              <w:spacing w:after="0" w:line="240" w:lineRule="auto"/>
            </w:pPr>
            <w:r/>
            <w:r>
              <w:rPr>
                <w:color w:val="232D34"/>
                <w:sz w:val="16"/>
              </w:rPr>
              <w:t>First Brands receivables</w:t>
            </w:r>
          </w:p>
        </w:tc>
        <w:tc>
          <w:tcPr>
            <w:tcW w:type="dxa" w:w="2088"/>
            <w:vAlign w:val="center"/>
            <w:tcMar>
              <w:top w:w="90" w:type="dxa"/>
              <w:start w:w="100" w:type="dxa"/>
              <w:bottom w:w="90" w:type="dxa"/>
              <w:end w:w="100" w:type="dxa"/>
            </w:tcMar>
            <w:shd w:fill="F5F7F8"/>
          </w:tcPr>
          <w:p>
            <w:pPr>
              <w:spacing w:after="0" w:line="240" w:lineRule="auto"/>
              <w:jc w:val="center"/>
            </w:pPr>
            <w:r/>
            <w:r>
              <w:rPr>
                <w:color w:val="232D34"/>
                <w:sz w:val="16"/>
              </w:rPr>
              <w:t>$715M</w:t>
            </w:r>
          </w:p>
        </w:tc>
        <w:tc>
          <w:tcPr>
            <w:tcW w:type="dxa" w:w="4608"/>
            <w:vAlign w:val="center"/>
            <w:tcMar>
              <w:top w:w="90" w:type="dxa"/>
              <w:start w:w="100" w:type="dxa"/>
              <w:bottom w:w="90" w:type="dxa"/>
              <w:end w:w="100" w:type="dxa"/>
            </w:tcMar>
            <w:shd w:fill="F5F7F8"/>
          </w:tcPr>
          <w:p>
            <w:pPr>
              <w:spacing w:after="0" w:line="240" w:lineRule="auto"/>
            </w:pPr>
            <w:r/>
            <w:r>
              <w:rPr>
                <w:color w:val="232D34"/>
                <w:sz w:val="16"/>
              </w:rPr>
              <w:t>Purported receivables purchased by Point Bonita</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S40,S41,S42</w:t>
            </w:r>
          </w:p>
        </w:tc>
      </w:tr>
      <w:tr>
        <w:trPr>
          <w:cantSplit/>
        </w:trPr>
        <w:tc>
          <w:tcPr>
            <w:tcW w:type="dxa" w:w="2808"/>
            <w:vAlign w:val="center"/>
            <w:tcMar>
              <w:top w:w="90" w:type="dxa"/>
              <w:start w:w="100" w:type="dxa"/>
              <w:bottom w:w="90" w:type="dxa"/>
              <w:end w:w="100" w:type="dxa"/>
            </w:tcMar>
          </w:tcPr>
          <w:p>
            <w:pPr>
              <w:spacing w:after="0" w:line="240" w:lineRule="auto"/>
            </w:pPr>
            <w:r/>
            <w:r>
              <w:rPr>
                <w:color w:val="232D34"/>
                <w:sz w:val="16"/>
              </w:rPr>
              <w:t>First Brands loans in 12 Apex-managed CLOs</w:t>
            </w:r>
          </w:p>
        </w:tc>
        <w:tc>
          <w:tcPr>
            <w:tcW w:type="dxa" w:w="2088"/>
            <w:vAlign w:val="center"/>
            <w:tcMar>
              <w:top w:w="90" w:type="dxa"/>
              <w:start w:w="100" w:type="dxa"/>
              <w:bottom w:w="90" w:type="dxa"/>
              <w:end w:w="100" w:type="dxa"/>
            </w:tcMar>
          </w:tcPr>
          <w:p>
            <w:pPr>
              <w:spacing w:after="0" w:line="240" w:lineRule="auto"/>
              <w:jc w:val="center"/>
            </w:pPr>
            <w:r/>
            <w:r>
              <w:rPr>
                <w:color w:val="232D34"/>
                <w:sz w:val="16"/>
              </w:rPr>
              <w:t>$49M</w:t>
            </w:r>
          </w:p>
        </w:tc>
        <w:tc>
          <w:tcPr>
            <w:tcW w:type="dxa" w:w="4608"/>
            <w:vAlign w:val="center"/>
            <w:tcMar>
              <w:top w:w="90" w:type="dxa"/>
              <w:start w:w="100" w:type="dxa"/>
              <w:bottom w:w="90" w:type="dxa"/>
              <w:end w:w="100" w:type="dxa"/>
            </w:tcMar>
          </w:tcPr>
          <w:p>
            <w:pPr>
              <w:spacing w:after="0" w:line="240" w:lineRule="auto"/>
              <w:jc w:val="center"/>
            </w:pPr>
            <w:r/>
            <w:r>
              <w:rPr>
                <w:color w:val="232D34"/>
                <w:sz w:val="16"/>
              </w:rPr>
              <w:t>Separate CLO exposure</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S42</w:t>
            </w:r>
          </w:p>
        </w:tc>
      </w:tr>
      <w:tr>
        <w:trPr>
          <w:cantSplit/>
        </w:trPr>
        <w:tc>
          <w:tcPr>
            <w:tcW w:type="dxa" w:w="2808"/>
            <w:vAlign w:val="center"/>
            <w:tcMar>
              <w:top w:w="90" w:type="dxa"/>
              <w:start w:w="100" w:type="dxa"/>
              <w:bottom w:w="90" w:type="dxa"/>
              <w:end w:w="100" w:type="dxa"/>
            </w:tcMar>
            <w:shd w:fill="F5F7F8"/>
          </w:tcPr>
          <w:p>
            <w:pPr>
              <w:spacing w:after="0" w:line="240" w:lineRule="auto"/>
            </w:pPr>
            <w:r/>
            <w:r>
              <w:rPr>
                <w:color w:val="232D34"/>
                <w:sz w:val="16"/>
              </w:rPr>
              <w:t>Jefferies pretax loss</w:t>
            </w:r>
          </w:p>
        </w:tc>
        <w:tc>
          <w:tcPr>
            <w:tcW w:type="dxa" w:w="2088"/>
            <w:vAlign w:val="center"/>
            <w:tcMar>
              <w:top w:w="90" w:type="dxa"/>
              <w:start w:w="100" w:type="dxa"/>
              <w:bottom w:w="90" w:type="dxa"/>
              <w:end w:w="100" w:type="dxa"/>
            </w:tcMar>
            <w:shd w:fill="F5F7F8"/>
          </w:tcPr>
          <w:p>
            <w:pPr>
              <w:spacing w:after="0" w:line="240" w:lineRule="auto"/>
              <w:jc w:val="center"/>
            </w:pPr>
            <w:r/>
            <w:r>
              <w:rPr>
                <w:color w:val="232D34"/>
                <w:sz w:val="16"/>
              </w:rPr>
              <w:t>$30M</w:t>
            </w:r>
          </w:p>
        </w:tc>
        <w:tc>
          <w:tcPr>
            <w:tcW w:type="dxa" w:w="4608"/>
            <w:vAlign w:val="center"/>
            <w:tcMar>
              <w:top w:w="90" w:type="dxa"/>
              <w:start w:w="100" w:type="dxa"/>
              <w:bottom w:w="90" w:type="dxa"/>
              <w:end w:w="100" w:type="dxa"/>
            </w:tcMar>
            <w:shd w:fill="F5F7F8"/>
          </w:tcPr>
          <w:p>
            <w:pPr>
              <w:spacing w:after="0" w:line="240" w:lineRule="auto"/>
              <w:jc w:val="center"/>
            </w:pPr>
            <w:r/>
            <w:r>
              <w:rPr>
                <w:color w:val="232D34"/>
                <w:sz w:val="16"/>
              </w:rPr>
              <w:t>Reported 2026 charge</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S40</w:t>
            </w:r>
          </w:p>
        </w:tc>
      </w:tr>
      <w:tr>
        <w:trPr>
          <w:cantSplit/>
        </w:trPr>
        <w:tc>
          <w:tcPr>
            <w:tcW w:type="dxa" w:w="2808"/>
            <w:vAlign w:val="center"/>
            <w:tcMar>
              <w:top w:w="90" w:type="dxa"/>
              <w:start w:w="100" w:type="dxa"/>
              <w:bottom w:w="90" w:type="dxa"/>
              <w:end w:w="100" w:type="dxa"/>
            </w:tcMar>
          </w:tcPr>
          <w:p>
            <w:pPr>
              <w:spacing w:after="0" w:line="240" w:lineRule="auto"/>
            </w:pPr>
            <w:r/>
            <w:r>
              <w:rPr>
                <w:color w:val="232D34"/>
                <w:sz w:val="16"/>
              </w:rPr>
              <w:t>Investor lawsuit alleged losses</w:t>
            </w:r>
          </w:p>
        </w:tc>
        <w:tc>
          <w:tcPr>
            <w:tcW w:type="dxa" w:w="2088"/>
            <w:vAlign w:val="center"/>
            <w:tcMar>
              <w:top w:w="90" w:type="dxa"/>
              <w:start w:w="100" w:type="dxa"/>
              <w:bottom w:w="90" w:type="dxa"/>
              <w:end w:w="100" w:type="dxa"/>
            </w:tcMar>
          </w:tcPr>
          <w:p>
            <w:pPr>
              <w:spacing w:after="0" w:line="240" w:lineRule="auto"/>
              <w:jc w:val="center"/>
            </w:pPr>
            <w:r/>
            <w:r>
              <w:rPr>
                <w:color w:val="232D34"/>
                <w:sz w:val="16"/>
              </w:rPr>
              <w:t>$18.4M</w:t>
            </w:r>
          </w:p>
        </w:tc>
        <w:tc>
          <w:tcPr>
            <w:tcW w:type="dxa" w:w="4608"/>
            <w:vAlign w:val="center"/>
            <w:tcMar>
              <w:top w:w="90" w:type="dxa"/>
              <w:start w:w="100" w:type="dxa"/>
              <w:bottom w:w="90" w:type="dxa"/>
              <w:end w:w="100" w:type="dxa"/>
            </w:tcMar>
          </w:tcPr>
          <w:p>
            <w:pPr>
              <w:spacing w:after="0" w:line="240" w:lineRule="auto"/>
            </w:pPr>
            <w:r/>
            <w:r>
              <w:rPr>
                <w:color w:val="232D34"/>
                <w:sz w:val="16"/>
              </w:rPr>
              <w:t>Filed investor claim; allegation, not adjudicated fact</w:t>
            </w:r>
          </w:p>
        </w:tc>
        <w:tc>
          <w:tcPr>
            <w:tcW w:type="dxa" w:w="792"/>
            <w:vAlign w:val="center"/>
            <w:tcMar>
              <w:top w:w="90" w:type="dxa"/>
              <w:start w:w="100" w:type="dxa"/>
              <w:bottom w:w="90" w:type="dxa"/>
              <w:end w:w="100" w:type="dxa"/>
            </w:tcMar>
          </w:tcPr>
          <w:p>
            <w:pPr>
              <w:spacing w:after="0" w:line="240" w:lineRule="auto"/>
              <w:jc w:val="center"/>
            </w:pPr>
            <w:r/>
            <w:r>
              <w:rPr>
                <w:color w:val="2F5E75"/>
                <w:sz w:val="15"/>
              </w:rPr>
              <w:t>S42</w:t>
            </w:r>
          </w:p>
        </w:tc>
      </w:tr>
      <w:tr>
        <w:trPr>
          <w:cantSplit/>
        </w:trPr>
        <w:tc>
          <w:tcPr>
            <w:tcW w:type="dxa" w:w="2808"/>
            <w:vAlign w:val="center"/>
            <w:tcMar>
              <w:top w:w="90" w:type="dxa"/>
              <w:start w:w="100" w:type="dxa"/>
              <w:bottom w:w="90" w:type="dxa"/>
              <w:end w:w="100" w:type="dxa"/>
            </w:tcMar>
            <w:shd w:fill="F5F7F8"/>
          </w:tcPr>
          <w:p>
            <w:pPr>
              <w:spacing w:after="0" w:line="240" w:lineRule="auto"/>
            </w:pPr>
            <w:r/>
            <w:r>
              <w:rPr>
                <w:color w:val="232D34"/>
                <w:sz w:val="16"/>
              </w:rPr>
              <w:t>Western Alliance claim</w:t>
            </w:r>
          </w:p>
        </w:tc>
        <w:tc>
          <w:tcPr>
            <w:tcW w:type="dxa" w:w="2088"/>
            <w:vAlign w:val="center"/>
            <w:tcMar>
              <w:top w:w="90" w:type="dxa"/>
              <w:start w:w="100" w:type="dxa"/>
              <w:bottom w:w="90" w:type="dxa"/>
              <w:end w:w="100" w:type="dxa"/>
            </w:tcMar>
            <w:shd w:fill="F5F7F8"/>
          </w:tcPr>
          <w:p>
            <w:pPr>
              <w:spacing w:after="0" w:line="240" w:lineRule="auto"/>
              <w:jc w:val="center"/>
            </w:pPr>
            <w:r/>
            <w:r>
              <w:rPr>
                <w:color w:val="232D34"/>
                <w:sz w:val="16"/>
              </w:rPr>
              <w:t>$126M</w:t>
            </w:r>
          </w:p>
        </w:tc>
        <w:tc>
          <w:tcPr>
            <w:tcW w:type="dxa" w:w="4608"/>
            <w:vAlign w:val="center"/>
            <w:tcMar>
              <w:top w:w="90" w:type="dxa"/>
              <w:start w:w="100" w:type="dxa"/>
              <w:bottom w:w="90" w:type="dxa"/>
              <w:end w:w="100" w:type="dxa"/>
            </w:tcMar>
            <w:shd w:fill="F5F7F8"/>
          </w:tcPr>
          <w:p>
            <w:pPr>
              <w:spacing w:after="0" w:line="240" w:lineRule="auto"/>
            </w:pPr>
            <w:r/>
            <w:r>
              <w:rPr>
                <w:color w:val="232D34"/>
                <w:sz w:val="16"/>
              </w:rPr>
              <w:t>Alleged SPV obligations; nonrecourse to Jefferies according to company</w:t>
            </w:r>
          </w:p>
        </w:tc>
        <w:tc>
          <w:tcPr>
            <w:tcW w:type="dxa" w:w="792"/>
            <w:vAlign w:val="center"/>
            <w:tcMar>
              <w:top w:w="90" w:type="dxa"/>
              <w:start w:w="100" w:type="dxa"/>
              <w:bottom w:w="90" w:type="dxa"/>
              <w:end w:w="100" w:type="dxa"/>
            </w:tcMar>
            <w:shd w:fill="F5F7F8"/>
          </w:tcPr>
          <w:p>
            <w:pPr>
              <w:spacing w:after="0" w:line="240" w:lineRule="auto"/>
              <w:jc w:val="center"/>
            </w:pPr>
            <w:r/>
            <w:r>
              <w:rPr>
                <w:color w:val="2F5E75"/>
                <w:sz w:val="15"/>
              </w:rPr>
              <w:t>S42</w:t>
            </w:r>
          </w:p>
        </w:tc>
      </w:tr>
    </w:tbl>
    <w:p>
      <w:pPr>
        <w:spacing w:after="20"/>
      </w:pPr>
    </w:p>
    <w:p>
      <w:pPr>
        <w:pStyle w:val="Heading2"/>
        <w:keepNext/>
      </w:pPr>
      <w:r>
        <w:t>What the filings say</w:t>
      </w:r>
    </w:p>
    <w:p>
      <w:pPr>
        <w:pStyle w:val="ListBullet"/>
        <w:spacing w:after="60" w:line="250" w:lineRule="auto"/>
      </w:pPr>
      <w:r>
        <w:t>Jefferies disclosed allegations that First Brands sold some receivables more than once and that receivables may have been inflated or fabricated. Jefferies marked its First Brands-related investment to zero.</w:t>
      </w:r>
      <w:r>
        <w:rPr>
          <w:color w:val="2F5E75"/>
          <w:sz w:val="16"/>
          <w:vertAlign w:val="superscript"/>
        </w:rPr>
        <w:t xml:space="preserve"> [S40,S42]</w:t>
      </w:r>
    </w:p>
    <w:p>
      <w:pPr>
        <w:pStyle w:val="ListBullet"/>
        <w:spacing w:after="60" w:line="250" w:lineRule="auto"/>
      </w:pPr>
      <w:r>
        <w:t>The financing relied on purported retailer receivables. If cash collections remain under the borrower’s control, lenders can discover too late that invoices were duplicated, pledged elsewhere or never valid. A clean borrowing-base certificate does not replace account control and debtor confirmation.</w:t>
      </w:r>
      <w:r>
        <w:rPr>
          <w:color w:val="2F5E75"/>
          <w:sz w:val="16"/>
          <w:vertAlign w:val="superscript"/>
        </w:rPr>
        <w:t xml:space="preserve"> [S40,S41,S42]</w:t>
      </w:r>
    </w:p>
    <w:p>
      <w:pPr>
        <w:pStyle w:val="ListBullet"/>
        <w:spacing w:after="60" w:line="250" w:lineRule="auto"/>
      </w:pPr>
      <w:r>
        <w:t>Western Alliance financing was described as nonrecourse to Jefferies and collateralized by First Brands receivables. Nonrecourse limits legal claim against the sponsor but does not protect the SPV lender from bad collateral.</w:t>
      </w:r>
      <w:r>
        <w:rPr>
          <w:color w:val="2F5E75"/>
          <w:sz w:val="16"/>
          <w:vertAlign w:val="superscript"/>
        </w:rPr>
        <w:t xml:space="preserve"> [S41,S42]</w:t>
      </w:r>
    </w:p>
    <w:p>
      <w:pPr>
        <w:pStyle w:val="Heading2"/>
        <w:keepNext/>
      </w:pPr>
      <w:r>
        <w:t>Collateral-control checklist</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2304"/>
            <w:shd w:fill="17324D"/>
            <w:vAlign w:val="center"/>
            <w:tcMar>
              <w:top w:w="100" w:type="dxa"/>
              <w:start w:w="110" w:type="dxa"/>
              <w:bottom w:w="100" w:type="dxa"/>
              <w:end w:w="110" w:type="dxa"/>
            </w:tcMar>
          </w:tcPr>
          <w:p>
            <w:pPr>
              <w:jc w:val="center"/>
            </w:pPr>
            <w:r/>
            <w:r>
              <w:rPr>
                <w:b/>
                <w:color w:val="FFFFFF"/>
                <w:sz w:val="16"/>
              </w:rPr>
              <w:t>Control</w:t>
            </w:r>
          </w:p>
        </w:tc>
        <w:tc>
          <w:tcPr>
            <w:tcW w:type="dxa" w:w="4320"/>
            <w:shd w:fill="17324D"/>
            <w:vAlign w:val="center"/>
            <w:tcMar>
              <w:top w:w="100" w:type="dxa"/>
              <w:start w:w="110" w:type="dxa"/>
              <w:bottom w:w="100" w:type="dxa"/>
              <w:end w:w="110" w:type="dxa"/>
            </w:tcMar>
          </w:tcPr>
          <w:p>
            <w:pPr>
              <w:jc w:val="center"/>
            </w:pPr>
            <w:r/>
            <w:r>
              <w:rPr>
                <w:b/>
                <w:color w:val="FFFFFF"/>
                <w:sz w:val="16"/>
              </w:rPr>
              <w:t>Required evidence</w:t>
            </w:r>
          </w:p>
        </w:tc>
        <w:tc>
          <w:tcPr>
            <w:tcW w:type="dxa" w:w="3671"/>
            <w:shd w:fill="17324D"/>
            <w:vAlign w:val="center"/>
            <w:tcMar>
              <w:top w:w="100" w:type="dxa"/>
              <w:start w:w="110" w:type="dxa"/>
              <w:bottom w:w="100" w:type="dxa"/>
              <w:end w:w="110" w:type="dxa"/>
            </w:tcMar>
          </w:tcPr>
          <w:p>
            <w:pPr>
              <w:jc w:val="center"/>
            </w:pPr>
            <w:r/>
            <w:r>
              <w:rPr>
                <w:b/>
                <w:color w:val="FFFFFF"/>
                <w:sz w:val="16"/>
              </w:rPr>
              <w:t>Failure prevented</w:t>
            </w:r>
          </w:p>
        </w:tc>
      </w:tr>
      <w:tr>
        <w:trPr>
          <w:cantSplit/>
        </w:trPr>
        <w:tc>
          <w:tcPr>
            <w:tcW w:type="dxa" w:w="2304"/>
            <w:vAlign w:val="center"/>
            <w:tcMar>
              <w:top w:w="90" w:type="dxa"/>
              <w:start w:w="100" w:type="dxa"/>
              <w:bottom w:w="90" w:type="dxa"/>
              <w:end w:w="100" w:type="dxa"/>
            </w:tcMar>
          </w:tcPr>
          <w:p>
            <w:pPr>
              <w:spacing w:after="0" w:line="240" w:lineRule="auto"/>
            </w:pPr>
            <w:r/>
            <w:r>
              <w:rPr>
                <w:color w:val="232D34"/>
                <w:sz w:val="16"/>
              </w:rPr>
              <w:t>Invoice existence</w:t>
            </w:r>
          </w:p>
        </w:tc>
        <w:tc>
          <w:tcPr>
            <w:tcW w:type="dxa" w:w="4320"/>
            <w:vAlign w:val="center"/>
            <w:tcMar>
              <w:top w:w="90" w:type="dxa"/>
              <w:start w:w="100" w:type="dxa"/>
              <w:bottom w:w="90" w:type="dxa"/>
              <w:end w:w="100" w:type="dxa"/>
            </w:tcMar>
          </w:tcPr>
          <w:p>
            <w:pPr>
              <w:spacing w:after="0" w:line="240" w:lineRule="auto"/>
            </w:pPr>
            <w:r/>
            <w:r>
              <w:rPr>
                <w:color w:val="232D34"/>
                <w:sz w:val="16"/>
              </w:rPr>
              <w:t>Independent confirmation with account debtor</w:t>
            </w:r>
          </w:p>
        </w:tc>
        <w:tc>
          <w:tcPr>
            <w:tcW w:type="dxa" w:w="3671"/>
            <w:vAlign w:val="center"/>
            <w:tcMar>
              <w:top w:w="90" w:type="dxa"/>
              <w:start w:w="100" w:type="dxa"/>
              <w:bottom w:w="90" w:type="dxa"/>
              <w:end w:w="100" w:type="dxa"/>
            </w:tcMar>
          </w:tcPr>
          <w:p>
            <w:pPr>
              <w:spacing w:after="0" w:line="240" w:lineRule="auto"/>
            </w:pPr>
            <w:r/>
            <w:r>
              <w:rPr>
                <w:color w:val="232D34"/>
                <w:sz w:val="16"/>
              </w:rPr>
              <w:t>Prevents fabricated receivable</w:t>
            </w:r>
          </w:p>
        </w:tc>
      </w:tr>
      <w:tr>
        <w:trPr>
          <w:cantSplit/>
        </w:trPr>
        <w:tc>
          <w:tcPr>
            <w:tcW w:type="dxa" w:w="2304"/>
            <w:vAlign w:val="center"/>
            <w:tcMar>
              <w:top w:w="90" w:type="dxa"/>
              <w:start w:w="100" w:type="dxa"/>
              <w:bottom w:w="90" w:type="dxa"/>
              <w:end w:w="100" w:type="dxa"/>
            </w:tcMar>
            <w:shd w:fill="F5F7F8"/>
          </w:tcPr>
          <w:p>
            <w:pPr>
              <w:spacing w:after="0" w:line="240" w:lineRule="auto"/>
            </w:pPr>
            <w:r/>
            <w:r>
              <w:rPr>
                <w:color w:val="232D34"/>
                <w:sz w:val="16"/>
              </w:rPr>
              <w:t>Uniqueness</w:t>
            </w:r>
          </w:p>
        </w:tc>
        <w:tc>
          <w:tcPr>
            <w:tcW w:type="dxa" w:w="4320"/>
            <w:vAlign w:val="center"/>
            <w:tcMar>
              <w:top w:w="90" w:type="dxa"/>
              <w:start w:w="100" w:type="dxa"/>
              <w:bottom w:w="90" w:type="dxa"/>
              <w:end w:w="100" w:type="dxa"/>
            </w:tcMar>
            <w:shd w:fill="F5F7F8"/>
          </w:tcPr>
          <w:p>
            <w:pPr>
              <w:spacing w:after="0" w:line="240" w:lineRule="auto"/>
            </w:pPr>
            <w:r/>
            <w:r>
              <w:rPr>
                <w:color w:val="232D34"/>
                <w:sz w:val="16"/>
              </w:rPr>
              <w:t>UCC search, registry and duplicate-invoice matching</w:t>
            </w:r>
          </w:p>
        </w:tc>
        <w:tc>
          <w:tcPr>
            <w:tcW w:type="dxa" w:w="3671"/>
            <w:vAlign w:val="center"/>
            <w:tcMar>
              <w:top w:w="90" w:type="dxa"/>
              <w:start w:w="100" w:type="dxa"/>
              <w:bottom w:w="90" w:type="dxa"/>
              <w:end w:w="100" w:type="dxa"/>
            </w:tcMar>
            <w:shd w:fill="F5F7F8"/>
          </w:tcPr>
          <w:p>
            <w:pPr>
              <w:spacing w:after="0" w:line="240" w:lineRule="auto"/>
            </w:pPr>
            <w:r/>
            <w:r>
              <w:rPr>
                <w:color w:val="232D34"/>
                <w:sz w:val="16"/>
              </w:rPr>
              <w:t>Prevents double pledge / double sale</w:t>
            </w:r>
          </w:p>
        </w:tc>
      </w:tr>
      <w:tr>
        <w:trPr>
          <w:cantSplit/>
        </w:trPr>
        <w:tc>
          <w:tcPr>
            <w:tcW w:type="dxa" w:w="2304"/>
            <w:vAlign w:val="center"/>
            <w:tcMar>
              <w:top w:w="90" w:type="dxa"/>
              <w:start w:w="100" w:type="dxa"/>
              <w:bottom w:w="90" w:type="dxa"/>
              <w:end w:w="100" w:type="dxa"/>
            </w:tcMar>
          </w:tcPr>
          <w:p>
            <w:pPr>
              <w:spacing w:after="0" w:line="240" w:lineRule="auto"/>
            </w:pPr>
            <w:r/>
            <w:r>
              <w:rPr>
                <w:color w:val="232D34"/>
                <w:sz w:val="16"/>
              </w:rPr>
              <w:t>Cash dominion</w:t>
            </w:r>
          </w:p>
        </w:tc>
        <w:tc>
          <w:tcPr>
            <w:tcW w:type="dxa" w:w="4320"/>
            <w:vAlign w:val="center"/>
            <w:tcMar>
              <w:top w:w="90" w:type="dxa"/>
              <w:start w:w="100" w:type="dxa"/>
              <w:bottom w:w="90" w:type="dxa"/>
              <w:end w:w="100" w:type="dxa"/>
            </w:tcMar>
          </w:tcPr>
          <w:p>
            <w:pPr>
              <w:spacing w:after="0" w:line="240" w:lineRule="auto"/>
            </w:pPr>
            <w:r/>
            <w:r>
              <w:rPr>
                <w:color w:val="232D34"/>
                <w:sz w:val="16"/>
              </w:rPr>
              <w:t>Lockbox controlled by lender or trustee</w:t>
            </w:r>
          </w:p>
        </w:tc>
        <w:tc>
          <w:tcPr>
            <w:tcW w:type="dxa" w:w="3671"/>
            <w:vAlign w:val="center"/>
            <w:tcMar>
              <w:top w:w="90" w:type="dxa"/>
              <w:start w:w="100" w:type="dxa"/>
              <w:bottom w:w="90" w:type="dxa"/>
              <w:end w:w="100" w:type="dxa"/>
            </w:tcMar>
          </w:tcPr>
          <w:p>
            <w:pPr>
              <w:spacing w:after="0" w:line="240" w:lineRule="auto"/>
            </w:pPr>
            <w:r/>
            <w:r>
              <w:rPr>
                <w:color w:val="232D34"/>
                <w:sz w:val="16"/>
              </w:rPr>
              <w:t>Prevents borrower diversion of collections</w:t>
            </w:r>
          </w:p>
        </w:tc>
      </w:tr>
      <w:tr>
        <w:trPr>
          <w:cantSplit/>
        </w:trPr>
        <w:tc>
          <w:tcPr>
            <w:tcW w:type="dxa" w:w="2304"/>
            <w:vAlign w:val="center"/>
            <w:tcMar>
              <w:top w:w="90" w:type="dxa"/>
              <w:start w:w="100" w:type="dxa"/>
              <w:bottom w:w="90" w:type="dxa"/>
              <w:end w:w="100" w:type="dxa"/>
            </w:tcMar>
            <w:shd w:fill="F5F7F8"/>
          </w:tcPr>
          <w:p>
            <w:pPr>
              <w:spacing w:after="0" w:line="240" w:lineRule="auto"/>
            </w:pPr>
            <w:r/>
            <w:r>
              <w:rPr>
                <w:color w:val="232D34"/>
                <w:sz w:val="16"/>
              </w:rPr>
              <w:t>Dilution testing</w:t>
            </w:r>
          </w:p>
        </w:tc>
        <w:tc>
          <w:tcPr>
            <w:tcW w:type="dxa" w:w="4320"/>
            <w:vAlign w:val="center"/>
            <w:tcMar>
              <w:top w:w="90" w:type="dxa"/>
              <w:start w:w="100" w:type="dxa"/>
              <w:bottom w:w="90" w:type="dxa"/>
              <w:end w:w="100" w:type="dxa"/>
            </w:tcMar>
            <w:shd w:fill="F5F7F8"/>
          </w:tcPr>
          <w:p>
            <w:pPr>
              <w:spacing w:after="0" w:line="240" w:lineRule="auto"/>
            </w:pPr>
            <w:r/>
            <w:r>
              <w:rPr>
                <w:color w:val="232D34"/>
                <w:sz w:val="16"/>
              </w:rPr>
              <w:t>Returns, credits, offsets and disputes</w:t>
            </w:r>
          </w:p>
        </w:tc>
        <w:tc>
          <w:tcPr>
            <w:tcW w:type="dxa" w:w="3671"/>
            <w:vAlign w:val="center"/>
            <w:tcMar>
              <w:top w:w="90" w:type="dxa"/>
              <w:start w:w="100" w:type="dxa"/>
              <w:bottom w:w="90" w:type="dxa"/>
              <w:end w:w="100" w:type="dxa"/>
            </w:tcMar>
            <w:shd w:fill="F5F7F8"/>
          </w:tcPr>
          <w:p>
            <w:pPr>
              <w:spacing w:after="0" w:line="240" w:lineRule="auto"/>
            </w:pPr>
            <w:r/>
            <w:r>
              <w:rPr>
                <w:color w:val="232D34"/>
                <w:sz w:val="16"/>
              </w:rPr>
              <w:t>Measures collectible amount, not face invoice</w:t>
            </w:r>
          </w:p>
        </w:tc>
      </w:tr>
      <w:tr>
        <w:trPr>
          <w:cantSplit/>
        </w:trPr>
        <w:tc>
          <w:tcPr>
            <w:tcW w:type="dxa" w:w="2304"/>
            <w:vAlign w:val="center"/>
            <w:tcMar>
              <w:top w:w="90" w:type="dxa"/>
              <w:start w:w="100" w:type="dxa"/>
              <w:bottom w:w="90" w:type="dxa"/>
              <w:end w:w="100" w:type="dxa"/>
            </w:tcMar>
          </w:tcPr>
          <w:p>
            <w:pPr>
              <w:spacing w:after="0" w:line="240" w:lineRule="auto"/>
            </w:pPr>
            <w:r/>
            <w:r>
              <w:rPr>
                <w:color w:val="232D34"/>
                <w:sz w:val="16"/>
              </w:rPr>
              <w:t>Concentration limits</w:t>
            </w:r>
          </w:p>
        </w:tc>
        <w:tc>
          <w:tcPr>
            <w:tcW w:type="dxa" w:w="4320"/>
            <w:vAlign w:val="center"/>
            <w:tcMar>
              <w:top w:w="90" w:type="dxa"/>
              <w:start w:w="100" w:type="dxa"/>
              <w:bottom w:w="90" w:type="dxa"/>
              <w:end w:w="100" w:type="dxa"/>
            </w:tcMar>
          </w:tcPr>
          <w:p>
            <w:pPr>
              <w:spacing w:after="0" w:line="240" w:lineRule="auto"/>
            </w:pPr>
            <w:r/>
            <w:r>
              <w:rPr>
                <w:color w:val="232D34"/>
                <w:sz w:val="16"/>
              </w:rPr>
              <w:t>Caps by customer, jurisdiction and aging</w:t>
            </w:r>
          </w:p>
        </w:tc>
        <w:tc>
          <w:tcPr>
            <w:tcW w:type="dxa" w:w="3671"/>
            <w:vAlign w:val="center"/>
            <w:tcMar>
              <w:top w:w="90" w:type="dxa"/>
              <w:start w:w="100" w:type="dxa"/>
              <w:bottom w:w="90" w:type="dxa"/>
              <w:end w:w="100" w:type="dxa"/>
            </w:tcMar>
          </w:tcPr>
          <w:p>
            <w:pPr>
              <w:spacing w:after="0" w:line="240" w:lineRule="auto"/>
            </w:pPr>
            <w:r/>
            <w:r>
              <w:rPr>
                <w:color w:val="232D34"/>
                <w:sz w:val="16"/>
              </w:rPr>
              <w:t>Prevents one obligor or aging bucket from dominating</w:t>
            </w:r>
          </w:p>
        </w:tc>
      </w:tr>
      <w:tr>
        <w:trPr>
          <w:cantSplit/>
        </w:trPr>
        <w:tc>
          <w:tcPr>
            <w:tcW w:type="dxa" w:w="2304"/>
            <w:vAlign w:val="center"/>
            <w:tcMar>
              <w:top w:w="90" w:type="dxa"/>
              <w:start w:w="100" w:type="dxa"/>
              <w:bottom w:w="90" w:type="dxa"/>
              <w:end w:w="100" w:type="dxa"/>
            </w:tcMar>
            <w:shd w:fill="F5F7F8"/>
          </w:tcPr>
          <w:p>
            <w:pPr>
              <w:spacing w:after="0" w:line="240" w:lineRule="auto"/>
            </w:pPr>
            <w:r/>
            <w:r>
              <w:rPr>
                <w:color w:val="232D34"/>
                <w:sz w:val="16"/>
              </w:rPr>
              <w:t>Field audits</w:t>
            </w:r>
          </w:p>
        </w:tc>
        <w:tc>
          <w:tcPr>
            <w:tcW w:type="dxa" w:w="4320"/>
            <w:vAlign w:val="center"/>
            <w:tcMar>
              <w:top w:w="90" w:type="dxa"/>
              <w:start w:w="100" w:type="dxa"/>
              <w:bottom w:w="90" w:type="dxa"/>
              <w:end w:w="100" w:type="dxa"/>
            </w:tcMar>
            <w:shd w:fill="F5F7F8"/>
          </w:tcPr>
          <w:p>
            <w:pPr>
              <w:spacing w:after="0" w:line="240" w:lineRule="auto"/>
            </w:pPr>
            <w:r/>
            <w:r>
              <w:rPr>
                <w:color w:val="232D34"/>
                <w:sz w:val="16"/>
              </w:rPr>
              <w:t>Sample invoices to purchase orders, shipment and acceptance</w:t>
            </w:r>
          </w:p>
        </w:tc>
        <w:tc>
          <w:tcPr>
            <w:tcW w:type="dxa" w:w="3671"/>
            <w:vAlign w:val="center"/>
            <w:tcMar>
              <w:top w:w="90" w:type="dxa"/>
              <w:start w:w="100" w:type="dxa"/>
              <w:bottom w:w="90" w:type="dxa"/>
              <w:end w:w="100" w:type="dxa"/>
            </w:tcMar>
            <w:shd w:fill="F5F7F8"/>
          </w:tcPr>
          <w:p>
            <w:pPr>
              <w:spacing w:after="0" w:line="240" w:lineRule="auto"/>
            </w:pPr>
            <w:r/>
            <w:r>
              <w:rPr>
                <w:color w:val="232D34"/>
                <w:sz w:val="16"/>
              </w:rPr>
              <w:t>Tests operating reality behind data file</w:t>
            </w:r>
          </w:p>
        </w:tc>
      </w:tr>
      <w:tr>
        <w:trPr>
          <w:cantSplit/>
        </w:trPr>
        <w:tc>
          <w:tcPr>
            <w:tcW w:type="dxa" w:w="2304"/>
            <w:vAlign w:val="center"/>
            <w:tcMar>
              <w:top w:w="90" w:type="dxa"/>
              <w:start w:w="100" w:type="dxa"/>
              <w:bottom w:w="90" w:type="dxa"/>
              <w:end w:w="100" w:type="dxa"/>
            </w:tcMar>
          </w:tcPr>
          <w:p>
            <w:pPr>
              <w:spacing w:after="0" w:line="240" w:lineRule="auto"/>
            </w:pPr>
            <w:r/>
            <w:r>
              <w:rPr>
                <w:color w:val="232D34"/>
                <w:sz w:val="16"/>
              </w:rPr>
              <w:t>Servicer replacement</w:t>
            </w:r>
          </w:p>
        </w:tc>
        <w:tc>
          <w:tcPr>
            <w:tcW w:type="dxa" w:w="4320"/>
            <w:vAlign w:val="center"/>
            <w:tcMar>
              <w:top w:w="90" w:type="dxa"/>
              <w:start w:w="100" w:type="dxa"/>
              <w:bottom w:w="90" w:type="dxa"/>
              <w:end w:w="100" w:type="dxa"/>
            </w:tcMar>
          </w:tcPr>
          <w:p>
            <w:pPr>
              <w:spacing w:after="0" w:line="240" w:lineRule="auto"/>
            </w:pPr>
            <w:r/>
            <w:r>
              <w:rPr>
                <w:color w:val="232D34"/>
                <w:sz w:val="16"/>
              </w:rPr>
              <w:t>Backup servicer and data portability</w:t>
            </w:r>
          </w:p>
        </w:tc>
        <w:tc>
          <w:tcPr>
            <w:tcW w:type="dxa" w:w="3671"/>
            <w:vAlign w:val="center"/>
            <w:tcMar>
              <w:top w:w="90" w:type="dxa"/>
              <w:start w:w="100" w:type="dxa"/>
              <w:bottom w:w="90" w:type="dxa"/>
              <w:end w:w="100" w:type="dxa"/>
            </w:tcMar>
          </w:tcPr>
          <w:p>
            <w:pPr>
              <w:spacing w:after="0" w:line="240" w:lineRule="auto"/>
            </w:pPr>
            <w:r/>
            <w:r>
              <w:rPr>
                <w:color w:val="232D34"/>
                <w:sz w:val="16"/>
              </w:rPr>
              <w:t>Allows collection if borrower/servicer fails</w:t>
            </w:r>
          </w:p>
        </w:tc>
      </w:tr>
    </w:tbl>
    <w:p>
      <w:pPr>
        <w:spacing w:after="20"/>
      </w:pPr>
    </w:p>
    <w:tbl>
      <w:tblPr>
        <w:tblW w:type="auto" w:w="0"/>
        <w:jc w:val="center"/>
        <w:tblLayout w:type="fixed"/>
        <w:tblLook w:firstColumn="1" w:firstRow="1" w:lastColumn="0" w:lastRow="0" w:noHBand="0" w:noVBand="1" w:val="04A0"/>
        <w:tblBorders>
          <w:top w:val="single" w:sz="8" w:color="B8C8D0"/>
          <w:left w:val="single" w:sz="8" w:color="B8C8D0"/>
          <w:bottom w:val="single" w:sz="8" w:color="B8C8D0"/>
          <w:right w:val="single" w:sz="8" w:color="B8C8D0"/>
          <w:insideH w:val="single" w:sz="8" w:color="B8C8D0"/>
          <w:insideV w:val="single" w:sz="8" w:color="B8C8D0"/>
        </w:tblBorders>
      </w:tblPr>
      <w:tblGrid>
        <w:gridCol w:w="10166"/>
      </w:tblGrid>
      <w:tr>
        <w:trPr>
          <w:cantSplit/>
          <w:tblHeader/>
        </w:trPr>
        <w:tc>
          <w:tcPr>
            <w:tcW w:type="dxa" w:w="10080"/>
            <w:shd w:fill="EAF0F3"/>
            <w:tcMar>
              <w:top w:w="130" w:type="dxa"/>
              <w:start w:w="150" w:type="dxa"/>
              <w:bottom w:w="130" w:type="dxa"/>
              <w:end w:w="150" w:type="dxa"/>
            </w:tcMar>
          </w:tcPr>
          <w:p>
            <w:pPr>
              <w:spacing w:after="60"/>
            </w:pPr>
            <w:r>
              <w:rPr>
                <w:b/>
                <w:color w:val="17324D"/>
                <w:sz w:val="21"/>
              </w:rPr>
              <w:t>ZeroHedge headline interpretation</w:t>
            </w:r>
          </w:p>
          <w:p>
            <w:pPr>
              <w:spacing w:after="0" w:line="252" w:lineRule="auto"/>
            </w:pPr>
            <w:r>
              <w:t>“New evidence of fake invoices” is consistent with the filed First Brands allegations, but the headline alone does not establish that Jefferies created invoices. The public question is whether the receivables were fabricated or duplicated, who controlled cash, what diligence failed, and which fund, bank or CLO ultimately bears the loss.</w:t>
            </w:r>
            <w:r>
              <w:rPr>
                <w:color w:val="2F5E75"/>
                <w:sz w:val="16"/>
                <w:vertAlign w:val="superscript"/>
              </w:rPr>
              <w:t xml:space="preserve"> [S40,S41,S42]</w:t>
            </w:r>
          </w:p>
        </w:tc>
      </w:tr>
    </w:tbl>
    <w:p>
      <w:pPr>
        <w:spacing w:after="20"/>
      </w:pPr>
    </w:p>
    <w:p>
      <w:pPr>
        <w:pStyle w:val="Heading1"/>
        <w:keepNext/>
      </w:pPr>
      <w:r>
        <w:t>9. Consolidated uncomfortable-books matrix</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1694"/>
        <w:gridCol w:w="1694"/>
        <w:gridCol w:w="1694"/>
        <w:gridCol w:w="1694"/>
        <w:gridCol w:w="1694"/>
        <w:gridCol w:w="1694"/>
      </w:tblGrid>
      <w:tr>
        <w:trPr>
          <w:tblHeader w:val="true"/>
        </w:trPr>
        <w:tc>
          <w:tcPr>
            <w:tcW w:type="dxa" w:w="1655"/>
            <w:shd w:fill="17324D"/>
            <w:vAlign w:val="center"/>
            <w:tcMar>
              <w:top w:w="100" w:type="dxa"/>
              <w:start w:w="110" w:type="dxa"/>
              <w:bottom w:w="100" w:type="dxa"/>
              <w:end w:w="110" w:type="dxa"/>
            </w:tcMar>
          </w:tcPr>
          <w:p>
            <w:pPr>
              <w:jc w:val="center"/>
            </w:pPr>
            <w:r/>
            <w:r>
              <w:rPr>
                <w:b/>
                <w:color w:val="FFFFFF"/>
                <w:sz w:val="13"/>
              </w:rPr>
              <w:t>Book / holder</w:t>
            </w:r>
          </w:p>
        </w:tc>
        <w:tc>
          <w:tcPr>
            <w:tcW w:type="dxa" w:w="1655"/>
            <w:shd w:fill="17324D"/>
            <w:vAlign w:val="center"/>
            <w:tcMar>
              <w:top w:w="100" w:type="dxa"/>
              <w:start w:w="110" w:type="dxa"/>
              <w:bottom w:w="100" w:type="dxa"/>
              <w:end w:w="110" w:type="dxa"/>
            </w:tcMar>
          </w:tcPr>
          <w:p>
            <w:pPr>
              <w:jc w:val="center"/>
            </w:pPr>
            <w:r/>
            <w:r>
              <w:rPr>
                <w:b/>
                <w:color w:val="FFFFFF"/>
                <w:sz w:val="13"/>
              </w:rPr>
              <w:t>Instrument</w:t>
            </w:r>
          </w:p>
        </w:tc>
        <w:tc>
          <w:tcPr>
            <w:tcW w:type="dxa" w:w="2448"/>
            <w:shd w:fill="17324D"/>
            <w:vAlign w:val="center"/>
            <w:tcMar>
              <w:top w:w="100" w:type="dxa"/>
              <w:start w:w="110" w:type="dxa"/>
              <w:bottom w:w="100" w:type="dxa"/>
              <w:end w:w="110" w:type="dxa"/>
            </w:tcMar>
          </w:tcPr>
          <w:p>
            <w:pPr>
              <w:jc w:val="center"/>
            </w:pPr>
            <w:r/>
            <w:r>
              <w:rPr>
                <w:b/>
                <w:color w:val="FFFFFF"/>
                <w:sz w:val="13"/>
              </w:rPr>
              <w:t>Visible amount</w:t>
            </w:r>
          </w:p>
        </w:tc>
        <w:tc>
          <w:tcPr>
            <w:tcW w:type="dxa" w:w="3311"/>
            <w:shd w:fill="17324D"/>
            <w:vAlign w:val="center"/>
            <w:tcMar>
              <w:top w:w="100" w:type="dxa"/>
              <w:start w:w="110" w:type="dxa"/>
              <w:bottom w:w="100" w:type="dxa"/>
              <w:end w:w="110" w:type="dxa"/>
            </w:tcMar>
          </w:tcPr>
          <w:p>
            <w:pPr>
              <w:jc w:val="center"/>
            </w:pPr>
            <w:r/>
            <w:r>
              <w:rPr>
                <w:b/>
                <w:color w:val="FFFFFF"/>
                <w:sz w:val="13"/>
              </w:rPr>
              <w:t>Unresolved variable</w:t>
            </w:r>
          </w:p>
        </w:tc>
        <w:tc>
          <w:tcPr>
            <w:tcW w:type="dxa" w:w="1368"/>
            <w:shd w:fill="17324D"/>
            <w:vAlign w:val="center"/>
            <w:tcMar>
              <w:top w:w="100" w:type="dxa"/>
              <w:start w:w="110" w:type="dxa"/>
              <w:bottom w:w="100" w:type="dxa"/>
              <w:end w:w="110" w:type="dxa"/>
            </w:tcMar>
          </w:tcPr>
          <w:p>
            <w:pPr>
              <w:jc w:val="center"/>
            </w:pPr>
            <w:r/>
            <w:r>
              <w:rPr>
                <w:b/>
                <w:color w:val="FFFFFF"/>
                <w:sz w:val="13"/>
              </w:rPr>
              <w:t>Risk characterization</w:t>
            </w:r>
          </w:p>
        </w:tc>
        <w:tc>
          <w:tcPr>
            <w:tcW w:type="dxa" w:w="648"/>
            <w:shd w:fill="17324D"/>
            <w:vAlign w:val="center"/>
            <w:tcMar>
              <w:top w:w="100" w:type="dxa"/>
              <w:start w:w="110" w:type="dxa"/>
              <w:bottom w:w="100" w:type="dxa"/>
              <w:end w:w="110" w:type="dxa"/>
            </w:tcMar>
          </w:tcPr>
          <w:p>
            <w:pPr>
              <w:jc w:val="center"/>
            </w:pPr>
            <w:r/>
            <w:r>
              <w:rPr>
                <w:b/>
                <w:color w:val="FFFFFF"/>
                <w:sz w:val="13"/>
              </w:rPr>
              <w:t>Source</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3"/>
              </w:rPr>
              <w:t>Airtable late-round holders</w:t>
            </w:r>
          </w:p>
        </w:tc>
        <w:tc>
          <w:tcPr>
            <w:tcW w:type="dxa" w:w="1655"/>
            <w:vAlign w:val="center"/>
            <w:tcMar>
              <w:top w:w="90" w:type="dxa"/>
              <w:start w:w="100" w:type="dxa"/>
              <w:bottom w:w="90" w:type="dxa"/>
              <w:end w:w="100" w:type="dxa"/>
            </w:tcMar>
          </w:tcPr>
          <w:p>
            <w:pPr>
              <w:spacing w:after="0" w:line="240" w:lineRule="auto"/>
              <w:jc w:val="center"/>
            </w:pPr>
            <w:r/>
            <w:r>
              <w:rPr>
                <w:color w:val="232D34"/>
                <w:sz w:val="13"/>
              </w:rPr>
              <w:t>VC / crossover equity</w:t>
            </w:r>
          </w:p>
        </w:tc>
        <w:tc>
          <w:tcPr>
            <w:tcW w:type="dxa" w:w="2448"/>
            <w:vAlign w:val="center"/>
            <w:tcMar>
              <w:top w:w="90" w:type="dxa"/>
              <w:start w:w="100" w:type="dxa"/>
              <w:bottom w:w="90" w:type="dxa"/>
              <w:end w:w="100" w:type="dxa"/>
            </w:tcMar>
          </w:tcPr>
          <w:p>
            <w:pPr>
              <w:spacing w:after="0" w:line="240" w:lineRule="auto"/>
            </w:pPr>
            <w:r/>
            <w:r>
              <w:rPr>
                <w:color w:val="232D34"/>
                <w:sz w:val="13"/>
              </w:rPr>
              <w:t>2021 $11.735B post-money entry versus $2.25B 2026 equity value</w:t>
            </w:r>
          </w:p>
        </w:tc>
        <w:tc>
          <w:tcPr>
            <w:tcW w:type="dxa" w:w="3311"/>
            <w:vAlign w:val="center"/>
            <w:tcMar>
              <w:top w:w="90" w:type="dxa"/>
              <w:start w:w="100" w:type="dxa"/>
              <w:bottom w:w="90" w:type="dxa"/>
              <w:end w:w="100" w:type="dxa"/>
            </w:tcMar>
          </w:tcPr>
          <w:p>
            <w:pPr>
              <w:spacing w:after="0" w:line="240" w:lineRule="auto"/>
            </w:pPr>
            <w:r/>
            <w:r>
              <w:rPr>
                <w:color w:val="232D34"/>
                <w:sz w:val="13"/>
              </w:rPr>
              <w:t>Realized exit sets a transaction mark; investor-level preferences and cost bases private</w:t>
            </w:r>
          </w:p>
        </w:tc>
        <w:tc>
          <w:tcPr>
            <w:tcW w:type="dxa" w:w="1368"/>
            <w:vAlign w:val="center"/>
            <w:tcMar>
              <w:top w:w="90" w:type="dxa"/>
              <w:start w:w="100" w:type="dxa"/>
              <w:bottom w:w="90" w:type="dxa"/>
              <w:end w:w="100" w:type="dxa"/>
            </w:tcMar>
          </w:tcPr>
          <w:p>
            <w:pPr>
              <w:spacing w:after="0" w:line="240" w:lineRule="auto"/>
              <w:jc w:val="center"/>
            </w:pPr>
            <w:r/>
            <w:r>
              <w:rPr>
                <w:color w:val="232D34"/>
                <w:sz w:val="13"/>
              </w:rPr>
              <w:t>High</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S1,S2,S3</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3"/>
              </w:rPr>
              <w:t>Bending Spoons</w:t>
            </w:r>
          </w:p>
        </w:tc>
        <w:tc>
          <w:tcPr>
            <w:tcW w:type="dxa" w:w="1655"/>
            <w:vAlign w:val="center"/>
            <w:tcMar>
              <w:top w:w="90" w:type="dxa"/>
              <w:start w:w="100" w:type="dxa"/>
              <w:bottom w:w="90" w:type="dxa"/>
              <w:end w:w="100" w:type="dxa"/>
            </w:tcMar>
            <w:shd w:fill="F5F7F8"/>
          </w:tcPr>
          <w:p>
            <w:pPr>
              <w:spacing w:after="0" w:line="240" w:lineRule="auto"/>
              <w:jc w:val="center"/>
            </w:pPr>
            <w:r/>
            <w:r>
              <w:rPr>
                <w:color w:val="232D34"/>
                <w:sz w:val="13"/>
              </w:rPr>
              <w:t>Acquirer debt + integration</w:t>
            </w:r>
          </w:p>
        </w:tc>
        <w:tc>
          <w:tcPr>
            <w:tcW w:type="dxa" w:w="2448"/>
            <w:vAlign w:val="center"/>
            <w:tcMar>
              <w:top w:w="90" w:type="dxa"/>
              <w:start w:w="100" w:type="dxa"/>
              <w:bottom w:w="90" w:type="dxa"/>
              <w:end w:w="100" w:type="dxa"/>
            </w:tcMar>
            <w:shd w:fill="F5F7F8"/>
          </w:tcPr>
          <w:p>
            <w:pPr>
              <w:spacing w:after="0" w:line="240" w:lineRule="auto"/>
            </w:pPr>
            <w:r/>
            <w:r>
              <w:rPr>
                <w:color w:val="232D34"/>
                <w:sz w:val="13"/>
              </w:rPr>
              <w:t>$4.4B pre-deal debt; $1.285B Airtable EV</w:t>
            </w:r>
          </w:p>
        </w:tc>
        <w:tc>
          <w:tcPr>
            <w:tcW w:type="dxa" w:w="3311"/>
            <w:vAlign w:val="center"/>
            <w:tcMar>
              <w:top w:w="90" w:type="dxa"/>
              <w:start w:w="100" w:type="dxa"/>
              <w:bottom w:w="90" w:type="dxa"/>
              <w:end w:w="100" w:type="dxa"/>
            </w:tcMar>
            <w:shd w:fill="F5F7F8"/>
          </w:tcPr>
          <w:p>
            <w:pPr>
              <w:spacing w:after="0" w:line="240" w:lineRule="auto"/>
            </w:pPr>
            <w:r/>
            <w:r>
              <w:rPr>
                <w:color w:val="232D34"/>
                <w:sz w:val="13"/>
              </w:rPr>
              <w:t>Funding mix, post-close leverage and restructuring execution</w:t>
            </w:r>
          </w:p>
        </w:tc>
        <w:tc>
          <w:tcPr>
            <w:tcW w:type="dxa" w:w="1368"/>
            <w:vAlign w:val="center"/>
            <w:tcMar>
              <w:top w:w="90" w:type="dxa"/>
              <w:start w:w="100" w:type="dxa"/>
              <w:bottom w:w="90" w:type="dxa"/>
              <w:end w:w="100" w:type="dxa"/>
            </w:tcMar>
            <w:shd w:fill="F5F7F8"/>
          </w:tcPr>
          <w:p>
            <w:pPr>
              <w:spacing w:after="0" w:line="240" w:lineRule="auto"/>
              <w:jc w:val="center"/>
            </w:pPr>
            <w:r/>
            <w:r>
              <w:rPr>
                <w:color w:val="232D34"/>
                <w:sz w:val="13"/>
              </w:rPr>
              <w:t>Medium-high</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S2,S4</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3"/>
              </w:rPr>
              <w:t>Situational Awareness</w:t>
            </w:r>
          </w:p>
        </w:tc>
        <w:tc>
          <w:tcPr>
            <w:tcW w:type="dxa" w:w="1655"/>
            <w:vAlign w:val="center"/>
            <w:tcMar>
              <w:top w:w="90" w:type="dxa"/>
              <w:start w:w="100" w:type="dxa"/>
              <w:bottom w:w="90" w:type="dxa"/>
              <w:end w:w="100" w:type="dxa"/>
            </w:tcMar>
          </w:tcPr>
          <w:p>
            <w:pPr>
              <w:spacing w:after="0" w:line="240" w:lineRule="auto"/>
            </w:pPr>
            <w:r/>
            <w:r>
              <w:rPr>
                <w:color w:val="232D34"/>
                <w:sz w:val="13"/>
              </w:rPr>
              <w:t>Leveraged hedge-fund positions</w:t>
            </w:r>
          </w:p>
        </w:tc>
        <w:tc>
          <w:tcPr>
            <w:tcW w:type="dxa" w:w="2448"/>
            <w:vAlign w:val="center"/>
            <w:tcMar>
              <w:top w:w="90" w:type="dxa"/>
              <w:start w:w="100" w:type="dxa"/>
              <w:bottom w:w="90" w:type="dxa"/>
              <w:end w:w="100" w:type="dxa"/>
            </w:tcMar>
          </w:tcPr>
          <w:p>
            <w:pPr>
              <w:spacing w:after="0" w:line="240" w:lineRule="auto"/>
            </w:pPr>
            <w:r/>
            <w:r>
              <w:rPr>
                <w:color w:val="232D34"/>
                <w:sz w:val="13"/>
              </w:rPr>
              <w:t>$13.677B 13F table; ~$20B reported AUM; public book sold</w:t>
            </w:r>
          </w:p>
        </w:tc>
        <w:tc>
          <w:tcPr>
            <w:tcW w:type="dxa" w:w="3311"/>
            <w:vAlign w:val="center"/>
            <w:tcMar>
              <w:top w:w="90" w:type="dxa"/>
              <w:start w:w="100" w:type="dxa"/>
              <w:bottom w:w="90" w:type="dxa"/>
              <w:end w:w="100" w:type="dxa"/>
            </w:tcMar>
          </w:tcPr>
          <w:p>
            <w:pPr>
              <w:spacing w:after="0" w:line="240" w:lineRule="auto"/>
            </w:pPr>
            <w:r/>
            <w:r>
              <w:rPr>
                <w:color w:val="232D34"/>
                <w:sz w:val="13"/>
              </w:rPr>
              <w:t>Hedges, financing, margin terms, private assets and sale price unknown</w:t>
            </w:r>
          </w:p>
        </w:tc>
        <w:tc>
          <w:tcPr>
            <w:tcW w:type="dxa" w:w="1368"/>
            <w:vAlign w:val="center"/>
            <w:tcMar>
              <w:top w:w="90" w:type="dxa"/>
              <w:start w:w="100" w:type="dxa"/>
              <w:bottom w:w="90" w:type="dxa"/>
              <w:end w:w="100" w:type="dxa"/>
            </w:tcMar>
          </w:tcPr>
          <w:p>
            <w:pPr>
              <w:spacing w:after="0" w:line="240" w:lineRule="auto"/>
              <w:jc w:val="center"/>
            </w:pPr>
            <w:r/>
            <w:r>
              <w:rPr>
                <w:color w:val="232D34"/>
                <w:sz w:val="13"/>
              </w:rPr>
              <w:t>High</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S5,S6,S7,S8</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3"/>
              </w:rPr>
              <w:t>Blue Owl OTIC / OCIC</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Illiquid loans + limited quarterly liquidity</w:t>
            </w:r>
          </w:p>
        </w:tc>
        <w:tc>
          <w:tcPr>
            <w:tcW w:type="dxa" w:w="2448"/>
            <w:vAlign w:val="center"/>
            <w:tcMar>
              <w:top w:w="90" w:type="dxa"/>
              <w:start w:w="100" w:type="dxa"/>
              <w:bottom w:w="90" w:type="dxa"/>
              <w:end w:w="100" w:type="dxa"/>
            </w:tcMar>
            <w:shd w:fill="F5F7F8"/>
          </w:tcPr>
          <w:p>
            <w:pPr>
              <w:spacing w:after="0" w:line="240" w:lineRule="auto"/>
            </w:pPr>
            <w:r/>
            <w:r>
              <w:rPr>
                <w:color w:val="232D34"/>
                <w:sz w:val="13"/>
              </w:rPr>
              <w:t>38.1% and ~18.8% request rates; 5% offers</w:t>
            </w:r>
          </w:p>
        </w:tc>
        <w:tc>
          <w:tcPr>
            <w:tcW w:type="dxa" w:w="3311"/>
            <w:vAlign w:val="center"/>
            <w:tcMar>
              <w:top w:w="90" w:type="dxa"/>
              <w:start w:w="100" w:type="dxa"/>
              <w:bottom w:w="90" w:type="dxa"/>
              <w:end w:w="100" w:type="dxa"/>
            </w:tcMar>
            <w:shd w:fill="F5F7F8"/>
          </w:tcPr>
          <w:p>
            <w:pPr>
              <w:spacing w:after="0" w:line="240" w:lineRule="auto"/>
            </w:pPr>
            <w:r/>
            <w:r>
              <w:rPr>
                <w:color w:val="232D34"/>
                <w:sz w:val="13"/>
              </w:rPr>
              <w:t>Persistent queue, marks, PIK and software concentration</w:t>
            </w:r>
          </w:p>
        </w:tc>
        <w:tc>
          <w:tcPr>
            <w:tcW w:type="dxa" w:w="1368"/>
            <w:vAlign w:val="center"/>
            <w:tcMar>
              <w:top w:w="90" w:type="dxa"/>
              <w:start w:w="100" w:type="dxa"/>
              <w:bottom w:w="90" w:type="dxa"/>
              <w:end w:w="100" w:type="dxa"/>
            </w:tcMar>
            <w:shd w:fill="F5F7F8"/>
          </w:tcPr>
          <w:p>
            <w:pPr>
              <w:spacing w:after="0" w:line="240" w:lineRule="auto"/>
              <w:jc w:val="center"/>
            </w:pPr>
            <w:r/>
            <w:r>
              <w:rPr>
                <w:color w:val="232D34"/>
                <w:sz w:val="13"/>
              </w:rPr>
              <w:t>High</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S34,S35</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3"/>
              </w:rPr>
              <w:t>BCRED</w:t>
            </w:r>
          </w:p>
        </w:tc>
        <w:tc>
          <w:tcPr>
            <w:tcW w:type="dxa" w:w="1655"/>
            <w:vAlign w:val="center"/>
            <w:tcMar>
              <w:top w:w="90" w:type="dxa"/>
              <w:start w:w="100" w:type="dxa"/>
              <w:bottom w:w="90" w:type="dxa"/>
              <w:end w:w="100" w:type="dxa"/>
            </w:tcMar>
          </w:tcPr>
          <w:p>
            <w:pPr>
              <w:spacing w:after="0" w:line="240" w:lineRule="auto"/>
            </w:pPr>
            <w:r/>
            <w:r>
              <w:rPr>
                <w:color w:val="232D34"/>
                <w:sz w:val="13"/>
              </w:rPr>
              <w:t>Private loans / wealth liquidity</w:t>
            </w:r>
          </w:p>
        </w:tc>
        <w:tc>
          <w:tcPr>
            <w:tcW w:type="dxa" w:w="2448"/>
            <w:vAlign w:val="center"/>
            <w:tcMar>
              <w:top w:w="90" w:type="dxa"/>
              <w:start w:w="100" w:type="dxa"/>
              <w:bottom w:w="90" w:type="dxa"/>
              <w:end w:w="100" w:type="dxa"/>
            </w:tcMar>
          </w:tcPr>
          <w:p>
            <w:pPr>
              <w:spacing w:after="0" w:line="240" w:lineRule="auto"/>
            </w:pPr>
            <w:r/>
            <w:r>
              <w:rPr>
                <w:color w:val="232D34"/>
                <w:sz w:val="13"/>
              </w:rPr>
              <w:t>~10% requests; 5% target; bottom 5% marked 68.3</w:t>
            </w:r>
          </w:p>
        </w:tc>
        <w:tc>
          <w:tcPr>
            <w:tcW w:type="dxa" w:w="3311"/>
            <w:vAlign w:val="center"/>
            <w:tcMar>
              <w:top w:w="90" w:type="dxa"/>
              <w:start w:w="100" w:type="dxa"/>
              <w:bottom w:w="90" w:type="dxa"/>
              <w:end w:w="100" w:type="dxa"/>
            </w:tcMar>
          </w:tcPr>
          <w:p>
            <w:pPr>
              <w:spacing w:after="0" w:line="240" w:lineRule="auto"/>
            </w:pPr>
            <w:r/>
            <w:r>
              <w:rPr>
                <w:color w:val="232D34"/>
                <w:sz w:val="13"/>
              </w:rPr>
              <w:t>Nonaccruals and workout recoveries versus distribution rate</w:t>
            </w:r>
          </w:p>
        </w:tc>
        <w:tc>
          <w:tcPr>
            <w:tcW w:type="dxa" w:w="1368"/>
            <w:vAlign w:val="center"/>
            <w:tcMar>
              <w:top w:w="90" w:type="dxa"/>
              <w:start w:w="100" w:type="dxa"/>
              <w:bottom w:w="90" w:type="dxa"/>
              <w:end w:w="100" w:type="dxa"/>
            </w:tcMar>
          </w:tcPr>
          <w:p>
            <w:pPr>
              <w:spacing w:after="0" w:line="240" w:lineRule="auto"/>
              <w:jc w:val="center"/>
            </w:pPr>
            <w:r/>
            <w:r>
              <w:rPr>
                <w:color w:val="232D34"/>
                <w:sz w:val="13"/>
              </w:rPr>
              <w:t>High</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S32,S45</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3"/>
              </w:rPr>
              <w:t>Apollo ADS</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Private loans / wealth liquidity</w:t>
            </w:r>
          </w:p>
        </w:tc>
        <w:tc>
          <w:tcPr>
            <w:tcW w:type="dxa" w:w="2448"/>
            <w:vAlign w:val="center"/>
            <w:tcMar>
              <w:top w:w="90" w:type="dxa"/>
              <w:start w:w="100" w:type="dxa"/>
              <w:bottom w:w="90" w:type="dxa"/>
              <w:end w:w="100" w:type="dxa"/>
            </w:tcMar>
            <w:shd w:fill="F5F7F8"/>
          </w:tcPr>
          <w:p>
            <w:pPr>
              <w:spacing w:after="0" w:line="240" w:lineRule="auto"/>
            </w:pPr>
            <w:r/>
            <w:r>
              <w:rPr>
                <w:color w:val="232D34"/>
                <w:sz w:val="13"/>
              </w:rPr>
              <w:t>16.8% requests; 5% paid; $0.4B net outflow</w:t>
            </w:r>
          </w:p>
        </w:tc>
        <w:tc>
          <w:tcPr>
            <w:tcW w:type="dxa" w:w="3311"/>
            <w:vAlign w:val="center"/>
            <w:tcMar>
              <w:top w:w="90" w:type="dxa"/>
              <w:start w:w="100" w:type="dxa"/>
              <w:bottom w:w="90" w:type="dxa"/>
              <w:end w:w="100" w:type="dxa"/>
            </w:tcMar>
            <w:shd w:fill="F5F7F8"/>
          </w:tcPr>
          <w:p>
            <w:pPr>
              <w:spacing w:after="0" w:line="240" w:lineRule="auto"/>
            </w:pPr>
            <w:r/>
            <w:r>
              <w:rPr>
                <w:color w:val="232D34"/>
                <w:sz w:val="13"/>
              </w:rPr>
              <w:t>Offshore redemption concentration and asset liquidity</w:t>
            </w:r>
          </w:p>
        </w:tc>
        <w:tc>
          <w:tcPr>
            <w:tcW w:type="dxa" w:w="1368"/>
            <w:vAlign w:val="center"/>
            <w:tcMar>
              <w:top w:w="90" w:type="dxa"/>
              <w:start w:w="100" w:type="dxa"/>
              <w:bottom w:w="90" w:type="dxa"/>
              <w:end w:w="100" w:type="dxa"/>
            </w:tcMar>
            <w:shd w:fill="F5F7F8"/>
          </w:tcPr>
          <w:p>
            <w:pPr>
              <w:spacing w:after="0" w:line="240" w:lineRule="auto"/>
              <w:jc w:val="center"/>
            </w:pPr>
            <w:r/>
            <w:r>
              <w:rPr>
                <w:color w:val="232D34"/>
                <w:sz w:val="13"/>
              </w:rPr>
              <w:t>Medium-high</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S33</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3"/>
              </w:rPr>
              <w:t>Thoma Bravo software portfolio</w:t>
            </w:r>
          </w:p>
        </w:tc>
        <w:tc>
          <w:tcPr>
            <w:tcW w:type="dxa" w:w="1655"/>
            <w:vAlign w:val="center"/>
            <w:tcMar>
              <w:top w:w="90" w:type="dxa"/>
              <w:start w:w="100" w:type="dxa"/>
              <w:bottom w:w="90" w:type="dxa"/>
              <w:end w:w="100" w:type="dxa"/>
            </w:tcMar>
          </w:tcPr>
          <w:p>
            <w:pPr>
              <w:spacing w:after="0" w:line="240" w:lineRule="auto"/>
            </w:pPr>
            <w:r/>
            <w:r>
              <w:rPr>
                <w:color w:val="232D34"/>
                <w:sz w:val="13"/>
              </w:rPr>
              <w:t>Sponsor equity / high-cost refinancing</w:t>
            </w:r>
          </w:p>
        </w:tc>
        <w:tc>
          <w:tcPr>
            <w:tcW w:type="dxa" w:w="2448"/>
            <w:vAlign w:val="center"/>
            <w:tcMar>
              <w:top w:w="90" w:type="dxa"/>
              <w:start w:w="100" w:type="dxa"/>
              <w:bottom w:w="90" w:type="dxa"/>
              <w:end w:w="100" w:type="dxa"/>
            </w:tcMar>
          </w:tcPr>
          <w:p>
            <w:pPr>
              <w:spacing w:after="0" w:line="240" w:lineRule="auto"/>
            </w:pPr>
            <w:r/>
            <w:r>
              <w:rPr>
                <w:color w:val="232D34"/>
                <w:sz w:val="13"/>
              </w:rPr>
              <w:t>Medallia control loss; Proofpoint ~$5B refi at ~9.3%</w:t>
            </w:r>
          </w:p>
        </w:tc>
        <w:tc>
          <w:tcPr>
            <w:tcW w:type="dxa" w:w="3311"/>
            <w:vAlign w:val="center"/>
            <w:tcMar>
              <w:top w:w="90" w:type="dxa"/>
              <w:start w:w="100" w:type="dxa"/>
              <w:bottom w:w="90" w:type="dxa"/>
              <w:end w:w="100" w:type="dxa"/>
            </w:tcMar>
          </w:tcPr>
          <w:p>
            <w:pPr>
              <w:spacing w:after="0" w:line="240" w:lineRule="auto"/>
            </w:pPr>
            <w:r/>
            <w:r>
              <w:rPr>
                <w:color w:val="232D34"/>
                <w:sz w:val="13"/>
              </w:rPr>
              <w:t>Higher coupons and AI product risk erase equity cushion</w:t>
            </w:r>
          </w:p>
        </w:tc>
        <w:tc>
          <w:tcPr>
            <w:tcW w:type="dxa" w:w="1368"/>
            <w:vAlign w:val="center"/>
            <w:tcMar>
              <w:top w:w="90" w:type="dxa"/>
              <w:start w:w="100" w:type="dxa"/>
              <w:bottom w:w="90" w:type="dxa"/>
              <w:end w:w="100" w:type="dxa"/>
            </w:tcMar>
          </w:tcPr>
          <w:p>
            <w:pPr>
              <w:spacing w:after="0" w:line="240" w:lineRule="auto"/>
              <w:jc w:val="center"/>
            </w:pPr>
            <w:r/>
            <w:r>
              <w:rPr>
                <w:color w:val="232D34"/>
                <w:sz w:val="13"/>
              </w:rPr>
              <w:t>High</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S38,S39</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3"/>
              </w:rPr>
              <w:t>Meta</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Leases / guarantees / project JVs</w:t>
            </w:r>
          </w:p>
        </w:tc>
        <w:tc>
          <w:tcPr>
            <w:tcW w:type="dxa" w:w="2448"/>
            <w:vAlign w:val="center"/>
            <w:tcMar>
              <w:top w:w="90" w:type="dxa"/>
              <w:start w:w="100" w:type="dxa"/>
              <w:bottom w:w="90" w:type="dxa"/>
              <w:end w:w="100" w:type="dxa"/>
            </w:tcMar>
            <w:shd w:fill="F5F7F8"/>
          </w:tcPr>
          <w:p>
            <w:pPr>
              <w:spacing w:after="0" w:line="240" w:lineRule="auto"/>
            </w:pPr>
            <w:r/>
            <w:r>
              <w:rPr>
                <w:color w:val="232D34"/>
                <w:sz w:val="13"/>
              </w:rPr>
              <w:t>$278.99B uncommenced leases; $349.31B commitments; $84B notes</w:t>
            </w:r>
          </w:p>
        </w:tc>
        <w:tc>
          <w:tcPr>
            <w:tcW w:type="dxa" w:w="3311"/>
            <w:vAlign w:val="center"/>
            <w:tcMar>
              <w:top w:w="90" w:type="dxa"/>
              <w:start w:w="100" w:type="dxa"/>
              <w:bottom w:w="90" w:type="dxa"/>
              <w:end w:w="100" w:type="dxa"/>
            </w:tcMar>
            <w:shd w:fill="F5F7F8"/>
          </w:tcPr>
          <w:p>
            <w:pPr>
              <w:spacing w:after="0" w:line="240" w:lineRule="auto"/>
            </w:pPr>
            <w:r/>
            <w:r>
              <w:rPr>
                <w:color w:val="232D34"/>
                <w:sz w:val="13"/>
              </w:rPr>
              <w:t>Overlap, termination payments, residual guarantees, utilization</w:t>
            </w:r>
          </w:p>
        </w:tc>
        <w:tc>
          <w:tcPr>
            <w:tcW w:type="dxa" w:w="1368"/>
            <w:vAlign w:val="center"/>
            <w:tcMar>
              <w:top w:w="90" w:type="dxa"/>
              <w:start w:w="100" w:type="dxa"/>
              <w:bottom w:w="90" w:type="dxa"/>
              <w:end w:w="100" w:type="dxa"/>
            </w:tcMar>
            <w:shd w:fill="F5F7F8"/>
          </w:tcPr>
          <w:p>
            <w:pPr>
              <w:spacing w:after="0" w:line="240" w:lineRule="auto"/>
            </w:pPr>
            <w:r/>
            <w:r>
              <w:rPr>
                <w:color w:val="232D34"/>
                <w:sz w:val="13"/>
              </w:rPr>
              <w:t>High scale / lower near-term liquidity risk</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S10,S11</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3"/>
              </w:rPr>
              <w:t>Alphabet / Anthropic chain</w:t>
            </w:r>
          </w:p>
        </w:tc>
        <w:tc>
          <w:tcPr>
            <w:tcW w:type="dxa" w:w="1655"/>
            <w:vAlign w:val="center"/>
            <w:tcMar>
              <w:top w:w="90" w:type="dxa"/>
              <w:start w:w="100" w:type="dxa"/>
              <w:bottom w:w="90" w:type="dxa"/>
              <w:end w:w="100" w:type="dxa"/>
            </w:tcMar>
          </w:tcPr>
          <w:p>
            <w:pPr>
              <w:spacing w:after="0" w:line="240" w:lineRule="auto"/>
            </w:pPr>
            <w:r/>
            <w:r>
              <w:rPr>
                <w:color w:val="232D34"/>
                <w:sz w:val="13"/>
              </w:rPr>
              <w:t>SPV debt / guarantees / hardware residual</w:t>
            </w:r>
          </w:p>
        </w:tc>
        <w:tc>
          <w:tcPr>
            <w:tcW w:type="dxa" w:w="2448"/>
            <w:vAlign w:val="center"/>
            <w:tcMar>
              <w:top w:w="90" w:type="dxa"/>
              <w:start w:w="100" w:type="dxa"/>
              <w:bottom w:w="90" w:type="dxa"/>
              <w:end w:w="100" w:type="dxa"/>
            </w:tcMar>
          </w:tcPr>
          <w:p>
            <w:pPr>
              <w:spacing w:after="0" w:line="240" w:lineRule="auto"/>
            </w:pPr>
            <w:r/>
            <w:r>
              <w:rPr>
                <w:color w:val="232D34"/>
                <w:sz w:val="13"/>
              </w:rPr>
              <w:t>$35B initial TPU financing; $811B Alphabet obligations; ~$44B reported Google max exposure</w:t>
            </w:r>
          </w:p>
        </w:tc>
        <w:tc>
          <w:tcPr>
            <w:tcW w:type="dxa" w:w="3311"/>
            <w:vAlign w:val="center"/>
            <w:tcMar>
              <w:top w:w="90" w:type="dxa"/>
              <w:start w:w="100" w:type="dxa"/>
              <w:bottom w:w="90" w:type="dxa"/>
              <w:end w:w="100" w:type="dxa"/>
            </w:tcMar>
          </w:tcPr>
          <w:p>
            <w:pPr>
              <w:spacing w:after="0" w:line="240" w:lineRule="auto"/>
            </w:pPr>
            <w:r/>
            <w:r>
              <w:rPr>
                <w:color w:val="232D34"/>
                <w:sz w:val="13"/>
              </w:rPr>
              <w:t>Anthropic lease capacity, Broadcom support and hardware residual</w:t>
            </w:r>
          </w:p>
        </w:tc>
        <w:tc>
          <w:tcPr>
            <w:tcW w:type="dxa" w:w="1368"/>
            <w:vAlign w:val="center"/>
            <w:tcMar>
              <w:top w:w="90" w:type="dxa"/>
              <w:start w:w="100" w:type="dxa"/>
              <w:bottom w:w="90" w:type="dxa"/>
              <w:end w:w="100" w:type="dxa"/>
            </w:tcMar>
          </w:tcPr>
          <w:p>
            <w:pPr>
              <w:spacing w:after="0" w:line="240" w:lineRule="auto"/>
              <w:jc w:val="center"/>
            </w:pPr>
            <w:r/>
            <w:r>
              <w:rPr>
                <w:color w:val="232D34"/>
                <w:sz w:val="13"/>
              </w:rPr>
              <w:t>High complexity</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S12,S13,S14</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3"/>
              </w:rPr>
              <w:t>Amazon</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Commitments + circular investor/customer relationship</w:t>
            </w:r>
          </w:p>
        </w:tc>
        <w:tc>
          <w:tcPr>
            <w:tcW w:type="dxa" w:w="2448"/>
            <w:vAlign w:val="center"/>
            <w:tcMar>
              <w:top w:w="90" w:type="dxa"/>
              <w:start w:w="100" w:type="dxa"/>
              <w:bottom w:w="90" w:type="dxa"/>
              <w:end w:w="100" w:type="dxa"/>
            </w:tcMar>
            <w:shd w:fill="F5F7F8"/>
          </w:tcPr>
          <w:p>
            <w:pPr>
              <w:spacing w:after="0" w:line="240" w:lineRule="auto"/>
            </w:pPr>
            <w:r/>
            <w:r>
              <w:rPr>
                <w:color w:val="232D34"/>
                <w:sz w:val="13"/>
              </w:rPr>
              <w:t>$569.28B commitments; $35B OpenAI equity letter; $220B capex plan</w:t>
            </w:r>
          </w:p>
        </w:tc>
        <w:tc>
          <w:tcPr>
            <w:tcW w:type="dxa" w:w="3311"/>
            <w:vAlign w:val="center"/>
            <w:tcMar>
              <w:top w:w="90" w:type="dxa"/>
              <w:start w:w="100" w:type="dxa"/>
              <w:bottom w:w="90" w:type="dxa"/>
              <w:end w:w="100" w:type="dxa"/>
            </w:tcMar>
            <w:shd w:fill="F5F7F8"/>
          </w:tcPr>
          <w:p>
            <w:pPr>
              <w:spacing w:after="0" w:line="240" w:lineRule="auto"/>
            </w:pPr>
            <w:r/>
            <w:r>
              <w:rPr>
                <w:color w:val="232D34"/>
                <w:sz w:val="13"/>
              </w:rPr>
              <w:t>Private marks, customer credit and AWS backlog concentration</w:t>
            </w:r>
          </w:p>
        </w:tc>
        <w:tc>
          <w:tcPr>
            <w:tcW w:type="dxa" w:w="1368"/>
            <w:vAlign w:val="center"/>
            <w:tcMar>
              <w:top w:w="90" w:type="dxa"/>
              <w:start w:w="100" w:type="dxa"/>
              <w:bottom w:w="90" w:type="dxa"/>
              <w:end w:w="100" w:type="dxa"/>
            </w:tcMar>
            <w:shd w:fill="F5F7F8"/>
          </w:tcPr>
          <w:p>
            <w:pPr>
              <w:spacing w:after="0" w:line="240" w:lineRule="auto"/>
              <w:jc w:val="center"/>
            </w:pPr>
            <w:r/>
            <w:r>
              <w:rPr>
                <w:color w:val="232D34"/>
                <w:sz w:val="13"/>
              </w:rPr>
              <w:t>High scale</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S16,S17,S18,S19</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3"/>
              </w:rPr>
              <w:t>Oracle</w:t>
            </w:r>
          </w:p>
        </w:tc>
        <w:tc>
          <w:tcPr>
            <w:tcW w:type="dxa" w:w="1655"/>
            <w:vAlign w:val="center"/>
            <w:tcMar>
              <w:top w:w="90" w:type="dxa"/>
              <w:start w:w="100" w:type="dxa"/>
              <w:bottom w:w="90" w:type="dxa"/>
              <w:end w:w="100" w:type="dxa"/>
            </w:tcMar>
          </w:tcPr>
          <w:p>
            <w:pPr>
              <w:spacing w:after="0" w:line="240" w:lineRule="auto"/>
            </w:pPr>
            <w:r/>
            <w:r>
              <w:rPr>
                <w:color w:val="232D34"/>
                <w:sz w:val="13"/>
              </w:rPr>
              <w:t>Direct debt/equity / negative FCF</w:t>
            </w:r>
          </w:p>
        </w:tc>
        <w:tc>
          <w:tcPr>
            <w:tcW w:type="dxa" w:w="2448"/>
            <w:vAlign w:val="center"/>
            <w:tcMar>
              <w:top w:w="90" w:type="dxa"/>
              <w:start w:w="100" w:type="dxa"/>
              <w:bottom w:w="90" w:type="dxa"/>
              <w:end w:w="100" w:type="dxa"/>
            </w:tcMar>
          </w:tcPr>
          <w:p>
            <w:pPr>
              <w:spacing w:after="0" w:line="240" w:lineRule="auto"/>
            </w:pPr>
            <w:r/>
            <w:r>
              <w:rPr>
                <w:color w:val="232D34"/>
                <w:sz w:val="13"/>
              </w:rPr>
              <w:t>-$23.69B FCF; $42.7B notes; $5B preferred; $638B RPO</w:t>
            </w:r>
          </w:p>
        </w:tc>
        <w:tc>
          <w:tcPr>
            <w:tcW w:type="dxa" w:w="3311"/>
            <w:vAlign w:val="center"/>
            <w:tcMar>
              <w:top w:w="90" w:type="dxa"/>
              <w:start w:w="100" w:type="dxa"/>
              <w:bottom w:w="90" w:type="dxa"/>
              <w:end w:w="100" w:type="dxa"/>
            </w:tcMar>
          </w:tcPr>
          <w:p>
            <w:pPr>
              <w:spacing w:after="0" w:line="240" w:lineRule="auto"/>
            </w:pPr>
            <w:r/>
            <w:r>
              <w:rPr>
                <w:color w:val="232D34"/>
                <w:sz w:val="13"/>
              </w:rPr>
              <w:t>Counterparty concentration, build timing, rates and dilution</w:t>
            </w:r>
          </w:p>
        </w:tc>
        <w:tc>
          <w:tcPr>
            <w:tcW w:type="dxa" w:w="1368"/>
            <w:vAlign w:val="center"/>
            <w:tcMar>
              <w:top w:w="90" w:type="dxa"/>
              <w:start w:w="100" w:type="dxa"/>
              <w:bottom w:w="90" w:type="dxa"/>
              <w:end w:w="100" w:type="dxa"/>
            </w:tcMar>
          </w:tcPr>
          <w:p>
            <w:pPr>
              <w:spacing w:after="0" w:line="240" w:lineRule="auto"/>
              <w:jc w:val="center"/>
            </w:pPr>
            <w:r/>
            <w:r>
              <w:rPr>
                <w:color w:val="232D34"/>
                <w:sz w:val="13"/>
              </w:rPr>
              <w:t>High</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S20,S21,S22,S23</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3"/>
              </w:rPr>
              <w:t>Microsoft</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Finance leases / uncommenced sites</w:t>
            </w:r>
          </w:p>
        </w:tc>
        <w:tc>
          <w:tcPr>
            <w:tcW w:type="dxa" w:w="2448"/>
            <w:vAlign w:val="center"/>
            <w:tcMar>
              <w:top w:w="90" w:type="dxa"/>
              <w:start w:w="100" w:type="dxa"/>
              <w:bottom w:w="90" w:type="dxa"/>
              <w:end w:w="100" w:type="dxa"/>
            </w:tcMar>
            <w:shd w:fill="F5F7F8"/>
          </w:tcPr>
          <w:p>
            <w:pPr>
              <w:spacing w:after="0" w:line="240" w:lineRule="auto"/>
            </w:pPr>
            <w:r/>
            <w:r>
              <w:rPr>
                <w:color w:val="232D34"/>
                <w:sz w:val="13"/>
              </w:rPr>
              <w:t>$62.93B finance lease liabilities; $196.6B uncommenced leases; $190B capex plan</w:t>
            </w:r>
          </w:p>
        </w:tc>
        <w:tc>
          <w:tcPr>
            <w:tcW w:type="dxa" w:w="3311"/>
            <w:vAlign w:val="center"/>
            <w:tcMar>
              <w:top w:w="90" w:type="dxa"/>
              <w:start w:w="100" w:type="dxa"/>
              <w:bottom w:w="90" w:type="dxa"/>
              <w:end w:w="100" w:type="dxa"/>
            </w:tcMar>
            <w:shd w:fill="F5F7F8"/>
          </w:tcPr>
          <w:p>
            <w:pPr>
              <w:spacing w:after="0" w:line="240" w:lineRule="auto"/>
            </w:pPr>
            <w:r/>
            <w:r>
              <w:rPr>
                <w:color w:val="232D34"/>
                <w:sz w:val="13"/>
              </w:rPr>
              <w:t>Cash/GAAP timing, lease duration and demand allocation</w:t>
            </w:r>
          </w:p>
        </w:tc>
        <w:tc>
          <w:tcPr>
            <w:tcW w:type="dxa" w:w="1368"/>
            <w:vAlign w:val="center"/>
            <w:tcMar>
              <w:top w:w="90" w:type="dxa"/>
              <w:start w:w="100" w:type="dxa"/>
              <w:bottom w:w="90" w:type="dxa"/>
              <w:end w:w="100" w:type="dxa"/>
            </w:tcMar>
            <w:shd w:fill="F5F7F8"/>
          </w:tcPr>
          <w:p>
            <w:pPr>
              <w:spacing w:after="0" w:line="240" w:lineRule="auto"/>
              <w:jc w:val="center"/>
            </w:pPr>
            <w:r/>
            <w:r>
              <w:rPr>
                <w:color w:val="232D34"/>
                <w:sz w:val="13"/>
              </w:rPr>
              <w:t>High scale</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S25,S26,S47</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3"/>
              </w:rPr>
              <w:t>CoreWeave</w:t>
            </w:r>
          </w:p>
        </w:tc>
        <w:tc>
          <w:tcPr>
            <w:tcW w:type="dxa" w:w="1655"/>
            <w:vAlign w:val="center"/>
            <w:tcMar>
              <w:top w:w="90" w:type="dxa"/>
              <w:start w:w="100" w:type="dxa"/>
              <w:bottom w:w="90" w:type="dxa"/>
              <w:end w:w="100" w:type="dxa"/>
            </w:tcMar>
          </w:tcPr>
          <w:p>
            <w:pPr>
              <w:spacing w:after="0" w:line="240" w:lineRule="auto"/>
            </w:pPr>
            <w:r/>
            <w:r>
              <w:rPr>
                <w:color w:val="232D34"/>
                <w:sz w:val="13"/>
              </w:rPr>
              <w:t>Project debt / customer-contract borrowing</w:t>
            </w:r>
          </w:p>
        </w:tc>
        <w:tc>
          <w:tcPr>
            <w:tcW w:type="dxa" w:w="2448"/>
            <w:vAlign w:val="center"/>
            <w:tcMar>
              <w:top w:w="90" w:type="dxa"/>
              <w:start w:w="100" w:type="dxa"/>
              <w:bottom w:w="90" w:type="dxa"/>
              <w:end w:w="100" w:type="dxa"/>
            </w:tcMar>
          </w:tcPr>
          <w:p>
            <w:pPr>
              <w:spacing w:after="0" w:line="240" w:lineRule="auto"/>
            </w:pPr>
            <w:r/>
            <w:r>
              <w:rPr>
                <w:color w:val="232D34"/>
                <w:sz w:val="13"/>
              </w:rPr>
              <w:t>$11.2B debt; $2.6B + $3.1B reported contract financings</w:t>
            </w:r>
          </w:p>
        </w:tc>
        <w:tc>
          <w:tcPr>
            <w:tcW w:type="dxa" w:w="3311"/>
            <w:vAlign w:val="center"/>
            <w:tcMar>
              <w:top w:w="90" w:type="dxa"/>
              <w:start w:w="100" w:type="dxa"/>
              <w:bottom w:w="90" w:type="dxa"/>
              <w:end w:w="100" w:type="dxa"/>
            </w:tcMar>
          </w:tcPr>
          <w:p>
            <w:pPr>
              <w:spacing w:after="0" w:line="240" w:lineRule="auto"/>
            </w:pPr>
            <w:r/>
            <w:r>
              <w:rPr>
                <w:color w:val="232D34"/>
                <w:sz w:val="13"/>
              </w:rPr>
              <w:t>Contract duration shorter than infrastructure life; refinance and utilization</w:t>
            </w:r>
          </w:p>
        </w:tc>
        <w:tc>
          <w:tcPr>
            <w:tcW w:type="dxa" w:w="1368"/>
            <w:vAlign w:val="center"/>
            <w:tcMar>
              <w:top w:w="90" w:type="dxa"/>
              <w:start w:w="100" w:type="dxa"/>
              <w:bottom w:w="90" w:type="dxa"/>
              <w:end w:w="100" w:type="dxa"/>
            </w:tcMar>
          </w:tcPr>
          <w:p>
            <w:pPr>
              <w:spacing w:after="0" w:line="240" w:lineRule="auto"/>
              <w:jc w:val="center"/>
            </w:pPr>
            <w:r/>
            <w:r>
              <w:rPr>
                <w:color w:val="232D34"/>
                <w:sz w:val="13"/>
              </w:rPr>
              <w:t>Very high</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S28,S29</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3"/>
              </w:rPr>
              <w:t>xAI SPV</w:t>
            </w:r>
          </w:p>
        </w:tc>
        <w:tc>
          <w:tcPr>
            <w:tcW w:type="dxa" w:w="1655"/>
            <w:vAlign w:val="center"/>
            <w:tcMar>
              <w:top w:w="90" w:type="dxa"/>
              <w:start w:w="100" w:type="dxa"/>
              <w:bottom w:w="90" w:type="dxa"/>
              <w:end w:w="100" w:type="dxa"/>
            </w:tcMar>
            <w:shd w:fill="F5F7F8"/>
          </w:tcPr>
          <w:p>
            <w:pPr>
              <w:spacing w:after="0" w:line="240" w:lineRule="auto"/>
            </w:pPr>
            <w:r/>
            <w:r>
              <w:rPr>
                <w:color w:val="232D34"/>
                <w:sz w:val="13"/>
              </w:rPr>
              <w:t>GPU lease / vendor-linked capital</w:t>
            </w:r>
          </w:p>
        </w:tc>
        <w:tc>
          <w:tcPr>
            <w:tcW w:type="dxa" w:w="2448"/>
            <w:vAlign w:val="center"/>
            <w:tcMar>
              <w:top w:w="90" w:type="dxa"/>
              <w:start w:w="100" w:type="dxa"/>
              <w:bottom w:w="90" w:type="dxa"/>
              <w:end w:w="100" w:type="dxa"/>
            </w:tcMar>
            <w:shd w:fill="F5F7F8"/>
          </w:tcPr>
          <w:p>
            <w:pPr>
              <w:spacing w:after="0" w:line="240" w:lineRule="auto"/>
            </w:pPr>
            <w:r/>
            <w:r>
              <w:rPr>
                <w:color w:val="232D34"/>
                <w:sz w:val="13"/>
              </w:rPr>
              <w:t>$20B reported SPV; $12.5B debt; $7.5B equity</w:t>
            </w:r>
          </w:p>
        </w:tc>
        <w:tc>
          <w:tcPr>
            <w:tcW w:type="dxa" w:w="3311"/>
            <w:vAlign w:val="center"/>
            <w:tcMar>
              <w:top w:w="90" w:type="dxa"/>
              <w:start w:w="100" w:type="dxa"/>
              <w:bottom w:w="90" w:type="dxa"/>
              <w:end w:w="100" w:type="dxa"/>
            </w:tcMar>
            <w:shd w:fill="F5F7F8"/>
          </w:tcPr>
          <w:p>
            <w:pPr>
              <w:spacing w:after="0" w:line="240" w:lineRule="auto"/>
            </w:pPr>
            <w:r/>
            <w:r>
              <w:rPr>
                <w:color w:val="232D34"/>
                <w:sz w:val="13"/>
              </w:rPr>
              <w:t>Five-year residual value and xAI payment capacity</w:t>
            </w:r>
          </w:p>
        </w:tc>
        <w:tc>
          <w:tcPr>
            <w:tcW w:type="dxa" w:w="1368"/>
            <w:vAlign w:val="center"/>
            <w:tcMar>
              <w:top w:w="90" w:type="dxa"/>
              <w:start w:w="100" w:type="dxa"/>
              <w:bottom w:w="90" w:type="dxa"/>
              <w:end w:w="100" w:type="dxa"/>
            </w:tcMar>
            <w:shd w:fill="F5F7F8"/>
          </w:tcPr>
          <w:p>
            <w:pPr>
              <w:spacing w:after="0" w:line="240" w:lineRule="auto"/>
              <w:jc w:val="center"/>
            </w:pPr>
            <w:r/>
            <w:r>
              <w:rPr>
                <w:color w:val="232D34"/>
                <w:sz w:val="13"/>
              </w:rPr>
              <w:t>Very high / reported</w:t>
            </w:r>
          </w:p>
        </w:tc>
        <w:tc>
          <w:tcPr>
            <w:tcW w:type="dxa" w:w="648"/>
            <w:vAlign w:val="center"/>
            <w:tcMar>
              <w:top w:w="90" w:type="dxa"/>
              <w:start w:w="100" w:type="dxa"/>
              <w:bottom w:w="90" w:type="dxa"/>
              <w:end w:w="100" w:type="dxa"/>
            </w:tcMar>
            <w:shd w:fill="F5F7F8"/>
          </w:tcPr>
          <w:p>
            <w:pPr>
              <w:spacing w:after="0" w:line="240" w:lineRule="auto"/>
              <w:jc w:val="center"/>
            </w:pPr>
            <w:r/>
            <w:r>
              <w:rPr>
                <w:color w:val="2F5E75"/>
                <w:sz w:val="13"/>
              </w:rPr>
              <w:t>S30</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3"/>
              </w:rPr>
              <w:t>Jefferies Point Bonita</w:t>
            </w:r>
          </w:p>
        </w:tc>
        <w:tc>
          <w:tcPr>
            <w:tcW w:type="dxa" w:w="1655"/>
            <w:vAlign w:val="center"/>
            <w:tcMar>
              <w:top w:w="90" w:type="dxa"/>
              <w:start w:w="100" w:type="dxa"/>
              <w:bottom w:w="90" w:type="dxa"/>
              <w:end w:w="100" w:type="dxa"/>
            </w:tcMar>
          </w:tcPr>
          <w:p>
            <w:pPr>
              <w:spacing w:after="0" w:line="240" w:lineRule="auto"/>
            </w:pPr>
            <w:r/>
            <w:r>
              <w:rPr>
                <w:color w:val="232D34"/>
                <w:sz w:val="13"/>
              </w:rPr>
              <w:t>Trade receivables / collateral fraud</w:t>
            </w:r>
          </w:p>
        </w:tc>
        <w:tc>
          <w:tcPr>
            <w:tcW w:type="dxa" w:w="2448"/>
            <w:vAlign w:val="center"/>
            <w:tcMar>
              <w:top w:w="90" w:type="dxa"/>
              <w:start w:w="100" w:type="dxa"/>
              <w:bottom w:w="90" w:type="dxa"/>
              <w:end w:w="100" w:type="dxa"/>
            </w:tcMar>
          </w:tcPr>
          <w:p>
            <w:pPr>
              <w:spacing w:after="0" w:line="240" w:lineRule="auto"/>
            </w:pPr>
            <w:r/>
            <w:r>
              <w:rPr>
                <w:color w:val="232D34"/>
                <w:sz w:val="13"/>
              </w:rPr>
              <w:t>$715M First Brands receivables; $113M affiliate capital; $30M pretax loss</w:t>
            </w:r>
          </w:p>
        </w:tc>
        <w:tc>
          <w:tcPr>
            <w:tcW w:type="dxa" w:w="3311"/>
            <w:vAlign w:val="center"/>
            <w:tcMar>
              <w:top w:w="90" w:type="dxa"/>
              <w:start w:w="100" w:type="dxa"/>
              <w:bottom w:w="90" w:type="dxa"/>
              <w:end w:w="100" w:type="dxa"/>
            </w:tcMar>
          </w:tcPr>
          <w:p>
            <w:pPr>
              <w:spacing w:after="0" w:line="240" w:lineRule="auto"/>
            </w:pPr>
            <w:r/>
            <w:r>
              <w:rPr>
                <w:color w:val="232D34"/>
                <w:sz w:val="13"/>
              </w:rPr>
              <w:t>Invoice existence, duplication, cash dominion and recoveries</w:t>
            </w:r>
          </w:p>
        </w:tc>
        <w:tc>
          <w:tcPr>
            <w:tcW w:type="dxa" w:w="1368"/>
            <w:vAlign w:val="center"/>
            <w:tcMar>
              <w:top w:w="90" w:type="dxa"/>
              <w:start w:w="100" w:type="dxa"/>
              <w:bottom w:w="90" w:type="dxa"/>
              <w:end w:w="100" w:type="dxa"/>
            </w:tcMar>
          </w:tcPr>
          <w:p>
            <w:pPr>
              <w:spacing w:after="0" w:line="240" w:lineRule="auto"/>
              <w:jc w:val="center"/>
            </w:pPr>
            <w:r/>
            <w:r>
              <w:rPr>
                <w:color w:val="232D34"/>
                <w:sz w:val="13"/>
              </w:rPr>
              <w:t>Very high operational risk</w:t>
            </w:r>
          </w:p>
        </w:tc>
        <w:tc>
          <w:tcPr>
            <w:tcW w:type="dxa" w:w="648"/>
            <w:vAlign w:val="center"/>
            <w:tcMar>
              <w:top w:w="90" w:type="dxa"/>
              <w:start w:w="100" w:type="dxa"/>
              <w:bottom w:w="90" w:type="dxa"/>
              <w:end w:w="100" w:type="dxa"/>
            </w:tcMar>
          </w:tcPr>
          <w:p>
            <w:pPr>
              <w:spacing w:after="0" w:line="240" w:lineRule="auto"/>
              <w:jc w:val="center"/>
            </w:pPr>
            <w:r/>
            <w:r>
              <w:rPr>
                <w:color w:val="2F5E75"/>
                <w:sz w:val="13"/>
              </w:rPr>
              <w:t>S40,S41,S42</w:t>
            </w:r>
          </w:p>
        </w:tc>
      </w:tr>
    </w:tbl>
    <w:p>
      <w:pPr>
        <w:spacing w:after="20"/>
      </w:pPr>
    </w:p>
    <w:p>
      <w:pPr>
        <w:pStyle w:val="Heading2"/>
        <w:keepNext/>
      </w:pPr>
      <w:r>
        <w:t>Ranking by type of discomfort—not probability of default</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2448"/>
            <w:shd w:fill="17324D"/>
            <w:vAlign w:val="center"/>
            <w:tcMar>
              <w:top w:w="100" w:type="dxa"/>
              <w:start w:w="110" w:type="dxa"/>
              <w:bottom w:w="100" w:type="dxa"/>
              <w:end w:w="110" w:type="dxa"/>
            </w:tcMar>
          </w:tcPr>
          <w:p>
            <w:pPr>
              <w:jc w:val="center"/>
            </w:pPr>
            <w:r/>
            <w:r>
              <w:rPr>
                <w:b/>
                <w:color w:val="FFFFFF"/>
                <w:sz w:val="16"/>
              </w:rPr>
              <w:t>Category</w:t>
            </w:r>
          </w:p>
        </w:tc>
        <w:tc>
          <w:tcPr>
            <w:tcW w:type="dxa" w:w="3168"/>
            <w:shd w:fill="17324D"/>
            <w:vAlign w:val="center"/>
            <w:tcMar>
              <w:top w:w="100" w:type="dxa"/>
              <w:start w:w="110" w:type="dxa"/>
              <w:bottom w:w="100" w:type="dxa"/>
              <w:end w:w="110" w:type="dxa"/>
            </w:tcMar>
          </w:tcPr>
          <w:p>
            <w:pPr>
              <w:jc w:val="center"/>
            </w:pPr>
            <w:r/>
            <w:r>
              <w:rPr>
                <w:b/>
                <w:color w:val="FFFFFF"/>
                <w:sz w:val="16"/>
              </w:rPr>
              <w:t>Book</w:t>
            </w:r>
          </w:p>
        </w:tc>
        <w:tc>
          <w:tcPr>
            <w:tcW w:type="dxa" w:w="4608"/>
            <w:shd w:fill="17324D"/>
            <w:vAlign w:val="center"/>
            <w:tcMar>
              <w:top w:w="100" w:type="dxa"/>
              <w:start w:w="110" w:type="dxa"/>
              <w:bottom w:w="100" w:type="dxa"/>
              <w:end w:w="110" w:type="dxa"/>
            </w:tcMar>
          </w:tcPr>
          <w:p>
            <w:pPr>
              <w:jc w:val="center"/>
            </w:pPr>
            <w:r/>
            <w:r>
              <w:rPr>
                <w:b/>
                <w:color w:val="FFFFFF"/>
                <w:sz w:val="16"/>
              </w:rPr>
              <w:t>Reason</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Most direct cash-flow strain</w:t>
            </w:r>
          </w:p>
        </w:tc>
        <w:tc>
          <w:tcPr>
            <w:tcW w:type="dxa" w:w="3168"/>
            <w:vAlign w:val="center"/>
            <w:tcMar>
              <w:top w:w="90" w:type="dxa"/>
              <w:start w:w="100" w:type="dxa"/>
              <w:bottom w:w="90" w:type="dxa"/>
              <w:end w:w="100" w:type="dxa"/>
            </w:tcMar>
          </w:tcPr>
          <w:p>
            <w:pPr>
              <w:spacing w:after="0" w:line="240" w:lineRule="auto"/>
              <w:jc w:val="center"/>
            </w:pPr>
            <w:r/>
            <w:r>
              <w:rPr>
                <w:color w:val="232D34"/>
                <w:sz w:val="16"/>
              </w:rPr>
              <w:t>Oracle</w:t>
            </w:r>
          </w:p>
        </w:tc>
        <w:tc>
          <w:tcPr>
            <w:tcW w:type="dxa" w:w="4608"/>
            <w:vAlign w:val="center"/>
            <w:tcMar>
              <w:top w:w="90" w:type="dxa"/>
              <w:start w:w="100" w:type="dxa"/>
              <w:bottom w:w="90" w:type="dxa"/>
              <w:end w:w="100" w:type="dxa"/>
            </w:tcMar>
          </w:tcPr>
          <w:p>
            <w:pPr>
              <w:spacing w:after="0" w:line="240" w:lineRule="auto"/>
            </w:pPr>
            <w:r/>
            <w:r>
              <w:rPr>
                <w:color w:val="232D34"/>
                <w:sz w:val="16"/>
              </w:rPr>
              <w:t>Large negative FCF and explicit debt/equity issuance to fund contracted capacity.</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Most refinancing-sensitive operating platform</w:t>
            </w:r>
          </w:p>
        </w:tc>
        <w:tc>
          <w:tcPr>
            <w:tcW w:type="dxa" w:w="3168"/>
            <w:vAlign w:val="center"/>
            <w:tcMar>
              <w:top w:w="90" w:type="dxa"/>
              <w:start w:w="100" w:type="dxa"/>
              <w:bottom w:w="90" w:type="dxa"/>
              <w:end w:w="100" w:type="dxa"/>
            </w:tcMar>
            <w:shd w:fill="F5F7F8"/>
          </w:tcPr>
          <w:p>
            <w:pPr>
              <w:spacing w:after="0" w:line="240" w:lineRule="auto"/>
              <w:jc w:val="center"/>
            </w:pPr>
            <w:r/>
            <w:r>
              <w:rPr>
                <w:color w:val="232D34"/>
                <w:sz w:val="16"/>
              </w:rPr>
              <w:t>CoreWeave</w:t>
            </w:r>
          </w:p>
        </w:tc>
        <w:tc>
          <w:tcPr>
            <w:tcW w:type="dxa" w:w="4608"/>
            <w:vAlign w:val="center"/>
            <w:tcMar>
              <w:top w:w="90" w:type="dxa"/>
              <w:start w:w="100" w:type="dxa"/>
              <w:bottom w:w="90" w:type="dxa"/>
              <w:end w:w="100" w:type="dxa"/>
            </w:tcMar>
            <w:shd w:fill="F5F7F8"/>
          </w:tcPr>
          <w:p>
            <w:pPr>
              <w:spacing w:after="0" w:line="240" w:lineRule="auto"/>
            </w:pPr>
            <w:r/>
            <w:r>
              <w:rPr>
                <w:color w:val="232D34"/>
                <w:sz w:val="16"/>
              </w:rPr>
              <w:t>High leverage and customer-contract duration shorter than long-lived sites.</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Largest disclosed lease scale</w:t>
            </w:r>
          </w:p>
        </w:tc>
        <w:tc>
          <w:tcPr>
            <w:tcW w:type="dxa" w:w="3168"/>
            <w:vAlign w:val="center"/>
            <w:tcMar>
              <w:top w:w="90" w:type="dxa"/>
              <w:start w:w="100" w:type="dxa"/>
              <w:bottom w:w="90" w:type="dxa"/>
              <w:end w:w="100" w:type="dxa"/>
            </w:tcMar>
          </w:tcPr>
          <w:p>
            <w:pPr>
              <w:spacing w:after="0" w:line="240" w:lineRule="auto"/>
              <w:jc w:val="center"/>
            </w:pPr>
            <w:r/>
            <w:r>
              <w:rPr>
                <w:color w:val="232D34"/>
                <w:sz w:val="16"/>
              </w:rPr>
              <w:t>Meta</w:t>
            </w:r>
          </w:p>
        </w:tc>
        <w:tc>
          <w:tcPr>
            <w:tcW w:type="dxa" w:w="4608"/>
            <w:vAlign w:val="center"/>
            <w:tcMar>
              <w:top w:w="90" w:type="dxa"/>
              <w:start w:w="100" w:type="dxa"/>
              <w:bottom w:w="90" w:type="dxa"/>
              <w:end w:w="100" w:type="dxa"/>
            </w:tcMar>
          </w:tcPr>
          <w:p>
            <w:pPr>
              <w:spacing w:after="0" w:line="240" w:lineRule="auto"/>
            </w:pPr>
            <w:r/>
            <w:r>
              <w:rPr>
                <w:color w:val="232D34"/>
                <w:sz w:val="16"/>
              </w:rPr>
              <w:t>Uncommenced lease and guarantee footprint is unprecedented in size.</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Most engineered off-balance-sheet chain</w:t>
            </w:r>
          </w:p>
        </w:tc>
        <w:tc>
          <w:tcPr>
            <w:tcW w:type="dxa" w:w="3168"/>
            <w:vAlign w:val="center"/>
            <w:tcMar>
              <w:top w:w="90" w:type="dxa"/>
              <w:start w:w="100" w:type="dxa"/>
              <w:bottom w:w="90" w:type="dxa"/>
              <w:end w:w="100" w:type="dxa"/>
            </w:tcMar>
            <w:shd w:fill="F5F7F8"/>
          </w:tcPr>
          <w:p>
            <w:pPr>
              <w:spacing w:after="0" w:line="240" w:lineRule="auto"/>
            </w:pPr>
            <w:r/>
            <w:r>
              <w:rPr>
                <w:color w:val="232D34"/>
                <w:sz w:val="16"/>
              </w:rPr>
              <w:t>Google / Anthropic / Broadcom / Apollo / Blackstone</w:t>
            </w:r>
          </w:p>
        </w:tc>
        <w:tc>
          <w:tcPr>
            <w:tcW w:type="dxa" w:w="4608"/>
            <w:vAlign w:val="center"/>
            <w:tcMar>
              <w:top w:w="90" w:type="dxa"/>
              <w:start w:w="100" w:type="dxa"/>
              <w:bottom w:w="90" w:type="dxa"/>
              <w:end w:w="100" w:type="dxa"/>
            </w:tcMar>
            <w:shd w:fill="F5F7F8"/>
          </w:tcPr>
          <w:p>
            <w:pPr>
              <w:spacing w:after="0" w:line="240" w:lineRule="auto"/>
            </w:pPr>
            <w:r/>
            <w:r>
              <w:rPr>
                <w:color w:val="232D34"/>
                <w:sz w:val="16"/>
              </w:rPr>
              <w:t>Multiple SPVs, residual support, powered-site backstops and lease obligations.</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Most circular investor–vendor–customer relationship</w:t>
            </w:r>
          </w:p>
        </w:tc>
        <w:tc>
          <w:tcPr>
            <w:tcW w:type="dxa" w:w="3168"/>
            <w:vAlign w:val="center"/>
            <w:tcMar>
              <w:top w:w="90" w:type="dxa"/>
              <w:start w:w="100" w:type="dxa"/>
              <w:bottom w:w="90" w:type="dxa"/>
              <w:end w:w="100" w:type="dxa"/>
            </w:tcMar>
          </w:tcPr>
          <w:p>
            <w:pPr>
              <w:spacing w:after="0" w:line="240" w:lineRule="auto"/>
              <w:jc w:val="center"/>
            </w:pPr>
            <w:r/>
            <w:r>
              <w:rPr>
                <w:color w:val="232D34"/>
                <w:sz w:val="16"/>
              </w:rPr>
              <w:t>Amazon / OpenAI / Anthropic</w:t>
            </w:r>
          </w:p>
        </w:tc>
        <w:tc>
          <w:tcPr>
            <w:tcW w:type="dxa" w:w="4608"/>
            <w:vAlign w:val="center"/>
            <w:tcMar>
              <w:top w:w="90" w:type="dxa"/>
              <w:start w:w="100" w:type="dxa"/>
              <w:bottom w:w="90" w:type="dxa"/>
              <w:end w:w="100" w:type="dxa"/>
            </w:tcMar>
          </w:tcPr>
          <w:p>
            <w:pPr>
              <w:spacing w:after="0" w:line="240" w:lineRule="auto"/>
            </w:pPr>
            <w:r/>
            <w:r>
              <w:rPr>
                <w:color w:val="232D34"/>
                <w:sz w:val="16"/>
              </w:rPr>
              <w:t>Capital investment, cloud purchases, backlog and private-company marks interact.</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Most visible wealth-product liquidity mismatch</w:t>
            </w:r>
          </w:p>
        </w:tc>
        <w:tc>
          <w:tcPr>
            <w:tcW w:type="dxa" w:w="3168"/>
            <w:vAlign w:val="center"/>
            <w:tcMar>
              <w:top w:w="90" w:type="dxa"/>
              <w:start w:w="100" w:type="dxa"/>
              <w:bottom w:w="90" w:type="dxa"/>
              <w:end w:w="100" w:type="dxa"/>
            </w:tcMar>
            <w:shd w:fill="F5F7F8"/>
          </w:tcPr>
          <w:p>
            <w:pPr>
              <w:spacing w:after="0" w:line="240" w:lineRule="auto"/>
            </w:pPr>
            <w:r/>
            <w:r>
              <w:rPr>
                <w:color w:val="232D34"/>
                <w:sz w:val="16"/>
              </w:rPr>
              <w:t>Blue Owl OTIC and OCIC; BCRED; Apollo ADS</w:t>
            </w:r>
          </w:p>
        </w:tc>
        <w:tc>
          <w:tcPr>
            <w:tcW w:type="dxa" w:w="4608"/>
            <w:vAlign w:val="center"/>
            <w:tcMar>
              <w:top w:w="90" w:type="dxa"/>
              <w:start w:w="100" w:type="dxa"/>
              <w:bottom w:w="90" w:type="dxa"/>
              <w:end w:w="100" w:type="dxa"/>
            </w:tcMar>
            <w:shd w:fill="F5F7F8"/>
          </w:tcPr>
          <w:p>
            <w:pPr>
              <w:spacing w:after="0" w:line="240" w:lineRule="auto"/>
            </w:pPr>
            <w:r/>
            <w:r>
              <w:rPr>
                <w:color w:val="232D34"/>
                <w:sz w:val="16"/>
              </w:rPr>
              <w:t>Requests substantially exceed quarterly repurchase limits.</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Clearest lender-to-owner software workout</w:t>
            </w:r>
          </w:p>
        </w:tc>
        <w:tc>
          <w:tcPr>
            <w:tcW w:type="dxa" w:w="3168"/>
            <w:vAlign w:val="center"/>
            <w:tcMar>
              <w:top w:w="90" w:type="dxa"/>
              <w:start w:w="100" w:type="dxa"/>
              <w:bottom w:w="90" w:type="dxa"/>
              <w:end w:w="100" w:type="dxa"/>
            </w:tcMar>
          </w:tcPr>
          <w:p>
            <w:pPr>
              <w:spacing w:after="0" w:line="240" w:lineRule="auto"/>
              <w:jc w:val="center"/>
            </w:pPr>
            <w:r/>
            <w:r>
              <w:rPr>
                <w:color w:val="232D34"/>
                <w:sz w:val="16"/>
              </w:rPr>
              <w:t>Medallia</w:t>
            </w:r>
          </w:p>
        </w:tc>
        <w:tc>
          <w:tcPr>
            <w:tcW w:type="dxa" w:w="4608"/>
            <w:vAlign w:val="center"/>
            <w:tcMar>
              <w:top w:w="90" w:type="dxa"/>
              <w:start w:w="100" w:type="dxa"/>
              <w:bottom w:w="90" w:type="dxa"/>
              <w:end w:w="100" w:type="dxa"/>
            </w:tcMar>
          </w:tcPr>
          <w:p>
            <w:pPr>
              <w:spacing w:after="0" w:line="240" w:lineRule="auto"/>
            </w:pPr>
            <w:r/>
            <w:r>
              <w:rPr>
                <w:color w:val="232D34"/>
                <w:sz w:val="16"/>
              </w:rPr>
              <w:t>Sponsor loses control; lenders reduce debt and inject new money.</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Clearest public hedge-fund deleveraging event</w:t>
            </w:r>
          </w:p>
        </w:tc>
        <w:tc>
          <w:tcPr>
            <w:tcW w:type="dxa" w:w="3168"/>
            <w:vAlign w:val="center"/>
            <w:tcMar>
              <w:top w:w="90" w:type="dxa"/>
              <w:start w:w="100" w:type="dxa"/>
              <w:bottom w:w="90" w:type="dxa"/>
              <w:end w:w="100" w:type="dxa"/>
            </w:tcMar>
            <w:shd w:fill="F5F7F8"/>
          </w:tcPr>
          <w:p>
            <w:pPr>
              <w:spacing w:after="0" w:line="240" w:lineRule="auto"/>
              <w:jc w:val="center"/>
            </w:pPr>
            <w:r/>
            <w:r>
              <w:rPr>
                <w:color w:val="232D34"/>
                <w:sz w:val="16"/>
              </w:rPr>
              <w:t>Situational Awareness</w:t>
            </w:r>
          </w:p>
        </w:tc>
        <w:tc>
          <w:tcPr>
            <w:tcW w:type="dxa" w:w="4608"/>
            <w:vAlign w:val="center"/>
            <w:tcMar>
              <w:top w:w="90" w:type="dxa"/>
              <w:start w:w="100" w:type="dxa"/>
              <w:bottom w:w="90" w:type="dxa"/>
              <w:end w:w="100" w:type="dxa"/>
            </w:tcMar>
            <w:shd w:fill="F5F7F8"/>
          </w:tcPr>
          <w:p>
            <w:pPr>
              <w:spacing w:after="0" w:line="240" w:lineRule="auto"/>
            </w:pPr>
            <w:r/>
            <w:r>
              <w:rPr>
                <w:color w:val="232D34"/>
                <w:sz w:val="16"/>
              </w:rPr>
              <w:t>Public book transferred to Citadel after reported losses.</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Clearest collateral-verification failure</w:t>
            </w:r>
          </w:p>
        </w:tc>
        <w:tc>
          <w:tcPr>
            <w:tcW w:type="dxa" w:w="3168"/>
            <w:vAlign w:val="center"/>
            <w:tcMar>
              <w:top w:w="90" w:type="dxa"/>
              <w:start w:w="100" w:type="dxa"/>
              <w:bottom w:w="90" w:type="dxa"/>
              <w:end w:w="100" w:type="dxa"/>
            </w:tcMar>
          </w:tcPr>
          <w:p>
            <w:pPr>
              <w:spacing w:after="0" w:line="240" w:lineRule="auto"/>
              <w:jc w:val="center"/>
            </w:pPr>
            <w:r/>
            <w:r>
              <w:rPr>
                <w:color w:val="232D34"/>
                <w:sz w:val="16"/>
              </w:rPr>
              <w:t>Point Bonita / First Brands</w:t>
            </w:r>
          </w:p>
        </w:tc>
        <w:tc>
          <w:tcPr>
            <w:tcW w:type="dxa" w:w="4608"/>
            <w:vAlign w:val="center"/>
            <w:tcMar>
              <w:top w:w="90" w:type="dxa"/>
              <w:start w:w="100" w:type="dxa"/>
              <w:bottom w:w="90" w:type="dxa"/>
              <w:end w:w="100" w:type="dxa"/>
            </w:tcMar>
          </w:tcPr>
          <w:p>
            <w:pPr>
              <w:spacing w:after="0" w:line="240" w:lineRule="auto"/>
            </w:pPr>
            <w:r/>
            <w:r>
              <w:rPr>
                <w:color w:val="232D34"/>
                <w:sz w:val="16"/>
              </w:rPr>
              <w:t>Receivable validity and uniqueness, not merely borrower credit, drive loss.</w:t>
            </w:r>
          </w:p>
        </w:tc>
      </w:tr>
    </w:tbl>
    <w:p>
      <w:pPr>
        <w:spacing w:after="20"/>
      </w:pPr>
    </w:p>
    <w:p>
      <w:pPr>
        <w:pStyle w:val="Heading2"/>
        <w:keepNext/>
      </w:pPr>
      <w:r>
        <w:t>Forward filing checklist</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5083"/>
        <w:gridCol w:w="5083"/>
      </w:tblGrid>
      <w:tr>
        <w:trPr>
          <w:tblHeader w:val="true"/>
        </w:trPr>
        <w:tc>
          <w:tcPr>
            <w:tcW w:type="dxa" w:w="2448"/>
            <w:shd w:fill="17324D"/>
            <w:vAlign w:val="center"/>
            <w:tcMar>
              <w:top w:w="100" w:type="dxa"/>
              <w:start w:w="110" w:type="dxa"/>
              <w:bottom w:w="100" w:type="dxa"/>
              <w:end w:w="110" w:type="dxa"/>
            </w:tcMar>
          </w:tcPr>
          <w:p>
            <w:pPr>
              <w:jc w:val="center"/>
            </w:pPr>
            <w:r/>
            <w:r>
              <w:rPr>
                <w:b/>
                <w:color w:val="FFFFFF"/>
                <w:sz w:val="16"/>
              </w:rPr>
              <w:t>Entity</w:t>
            </w:r>
          </w:p>
        </w:tc>
        <w:tc>
          <w:tcPr>
            <w:tcW w:type="dxa" w:w="7920"/>
            <w:shd w:fill="17324D"/>
            <w:vAlign w:val="center"/>
            <w:tcMar>
              <w:top w:w="100" w:type="dxa"/>
              <w:start w:w="110" w:type="dxa"/>
              <w:bottom w:w="100" w:type="dxa"/>
              <w:end w:w="110" w:type="dxa"/>
            </w:tcMar>
          </w:tcPr>
          <w:p>
            <w:pPr>
              <w:jc w:val="center"/>
            </w:pPr>
            <w:r/>
            <w:r>
              <w:rPr>
                <w:b/>
                <w:color w:val="FFFFFF"/>
                <w:sz w:val="16"/>
              </w:rPr>
              <w:t>Next data to extract</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Airtable / Bending Spoons</w:t>
            </w:r>
          </w:p>
        </w:tc>
        <w:tc>
          <w:tcPr>
            <w:tcW w:type="dxa" w:w="7920"/>
            <w:vAlign w:val="center"/>
            <w:tcMar>
              <w:top w:w="90" w:type="dxa"/>
              <w:start w:w="100" w:type="dxa"/>
              <w:bottom w:w="90" w:type="dxa"/>
              <w:end w:w="100" w:type="dxa"/>
            </w:tcMar>
          </w:tcPr>
          <w:p>
            <w:pPr>
              <w:spacing w:after="0" w:line="240" w:lineRule="auto"/>
            </w:pPr>
            <w:r/>
            <w:r>
              <w:rPr>
                <w:color w:val="232D34"/>
                <w:sz w:val="16"/>
              </w:rPr>
              <w:t>Purchase accounting; goodwill; debt bridge; target cash used; restructuring reserve; pro forma leverage</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Situational Awareness / Citadel</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Any amended 13F; ADV assets; investor letters; litigation; counterparty disclosures; retained private holdings</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Blue Owl / Blackstone / Apollo</w:t>
            </w:r>
          </w:p>
        </w:tc>
        <w:tc>
          <w:tcPr>
            <w:tcW w:type="dxa" w:w="7920"/>
            <w:vAlign w:val="center"/>
            <w:tcMar>
              <w:top w:w="90" w:type="dxa"/>
              <w:start w:w="100" w:type="dxa"/>
              <w:bottom w:w="90" w:type="dxa"/>
              <w:end w:w="100" w:type="dxa"/>
            </w:tcMar>
          </w:tcPr>
          <w:p>
            <w:pPr>
              <w:spacing w:after="0" w:line="240" w:lineRule="auto"/>
            </w:pPr>
            <w:r/>
            <w:r>
              <w:rPr>
                <w:color w:val="232D34"/>
                <w:sz w:val="16"/>
              </w:rPr>
              <w:t>Q3 tender percentages; subscriptions; nonaccruals; PIK income; realized losses; financing facilities</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Meta</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Lease commencements; ROU assets/liabilities; JV distributions; residual-value guarantee measurement; external customer revenue</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Alphabet</w:t>
            </w:r>
          </w:p>
        </w:tc>
        <w:tc>
          <w:tcPr>
            <w:tcW w:type="dxa" w:w="7920"/>
            <w:vAlign w:val="center"/>
            <w:tcMar>
              <w:top w:w="90" w:type="dxa"/>
              <w:start w:w="100" w:type="dxa"/>
              <w:bottom w:w="90" w:type="dxa"/>
              <w:end w:w="100" w:type="dxa"/>
            </w:tcMar>
          </w:tcPr>
          <w:p>
            <w:pPr>
              <w:spacing w:after="0" w:line="240" w:lineRule="auto"/>
            </w:pPr>
            <w:r/>
            <w:r>
              <w:rPr>
                <w:color w:val="232D34"/>
                <w:sz w:val="16"/>
              </w:rPr>
              <w:t>Final $24.1B backstop agreement; $20B contingent investment; credit-derivative fair value; Anthropic exposure</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Amazon</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Q2 commitment schedule; OpenAI remaining commitment; Anthropic carrying value; nonoperating gains; AWS concentration</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Oracle</w:t>
            </w:r>
          </w:p>
        </w:tc>
        <w:tc>
          <w:tcPr>
            <w:tcW w:type="dxa" w:w="7920"/>
            <w:vAlign w:val="center"/>
            <w:tcMar>
              <w:top w:w="90" w:type="dxa"/>
              <w:start w:w="100" w:type="dxa"/>
              <w:bottom w:w="90" w:type="dxa"/>
              <w:end w:w="100" w:type="dxa"/>
            </w:tcMar>
          </w:tcPr>
          <w:p>
            <w:pPr>
              <w:spacing w:after="0" w:line="240" w:lineRule="auto"/>
            </w:pPr>
            <w:r/>
            <w:r>
              <w:rPr>
                <w:color w:val="232D34"/>
                <w:sz w:val="16"/>
              </w:rPr>
              <w:t>FY2027 financing split; bond coupons; ATM issuance; OpenAI-related capex; customer prepayments; RPO conversion</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Microsoft</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FY2026 10-K uncommenced leases; finance lease additions; cash PP&amp;E vs capex; Azure capacity constraints</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CoreWeave</w:t>
            </w:r>
          </w:p>
        </w:tc>
        <w:tc>
          <w:tcPr>
            <w:tcW w:type="dxa" w:w="7920"/>
            <w:vAlign w:val="center"/>
            <w:tcMar>
              <w:top w:w="90" w:type="dxa"/>
              <w:start w:w="100" w:type="dxa"/>
              <w:bottom w:w="90" w:type="dxa"/>
              <w:end w:w="100" w:type="dxa"/>
            </w:tcMar>
          </w:tcPr>
          <w:p>
            <w:pPr>
              <w:spacing w:after="0" w:line="240" w:lineRule="auto"/>
            </w:pPr>
            <w:r/>
            <w:r>
              <w:rPr>
                <w:color w:val="232D34"/>
                <w:sz w:val="16"/>
              </w:rPr>
              <w:t>Debt maturities; collateral pools; lockboxes; customer concentration; capex and cash interest coverage</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Jefferies</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Point Bonita wind-down; recoveries; litigation reserves; invoice testing; remaining trade-finance exposure</w:t>
            </w:r>
          </w:p>
        </w:tc>
      </w:tr>
    </w:tbl>
    <w:p>
      <w:pPr>
        <w:spacing w:after="20"/>
      </w:pPr>
    </w:p>
    <w:p>
      <w:pPr>
        <w:pStyle w:val="Heading1"/>
        <w:keepNext/>
      </w:pPr>
      <w:r>
        <w:t>10. Numerical appendix</w:t>
      </w:r>
    </w:p>
    <w:p>
      <w:pPr>
        <w:pStyle w:val="Heading2"/>
        <w:keepNext/>
      </w:pPr>
      <w:r>
        <w:t>10.1 Derived calculations</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3671"/>
            <w:shd w:fill="17324D"/>
            <w:vAlign w:val="center"/>
            <w:tcMar>
              <w:top w:w="100" w:type="dxa"/>
              <w:start w:w="110" w:type="dxa"/>
              <w:bottom w:w="100" w:type="dxa"/>
              <w:end w:w="110" w:type="dxa"/>
            </w:tcMar>
          </w:tcPr>
          <w:p>
            <w:pPr>
              <w:jc w:val="center"/>
            </w:pPr>
            <w:r/>
            <w:r>
              <w:rPr>
                <w:b/>
                <w:color w:val="FFFFFF"/>
                <w:sz w:val="16"/>
              </w:rPr>
              <w:t>Calculation</w:t>
            </w:r>
          </w:p>
        </w:tc>
        <w:tc>
          <w:tcPr>
            <w:tcW w:type="dxa" w:w="4104"/>
            <w:shd w:fill="17324D"/>
            <w:vAlign w:val="center"/>
            <w:tcMar>
              <w:top w:w="100" w:type="dxa"/>
              <w:start w:w="110" w:type="dxa"/>
              <w:bottom w:w="100" w:type="dxa"/>
              <w:end w:w="110" w:type="dxa"/>
            </w:tcMar>
          </w:tcPr>
          <w:p>
            <w:pPr>
              <w:jc w:val="center"/>
            </w:pPr>
            <w:r/>
            <w:r>
              <w:rPr>
                <w:b/>
                <w:color w:val="FFFFFF"/>
                <w:sz w:val="16"/>
              </w:rPr>
              <w:t>Formula</w:t>
            </w:r>
          </w:p>
        </w:tc>
        <w:tc>
          <w:tcPr>
            <w:tcW w:type="dxa" w:w="2592"/>
            <w:shd w:fill="17324D"/>
            <w:vAlign w:val="center"/>
            <w:tcMar>
              <w:top w:w="100" w:type="dxa"/>
              <w:start w:w="110" w:type="dxa"/>
              <w:bottom w:w="100" w:type="dxa"/>
              <w:end w:w="110" w:type="dxa"/>
            </w:tcMar>
          </w:tcPr>
          <w:p>
            <w:pPr>
              <w:jc w:val="center"/>
            </w:pPr>
            <w:r/>
            <w:r>
              <w:rPr>
                <w:b/>
                <w:color w:val="FFFFFF"/>
                <w:sz w:val="16"/>
              </w:rPr>
              <w:t>Result</w:t>
            </w:r>
          </w:p>
        </w:tc>
      </w:tr>
      <w:tr>
        <w:trPr>
          <w:cantSplit/>
        </w:trPr>
        <w:tc>
          <w:tcPr>
            <w:tcW w:type="dxa" w:w="3671"/>
            <w:vAlign w:val="center"/>
            <w:tcMar>
              <w:top w:w="90" w:type="dxa"/>
              <w:start w:w="100" w:type="dxa"/>
              <w:bottom w:w="90" w:type="dxa"/>
              <w:end w:w="100" w:type="dxa"/>
            </w:tcMar>
          </w:tcPr>
          <w:p>
            <w:pPr>
              <w:spacing w:after="0" w:line="240" w:lineRule="auto"/>
            </w:pPr>
            <w:r/>
            <w:r>
              <w:rPr>
                <w:color w:val="232D34"/>
                <w:sz w:val="16"/>
              </w:rPr>
              <w:t>Airtable implied net cash</w:t>
            </w:r>
          </w:p>
        </w:tc>
        <w:tc>
          <w:tcPr>
            <w:tcW w:type="dxa" w:w="4104"/>
            <w:vAlign w:val="center"/>
            <w:tcMar>
              <w:top w:w="90" w:type="dxa"/>
              <w:start w:w="100" w:type="dxa"/>
              <w:bottom w:w="90" w:type="dxa"/>
              <w:end w:w="100" w:type="dxa"/>
            </w:tcMar>
          </w:tcPr>
          <w:p>
            <w:pPr>
              <w:spacing w:after="0" w:line="240" w:lineRule="auto"/>
              <w:jc w:val="center"/>
            </w:pPr>
            <w:r/>
            <w:r>
              <w:rPr>
                <w:color w:val="232D34"/>
                <w:sz w:val="16"/>
              </w:rPr>
              <w:t>$2.250B - $1.285B</w:t>
            </w:r>
          </w:p>
        </w:tc>
        <w:tc>
          <w:tcPr>
            <w:tcW w:type="dxa" w:w="2592"/>
            <w:vAlign w:val="center"/>
            <w:tcMar>
              <w:top w:w="90" w:type="dxa"/>
              <w:start w:w="100" w:type="dxa"/>
              <w:bottom w:w="90" w:type="dxa"/>
              <w:end w:w="100" w:type="dxa"/>
            </w:tcMar>
          </w:tcPr>
          <w:p>
            <w:pPr>
              <w:spacing w:after="0" w:line="240" w:lineRule="auto"/>
              <w:jc w:val="center"/>
            </w:pPr>
            <w:r/>
            <w:r>
              <w:rPr>
                <w:color w:val="232D34"/>
                <w:sz w:val="16"/>
              </w:rPr>
              <w:t>$0.965B</w:t>
            </w:r>
          </w:p>
        </w:tc>
      </w:tr>
      <w:tr>
        <w:trPr>
          <w:cantSplit/>
        </w:trPr>
        <w:tc>
          <w:tcPr>
            <w:tcW w:type="dxa" w:w="3671"/>
            <w:vAlign w:val="center"/>
            <w:tcMar>
              <w:top w:w="90" w:type="dxa"/>
              <w:start w:w="100" w:type="dxa"/>
              <w:bottom w:w="90" w:type="dxa"/>
              <w:end w:w="100" w:type="dxa"/>
            </w:tcMar>
            <w:shd w:fill="F5F7F8"/>
          </w:tcPr>
          <w:p>
            <w:pPr>
              <w:spacing w:after="0" w:line="240" w:lineRule="auto"/>
            </w:pPr>
            <w:r/>
            <w:r>
              <w:rPr>
                <w:color w:val="232D34"/>
                <w:sz w:val="16"/>
              </w:rPr>
              <w:t>Airtable equity-value decline</w:t>
            </w:r>
          </w:p>
        </w:tc>
        <w:tc>
          <w:tcPr>
            <w:tcW w:type="dxa" w:w="4104"/>
            <w:vAlign w:val="center"/>
            <w:tcMar>
              <w:top w:w="90" w:type="dxa"/>
              <w:start w:w="100" w:type="dxa"/>
              <w:bottom w:w="90" w:type="dxa"/>
              <w:end w:w="100" w:type="dxa"/>
            </w:tcMar>
            <w:shd w:fill="F5F7F8"/>
          </w:tcPr>
          <w:p>
            <w:pPr>
              <w:spacing w:after="0" w:line="240" w:lineRule="auto"/>
              <w:jc w:val="center"/>
            </w:pPr>
            <w:r/>
            <w:r>
              <w:rPr>
                <w:color w:val="232D34"/>
                <w:sz w:val="16"/>
              </w:rPr>
              <w:t>$11.735B - $2.250B</w:t>
            </w:r>
          </w:p>
        </w:tc>
        <w:tc>
          <w:tcPr>
            <w:tcW w:type="dxa" w:w="2592"/>
            <w:vAlign w:val="center"/>
            <w:tcMar>
              <w:top w:w="90" w:type="dxa"/>
              <w:start w:w="100" w:type="dxa"/>
              <w:bottom w:w="90" w:type="dxa"/>
              <w:end w:w="100" w:type="dxa"/>
            </w:tcMar>
            <w:shd w:fill="F5F7F8"/>
          </w:tcPr>
          <w:p>
            <w:pPr>
              <w:spacing w:after="0" w:line="240" w:lineRule="auto"/>
              <w:jc w:val="center"/>
            </w:pPr>
            <w:r/>
            <w:r>
              <w:rPr>
                <w:color w:val="232D34"/>
                <w:sz w:val="16"/>
              </w:rPr>
              <w:t>$9.485B</w:t>
            </w:r>
          </w:p>
        </w:tc>
      </w:tr>
      <w:tr>
        <w:trPr>
          <w:cantSplit/>
        </w:trPr>
        <w:tc>
          <w:tcPr>
            <w:tcW w:type="dxa" w:w="3671"/>
            <w:vAlign w:val="center"/>
            <w:tcMar>
              <w:top w:w="90" w:type="dxa"/>
              <w:start w:w="100" w:type="dxa"/>
              <w:bottom w:w="90" w:type="dxa"/>
              <w:end w:w="100" w:type="dxa"/>
            </w:tcMar>
          </w:tcPr>
          <w:p>
            <w:pPr>
              <w:spacing w:after="0" w:line="240" w:lineRule="auto"/>
            </w:pPr>
            <w:r/>
            <w:r>
              <w:rPr>
                <w:color w:val="232D34"/>
                <w:sz w:val="16"/>
              </w:rPr>
              <w:t>Airtable equity percentage decline</w:t>
            </w:r>
          </w:p>
        </w:tc>
        <w:tc>
          <w:tcPr>
            <w:tcW w:type="dxa" w:w="4104"/>
            <w:vAlign w:val="center"/>
            <w:tcMar>
              <w:top w:w="90" w:type="dxa"/>
              <w:start w:w="100" w:type="dxa"/>
              <w:bottom w:w="90" w:type="dxa"/>
              <w:end w:w="100" w:type="dxa"/>
            </w:tcMar>
          </w:tcPr>
          <w:p>
            <w:pPr>
              <w:spacing w:after="0" w:line="240" w:lineRule="auto"/>
              <w:jc w:val="center"/>
            </w:pPr>
            <w:r/>
            <w:r>
              <w:rPr>
                <w:color w:val="232D34"/>
                <w:sz w:val="16"/>
              </w:rPr>
              <w:t>$9.485B / $11.735B</w:t>
            </w:r>
          </w:p>
        </w:tc>
        <w:tc>
          <w:tcPr>
            <w:tcW w:type="dxa" w:w="2592"/>
            <w:vAlign w:val="center"/>
            <w:tcMar>
              <w:top w:w="90" w:type="dxa"/>
              <w:start w:w="100" w:type="dxa"/>
              <w:bottom w:w="90" w:type="dxa"/>
              <w:end w:w="100" w:type="dxa"/>
            </w:tcMar>
          </w:tcPr>
          <w:p>
            <w:pPr>
              <w:spacing w:after="0" w:line="240" w:lineRule="auto"/>
              <w:jc w:val="center"/>
            </w:pPr>
            <w:r/>
            <w:r>
              <w:rPr>
                <w:color w:val="232D34"/>
                <w:sz w:val="16"/>
              </w:rPr>
              <w:t>80.83%</w:t>
            </w:r>
          </w:p>
        </w:tc>
      </w:tr>
      <w:tr>
        <w:trPr>
          <w:cantSplit/>
        </w:trPr>
        <w:tc>
          <w:tcPr>
            <w:tcW w:type="dxa" w:w="3671"/>
            <w:vAlign w:val="center"/>
            <w:tcMar>
              <w:top w:w="90" w:type="dxa"/>
              <w:start w:w="100" w:type="dxa"/>
              <w:bottom w:w="90" w:type="dxa"/>
              <w:end w:w="100" w:type="dxa"/>
            </w:tcMar>
            <w:shd w:fill="F5F7F8"/>
          </w:tcPr>
          <w:p>
            <w:pPr>
              <w:spacing w:after="0" w:line="240" w:lineRule="auto"/>
            </w:pPr>
            <w:r/>
            <w:r>
              <w:rPr>
                <w:color w:val="232D34"/>
                <w:sz w:val="16"/>
              </w:rPr>
              <w:t>Airtable EV decline versus 2021 pre-money</w:t>
            </w:r>
          </w:p>
        </w:tc>
        <w:tc>
          <w:tcPr>
            <w:tcW w:type="dxa" w:w="4104"/>
            <w:vAlign w:val="center"/>
            <w:tcMar>
              <w:top w:w="90" w:type="dxa"/>
              <w:start w:w="100" w:type="dxa"/>
              <w:bottom w:w="90" w:type="dxa"/>
              <w:end w:w="100" w:type="dxa"/>
            </w:tcMar>
            <w:shd w:fill="F5F7F8"/>
          </w:tcPr>
          <w:p>
            <w:pPr>
              <w:spacing w:after="0" w:line="240" w:lineRule="auto"/>
              <w:jc w:val="center"/>
            </w:pPr>
            <w:r/>
            <w:r>
              <w:rPr>
                <w:color w:val="232D34"/>
                <w:sz w:val="16"/>
              </w:rPr>
              <w:t>$11.0B - $1.285B</w:t>
            </w:r>
          </w:p>
        </w:tc>
        <w:tc>
          <w:tcPr>
            <w:tcW w:type="dxa" w:w="2592"/>
            <w:vAlign w:val="center"/>
            <w:tcMar>
              <w:top w:w="90" w:type="dxa"/>
              <w:start w:w="100" w:type="dxa"/>
              <w:bottom w:w="90" w:type="dxa"/>
              <w:end w:w="100" w:type="dxa"/>
            </w:tcMar>
            <w:shd w:fill="F5F7F8"/>
          </w:tcPr>
          <w:p>
            <w:pPr>
              <w:spacing w:after="0" w:line="240" w:lineRule="auto"/>
              <w:jc w:val="center"/>
            </w:pPr>
            <w:r/>
            <w:r>
              <w:rPr>
                <w:color w:val="232D34"/>
                <w:sz w:val="16"/>
              </w:rPr>
              <w:t>$9.715B / 88.32%</w:t>
            </w:r>
          </w:p>
        </w:tc>
      </w:tr>
      <w:tr>
        <w:trPr>
          <w:cantSplit/>
        </w:trPr>
        <w:tc>
          <w:tcPr>
            <w:tcW w:type="dxa" w:w="3671"/>
            <w:vAlign w:val="center"/>
            <w:tcMar>
              <w:top w:w="90" w:type="dxa"/>
              <w:start w:w="100" w:type="dxa"/>
              <w:bottom w:w="90" w:type="dxa"/>
              <w:end w:w="100" w:type="dxa"/>
            </w:tcMar>
          </w:tcPr>
          <w:p>
            <w:pPr>
              <w:spacing w:after="0" w:line="240" w:lineRule="auto"/>
            </w:pPr>
            <w:r/>
            <w:r>
              <w:rPr>
                <w:color w:val="232D34"/>
                <w:sz w:val="16"/>
              </w:rPr>
              <w:t>Airtable equity value / capital raised</w:t>
            </w:r>
          </w:p>
        </w:tc>
        <w:tc>
          <w:tcPr>
            <w:tcW w:type="dxa" w:w="4104"/>
            <w:vAlign w:val="center"/>
            <w:tcMar>
              <w:top w:w="90" w:type="dxa"/>
              <w:start w:w="100" w:type="dxa"/>
              <w:bottom w:w="90" w:type="dxa"/>
              <w:end w:w="100" w:type="dxa"/>
            </w:tcMar>
          </w:tcPr>
          <w:p>
            <w:pPr>
              <w:spacing w:after="0" w:line="240" w:lineRule="auto"/>
              <w:jc w:val="center"/>
            </w:pPr>
            <w:r/>
            <w:r>
              <w:rPr>
                <w:color w:val="232D34"/>
                <w:sz w:val="16"/>
              </w:rPr>
              <w:t>$2.250B / $1.360B</w:t>
            </w:r>
          </w:p>
        </w:tc>
        <w:tc>
          <w:tcPr>
            <w:tcW w:type="dxa" w:w="2592"/>
            <w:vAlign w:val="center"/>
            <w:tcMar>
              <w:top w:w="90" w:type="dxa"/>
              <w:start w:w="100" w:type="dxa"/>
              <w:bottom w:w="90" w:type="dxa"/>
              <w:end w:w="100" w:type="dxa"/>
            </w:tcMar>
          </w:tcPr>
          <w:p>
            <w:pPr>
              <w:spacing w:after="0" w:line="240" w:lineRule="auto"/>
              <w:jc w:val="center"/>
            </w:pPr>
            <w:r/>
            <w:r>
              <w:rPr>
                <w:color w:val="232D34"/>
                <w:sz w:val="16"/>
              </w:rPr>
              <w:t>1.654x</w:t>
            </w:r>
          </w:p>
        </w:tc>
      </w:tr>
      <w:tr>
        <w:trPr>
          <w:cantSplit/>
        </w:trPr>
        <w:tc>
          <w:tcPr>
            <w:tcW w:type="dxa" w:w="3671"/>
            <w:vAlign w:val="center"/>
            <w:tcMar>
              <w:top w:w="90" w:type="dxa"/>
              <w:start w:w="100" w:type="dxa"/>
              <w:bottom w:w="90" w:type="dxa"/>
              <w:end w:w="100" w:type="dxa"/>
            </w:tcMar>
            <w:shd w:fill="F5F7F8"/>
          </w:tcPr>
          <w:p>
            <w:pPr>
              <w:spacing w:after="0" w:line="240" w:lineRule="auto"/>
            </w:pPr>
            <w:r/>
            <w:r>
              <w:rPr>
                <w:color w:val="232D34"/>
                <w:sz w:val="16"/>
              </w:rPr>
              <w:t>Airtable EV / capital raised</w:t>
            </w:r>
          </w:p>
        </w:tc>
        <w:tc>
          <w:tcPr>
            <w:tcW w:type="dxa" w:w="4104"/>
            <w:vAlign w:val="center"/>
            <w:tcMar>
              <w:top w:w="90" w:type="dxa"/>
              <w:start w:w="100" w:type="dxa"/>
              <w:bottom w:w="90" w:type="dxa"/>
              <w:end w:w="100" w:type="dxa"/>
            </w:tcMar>
            <w:shd w:fill="F5F7F8"/>
          </w:tcPr>
          <w:p>
            <w:pPr>
              <w:spacing w:after="0" w:line="240" w:lineRule="auto"/>
              <w:jc w:val="center"/>
            </w:pPr>
            <w:r/>
            <w:r>
              <w:rPr>
                <w:color w:val="232D34"/>
                <w:sz w:val="16"/>
              </w:rPr>
              <w:t>$1.285B / $1.360B</w:t>
            </w:r>
          </w:p>
        </w:tc>
        <w:tc>
          <w:tcPr>
            <w:tcW w:type="dxa" w:w="2592"/>
            <w:vAlign w:val="center"/>
            <w:tcMar>
              <w:top w:w="90" w:type="dxa"/>
              <w:start w:w="100" w:type="dxa"/>
              <w:bottom w:w="90" w:type="dxa"/>
              <w:end w:w="100" w:type="dxa"/>
            </w:tcMar>
            <w:shd w:fill="F5F7F8"/>
          </w:tcPr>
          <w:p>
            <w:pPr>
              <w:spacing w:after="0" w:line="240" w:lineRule="auto"/>
              <w:jc w:val="center"/>
            </w:pPr>
            <w:r/>
            <w:r>
              <w:rPr>
                <w:color w:val="232D34"/>
                <w:sz w:val="16"/>
              </w:rPr>
              <w:t>0.945x</w:t>
            </w:r>
          </w:p>
        </w:tc>
      </w:tr>
      <w:tr>
        <w:trPr>
          <w:cantSplit/>
        </w:trPr>
        <w:tc>
          <w:tcPr>
            <w:tcW w:type="dxa" w:w="3671"/>
            <w:vAlign w:val="center"/>
            <w:tcMar>
              <w:top w:w="90" w:type="dxa"/>
              <w:start w:w="100" w:type="dxa"/>
              <w:bottom w:w="90" w:type="dxa"/>
              <w:end w:w="100" w:type="dxa"/>
            </w:tcMar>
          </w:tcPr>
          <w:p>
            <w:pPr>
              <w:spacing w:after="0" w:line="240" w:lineRule="auto"/>
            </w:pPr>
            <w:r/>
            <w:r>
              <w:rPr>
                <w:color w:val="232D34"/>
                <w:sz w:val="16"/>
              </w:rPr>
              <w:t>Airtable EV / ARR</w:t>
            </w:r>
          </w:p>
        </w:tc>
        <w:tc>
          <w:tcPr>
            <w:tcW w:type="dxa" w:w="4104"/>
            <w:vAlign w:val="center"/>
            <w:tcMar>
              <w:top w:w="90" w:type="dxa"/>
              <w:start w:w="100" w:type="dxa"/>
              <w:bottom w:w="90" w:type="dxa"/>
              <w:end w:w="100" w:type="dxa"/>
            </w:tcMar>
          </w:tcPr>
          <w:p>
            <w:pPr>
              <w:spacing w:after="0" w:line="240" w:lineRule="auto"/>
              <w:jc w:val="center"/>
            </w:pPr>
            <w:r/>
            <w:r>
              <w:rPr>
                <w:color w:val="232D34"/>
                <w:sz w:val="16"/>
              </w:rPr>
              <w:t>$1.285B / $0.480B</w:t>
            </w:r>
          </w:p>
        </w:tc>
        <w:tc>
          <w:tcPr>
            <w:tcW w:type="dxa" w:w="2592"/>
            <w:vAlign w:val="center"/>
            <w:tcMar>
              <w:top w:w="90" w:type="dxa"/>
              <w:start w:w="100" w:type="dxa"/>
              <w:bottom w:w="90" w:type="dxa"/>
              <w:end w:w="100" w:type="dxa"/>
            </w:tcMar>
          </w:tcPr>
          <w:p>
            <w:pPr>
              <w:spacing w:after="0" w:line="240" w:lineRule="auto"/>
              <w:jc w:val="center"/>
            </w:pPr>
            <w:r/>
            <w:r>
              <w:rPr>
                <w:color w:val="232D34"/>
                <w:sz w:val="16"/>
              </w:rPr>
              <w:t>2.68x</w:t>
            </w:r>
          </w:p>
        </w:tc>
      </w:tr>
      <w:tr>
        <w:trPr>
          <w:cantSplit/>
        </w:trPr>
        <w:tc>
          <w:tcPr>
            <w:tcW w:type="dxa" w:w="3671"/>
            <w:vAlign w:val="center"/>
            <w:tcMar>
              <w:top w:w="90" w:type="dxa"/>
              <w:start w:w="100" w:type="dxa"/>
              <w:bottom w:w="90" w:type="dxa"/>
              <w:end w:w="100" w:type="dxa"/>
            </w:tcMar>
            <w:shd w:fill="F5F7F8"/>
          </w:tcPr>
          <w:p>
            <w:pPr>
              <w:spacing w:after="0" w:line="240" w:lineRule="auto"/>
            </w:pPr>
            <w:r/>
            <w:r>
              <w:rPr>
                <w:color w:val="232D34"/>
                <w:sz w:val="16"/>
              </w:rPr>
              <w:t>SA puts share</w:t>
            </w:r>
          </w:p>
        </w:tc>
        <w:tc>
          <w:tcPr>
            <w:tcW w:type="dxa" w:w="4104"/>
            <w:vAlign w:val="center"/>
            <w:tcMar>
              <w:top w:w="90" w:type="dxa"/>
              <w:start w:w="100" w:type="dxa"/>
              <w:bottom w:w="90" w:type="dxa"/>
              <w:end w:w="100" w:type="dxa"/>
            </w:tcMar>
            <w:shd w:fill="F5F7F8"/>
          </w:tcPr>
          <w:p>
            <w:pPr>
              <w:spacing w:after="0" w:line="240" w:lineRule="auto"/>
              <w:jc w:val="center"/>
            </w:pPr>
            <w:r/>
            <w:r>
              <w:rPr>
                <w:color w:val="232D34"/>
                <w:sz w:val="16"/>
              </w:rPr>
              <w:t>$8.459B / $13.6767B</w:t>
            </w:r>
          </w:p>
        </w:tc>
        <w:tc>
          <w:tcPr>
            <w:tcW w:type="dxa" w:w="2592"/>
            <w:vAlign w:val="center"/>
            <w:tcMar>
              <w:top w:w="90" w:type="dxa"/>
              <w:start w:w="100" w:type="dxa"/>
              <w:bottom w:w="90" w:type="dxa"/>
              <w:end w:w="100" w:type="dxa"/>
            </w:tcMar>
            <w:shd w:fill="F5F7F8"/>
          </w:tcPr>
          <w:p>
            <w:pPr>
              <w:spacing w:after="0" w:line="240" w:lineRule="auto"/>
              <w:jc w:val="center"/>
            </w:pPr>
            <w:r/>
            <w:r>
              <w:rPr>
                <w:color w:val="232D34"/>
                <w:sz w:val="16"/>
              </w:rPr>
              <w:t>61.85%</w:t>
            </w:r>
          </w:p>
        </w:tc>
      </w:tr>
      <w:tr>
        <w:trPr>
          <w:cantSplit/>
        </w:trPr>
        <w:tc>
          <w:tcPr>
            <w:tcW w:type="dxa" w:w="3671"/>
            <w:vAlign w:val="center"/>
            <w:tcMar>
              <w:top w:w="90" w:type="dxa"/>
              <w:start w:w="100" w:type="dxa"/>
              <w:bottom w:w="90" w:type="dxa"/>
              <w:end w:w="100" w:type="dxa"/>
            </w:tcMar>
          </w:tcPr>
          <w:p>
            <w:pPr>
              <w:spacing w:after="0" w:line="240" w:lineRule="auto"/>
            </w:pPr>
            <w:r/>
            <w:r>
              <w:rPr>
                <w:color w:val="232D34"/>
                <w:sz w:val="16"/>
              </w:rPr>
              <w:t>SA common share</w:t>
            </w:r>
          </w:p>
        </w:tc>
        <w:tc>
          <w:tcPr>
            <w:tcW w:type="dxa" w:w="4104"/>
            <w:vAlign w:val="center"/>
            <w:tcMar>
              <w:top w:w="90" w:type="dxa"/>
              <w:start w:w="100" w:type="dxa"/>
              <w:bottom w:w="90" w:type="dxa"/>
              <w:end w:w="100" w:type="dxa"/>
            </w:tcMar>
          </w:tcPr>
          <w:p>
            <w:pPr>
              <w:spacing w:after="0" w:line="240" w:lineRule="auto"/>
              <w:jc w:val="center"/>
            </w:pPr>
            <w:r/>
            <w:r>
              <w:rPr>
                <w:color w:val="232D34"/>
                <w:sz w:val="16"/>
              </w:rPr>
              <w:t>$3.8559B / $13.6767B</w:t>
            </w:r>
          </w:p>
        </w:tc>
        <w:tc>
          <w:tcPr>
            <w:tcW w:type="dxa" w:w="2592"/>
            <w:vAlign w:val="center"/>
            <w:tcMar>
              <w:top w:w="90" w:type="dxa"/>
              <w:start w:w="100" w:type="dxa"/>
              <w:bottom w:w="90" w:type="dxa"/>
              <w:end w:w="100" w:type="dxa"/>
            </w:tcMar>
          </w:tcPr>
          <w:p>
            <w:pPr>
              <w:spacing w:after="0" w:line="240" w:lineRule="auto"/>
              <w:jc w:val="center"/>
            </w:pPr>
            <w:r/>
            <w:r>
              <w:rPr>
                <w:color w:val="232D34"/>
                <w:sz w:val="16"/>
              </w:rPr>
              <w:t>28.19%</w:t>
            </w:r>
          </w:p>
        </w:tc>
      </w:tr>
      <w:tr>
        <w:trPr>
          <w:cantSplit/>
        </w:trPr>
        <w:tc>
          <w:tcPr>
            <w:tcW w:type="dxa" w:w="3671"/>
            <w:vAlign w:val="center"/>
            <w:tcMar>
              <w:top w:w="90" w:type="dxa"/>
              <w:start w:w="100" w:type="dxa"/>
              <w:bottom w:w="90" w:type="dxa"/>
              <w:end w:w="100" w:type="dxa"/>
            </w:tcMar>
            <w:shd w:fill="F5F7F8"/>
          </w:tcPr>
          <w:p>
            <w:pPr>
              <w:spacing w:after="0" w:line="240" w:lineRule="auto"/>
            </w:pPr>
            <w:r/>
            <w:r>
              <w:rPr>
                <w:color w:val="232D34"/>
                <w:sz w:val="16"/>
              </w:rPr>
              <w:t>SA calls share</w:t>
            </w:r>
          </w:p>
        </w:tc>
        <w:tc>
          <w:tcPr>
            <w:tcW w:type="dxa" w:w="4104"/>
            <w:vAlign w:val="center"/>
            <w:tcMar>
              <w:top w:w="90" w:type="dxa"/>
              <w:start w:w="100" w:type="dxa"/>
              <w:bottom w:w="90" w:type="dxa"/>
              <w:end w:w="100" w:type="dxa"/>
            </w:tcMar>
            <w:shd w:fill="F5F7F8"/>
          </w:tcPr>
          <w:p>
            <w:pPr>
              <w:spacing w:after="0" w:line="240" w:lineRule="auto"/>
              <w:jc w:val="center"/>
            </w:pPr>
            <w:r/>
            <w:r>
              <w:rPr>
                <w:color w:val="232D34"/>
                <w:sz w:val="16"/>
              </w:rPr>
              <w:t>$1.3618B / $13.6767B</w:t>
            </w:r>
          </w:p>
        </w:tc>
        <w:tc>
          <w:tcPr>
            <w:tcW w:type="dxa" w:w="2592"/>
            <w:vAlign w:val="center"/>
            <w:tcMar>
              <w:top w:w="90" w:type="dxa"/>
              <w:start w:w="100" w:type="dxa"/>
              <w:bottom w:w="90" w:type="dxa"/>
              <w:end w:w="100" w:type="dxa"/>
            </w:tcMar>
            <w:shd w:fill="F5F7F8"/>
          </w:tcPr>
          <w:p>
            <w:pPr>
              <w:spacing w:after="0" w:line="240" w:lineRule="auto"/>
              <w:jc w:val="center"/>
            </w:pPr>
            <w:r/>
            <w:r>
              <w:rPr>
                <w:color w:val="232D34"/>
                <w:sz w:val="16"/>
              </w:rPr>
              <w:t>9.96%</w:t>
            </w:r>
          </w:p>
        </w:tc>
      </w:tr>
      <w:tr>
        <w:trPr>
          <w:cantSplit/>
        </w:trPr>
        <w:tc>
          <w:tcPr>
            <w:tcW w:type="dxa" w:w="3671"/>
            <w:vAlign w:val="center"/>
            <w:tcMar>
              <w:top w:w="90" w:type="dxa"/>
              <w:start w:w="100" w:type="dxa"/>
              <w:bottom w:w="90" w:type="dxa"/>
              <w:end w:w="100" w:type="dxa"/>
            </w:tcMar>
          </w:tcPr>
          <w:p>
            <w:pPr>
              <w:spacing w:after="0" w:line="240" w:lineRule="auto"/>
            </w:pPr>
            <w:r/>
            <w:r>
              <w:rPr>
                <w:color w:val="232D34"/>
                <w:sz w:val="16"/>
              </w:rPr>
              <w:t>Private-credit unmet Q2 requests</w:t>
            </w:r>
          </w:p>
        </w:tc>
        <w:tc>
          <w:tcPr>
            <w:tcW w:type="dxa" w:w="4104"/>
            <w:vAlign w:val="center"/>
            <w:tcMar>
              <w:top w:w="90" w:type="dxa"/>
              <w:start w:w="100" w:type="dxa"/>
              <w:bottom w:w="90" w:type="dxa"/>
              <w:end w:w="100" w:type="dxa"/>
            </w:tcMar>
          </w:tcPr>
          <w:p>
            <w:pPr>
              <w:spacing w:after="0" w:line="240" w:lineRule="auto"/>
              <w:jc w:val="center"/>
            </w:pPr>
            <w:r/>
            <w:r>
              <w:rPr>
                <w:color w:val="232D34"/>
                <w:sz w:val="16"/>
              </w:rPr>
              <w:t>$15.6B - $5.9B</w:t>
            </w:r>
          </w:p>
        </w:tc>
        <w:tc>
          <w:tcPr>
            <w:tcW w:type="dxa" w:w="2592"/>
            <w:vAlign w:val="center"/>
            <w:tcMar>
              <w:top w:w="90" w:type="dxa"/>
              <w:start w:w="100" w:type="dxa"/>
              <w:bottom w:w="90" w:type="dxa"/>
              <w:end w:w="100" w:type="dxa"/>
            </w:tcMar>
          </w:tcPr>
          <w:p>
            <w:pPr>
              <w:spacing w:after="0" w:line="240" w:lineRule="auto"/>
              <w:jc w:val="center"/>
            </w:pPr>
            <w:r/>
            <w:r>
              <w:rPr>
                <w:color w:val="232D34"/>
                <w:sz w:val="16"/>
              </w:rPr>
              <w:t>$9.7B</w:t>
            </w:r>
          </w:p>
        </w:tc>
      </w:tr>
      <w:tr>
        <w:trPr>
          <w:cantSplit/>
        </w:trPr>
        <w:tc>
          <w:tcPr>
            <w:tcW w:type="dxa" w:w="3671"/>
            <w:vAlign w:val="center"/>
            <w:tcMar>
              <w:top w:w="90" w:type="dxa"/>
              <w:start w:w="100" w:type="dxa"/>
              <w:bottom w:w="90" w:type="dxa"/>
              <w:end w:w="100" w:type="dxa"/>
            </w:tcMar>
            <w:shd w:fill="F5F7F8"/>
          </w:tcPr>
          <w:p>
            <w:pPr>
              <w:spacing w:after="0" w:line="240" w:lineRule="auto"/>
            </w:pPr>
            <w:r/>
            <w:r>
              <w:rPr>
                <w:color w:val="232D34"/>
                <w:sz w:val="16"/>
              </w:rPr>
              <w:t>Private-credit payout ratio</w:t>
            </w:r>
          </w:p>
        </w:tc>
        <w:tc>
          <w:tcPr>
            <w:tcW w:type="dxa" w:w="4104"/>
            <w:vAlign w:val="center"/>
            <w:tcMar>
              <w:top w:w="90" w:type="dxa"/>
              <w:start w:w="100" w:type="dxa"/>
              <w:bottom w:w="90" w:type="dxa"/>
              <w:end w:w="100" w:type="dxa"/>
            </w:tcMar>
            <w:shd w:fill="F5F7F8"/>
          </w:tcPr>
          <w:p>
            <w:pPr>
              <w:spacing w:after="0" w:line="240" w:lineRule="auto"/>
              <w:jc w:val="center"/>
            </w:pPr>
            <w:r/>
            <w:r>
              <w:rPr>
                <w:color w:val="232D34"/>
                <w:sz w:val="16"/>
              </w:rPr>
              <w:t>$5.9B / $15.6B</w:t>
            </w:r>
          </w:p>
        </w:tc>
        <w:tc>
          <w:tcPr>
            <w:tcW w:type="dxa" w:w="2592"/>
            <w:vAlign w:val="center"/>
            <w:tcMar>
              <w:top w:w="90" w:type="dxa"/>
              <w:start w:w="100" w:type="dxa"/>
              <w:bottom w:w="90" w:type="dxa"/>
              <w:end w:w="100" w:type="dxa"/>
            </w:tcMar>
            <w:shd w:fill="F5F7F8"/>
          </w:tcPr>
          <w:p>
            <w:pPr>
              <w:spacing w:after="0" w:line="240" w:lineRule="auto"/>
              <w:jc w:val="center"/>
            </w:pPr>
            <w:r/>
            <w:r>
              <w:rPr>
                <w:color w:val="232D34"/>
                <w:sz w:val="16"/>
              </w:rPr>
              <w:t>37.82%</w:t>
            </w:r>
          </w:p>
        </w:tc>
      </w:tr>
      <w:tr>
        <w:trPr>
          <w:cantSplit/>
        </w:trPr>
        <w:tc>
          <w:tcPr>
            <w:tcW w:type="dxa" w:w="3671"/>
            <w:vAlign w:val="center"/>
            <w:tcMar>
              <w:top w:w="90" w:type="dxa"/>
              <w:start w:w="100" w:type="dxa"/>
              <w:bottom w:w="90" w:type="dxa"/>
              <w:end w:w="100" w:type="dxa"/>
            </w:tcMar>
          </w:tcPr>
          <w:p>
            <w:pPr>
              <w:spacing w:after="0" w:line="240" w:lineRule="auto"/>
            </w:pPr>
            <w:r/>
            <w:r>
              <w:rPr>
                <w:color w:val="232D34"/>
                <w:sz w:val="16"/>
              </w:rPr>
              <w:t>Private-credit sequential request growth</w:t>
            </w:r>
          </w:p>
        </w:tc>
        <w:tc>
          <w:tcPr>
            <w:tcW w:type="dxa" w:w="4104"/>
            <w:vAlign w:val="center"/>
            <w:tcMar>
              <w:top w:w="90" w:type="dxa"/>
              <w:start w:w="100" w:type="dxa"/>
              <w:bottom w:w="90" w:type="dxa"/>
              <w:end w:w="100" w:type="dxa"/>
            </w:tcMar>
          </w:tcPr>
          <w:p>
            <w:pPr>
              <w:spacing w:after="0" w:line="240" w:lineRule="auto"/>
              <w:jc w:val="center"/>
            </w:pPr>
            <w:r/>
            <w:r>
              <w:rPr>
                <w:color w:val="232D34"/>
                <w:sz w:val="16"/>
              </w:rPr>
              <w:t>($15.6B - $13.9B) / $13.9B</w:t>
            </w:r>
          </w:p>
        </w:tc>
        <w:tc>
          <w:tcPr>
            <w:tcW w:type="dxa" w:w="2592"/>
            <w:vAlign w:val="center"/>
            <w:tcMar>
              <w:top w:w="90" w:type="dxa"/>
              <w:start w:w="100" w:type="dxa"/>
              <w:bottom w:w="90" w:type="dxa"/>
              <w:end w:w="100" w:type="dxa"/>
            </w:tcMar>
          </w:tcPr>
          <w:p>
            <w:pPr>
              <w:spacing w:after="0" w:line="240" w:lineRule="auto"/>
              <w:jc w:val="center"/>
            </w:pPr>
            <w:r/>
            <w:r>
              <w:rPr>
                <w:color w:val="232D34"/>
                <w:sz w:val="16"/>
              </w:rPr>
              <w:t>12.23%</w:t>
            </w:r>
          </w:p>
        </w:tc>
      </w:tr>
      <w:tr>
        <w:trPr>
          <w:cantSplit/>
        </w:trPr>
        <w:tc>
          <w:tcPr>
            <w:tcW w:type="dxa" w:w="3671"/>
            <w:vAlign w:val="center"/>
            <w:tcMar>
              <w:top w:w="90" w:type="dxa"/>
              <w:start w:w="100" w:type="dxa"/>
              <w:bottom w:w="90" w:type="dxa"/>
              <w:end w:w="100" w:type="dxa"/>
            </w:tcMar>
            <w:shd w:fill="F5F7F8"/>
          </w:tcPr>
          <w:p>
            <w:pPr>
              <w:spacing w:after="0" w:line="240" w:lineRule="auto"/>
            </w:pPr>
            <w:r/>
            <w:r>
              <w:rPr>
                <w:color w:val="232D34"/>
                <w:sz w:val="16"/>
              </w:rPr>
              <w:t>Oracle FCF</w:t>
            </w:r>
          </w:p>
        </w:tc>
        <w:tc>
          <w:tcPr>
            <w:tcW w:type="dxa" w:w="4104"/>
            <w:vAlign w:val="center"/>
            <w:tcMar>
              <w:top w:w="90" w:type="dxa"/>
              <w:start w:w="100" w:type="dxa"/>
              <w:bottom w:w="90" w:type="dxa"/>
              <w:end w:w="100" w:type="dxa"/>
            </w:tcMar>
            <w:shd w:fill="F5F7F8"/>
          </w:tcPr>
          <w:p>
            <w:pPr>
              <w:spacing w:after="0" w:line="240" w:lineRule="auto"/>
              <w:jc w:val="center"/>
            </w:pPr>
            <w:r/>
            <w:r>
              <w:rPr>
                <w:color w:val="232D34"/>
                <w:sz w:val="16"/>
              </w:rPr>
              <w:t>$31.977B CFO - $55.663B capex</w:t>
            </w:r>
          </w:p>
        </w:tc>
        <w:tc>
          <w:tcPr>
            <w:tcW w:type="dxa" w:w="2592"/>
            <w:vAlign w:val="center"/>
            <w:tcMar>
              <w:top w:w="90" w:type="dxa"/>
              <w:start w:w="100" w:type="dxa"/>
              <w:bottom w:w="90" w:type="dxa"/>
              <w:end w:w="100" w:type="dxa"/>
            </w:tcMar>
            <w:shd w:fill="F5F7F8"/>
          </w:tcPr>
          <w:p>
            <w:pPr>
              <w:spacing w:after="0" w:line="240" w:lineRule="auto"/>
              <w:jc w:val="center"/>
            </w:pPr>
            <w:r/>
            <w:r>
              <w:rPr>
                <w:color w:val="232D34"/>
                <w:sz w:val="16"/>
              </w:rPr>
              <w:t>-$23.686B</w:t>
            </w:r>
          </w:p>
        </w:tc>
      </w:tr>
      <w:tr>
        <w:trPr>
          <w:cantSplit/>
        </w:trPr>
        <w:tc>
          <w:tcPr>
            <w:tcW w:type="dxa" w:w="3671"/>
            <w:vAlign w:val="center"/>
            <w:tcMar>
              <w:top w:w="90" w:type="dxa"/>
              <w:start w:w="100" w:type="dxa"/>
              <w:bottom w:w="90" w:type="dxa"/>
              <w:end w:w="100" w:type="dxa"/>
            </w:tcMar>
          </w:tcPr>
          <w:p>
            <w:pPr>
              <w:spacing w:after="0" w:line="240" w:lineRule="auto"/>
            </w:pPr>
            <w:r/>
            <w:r>
              <w:rPr>
                <w:color w:val="232D34"/>
                <w:sz w:val="16"/>
              </w:rPr>
              <w:t>Microsoft debt at Dec. 31, 2025</w:t>
            </w:r>
          </w:p>
        </w:tc>
        <w:tc>
          <w:tcPr>
            <w:tcW w:type="dxa" w:w="4104"/>
            <w:vAlign w:val="center"/>
            <w:tcMar>
              <w:top w:w="90" w:type="dxa"/>
              <w:start w:w="100" w:type="dxa"/>
              <w:bottom w:w="90" w:type="dxa"/>
              <w:end w:w="100" w:type="dxa"/>
            </w:tcMar>
          </w:tcPr>
          <w:p>
            <w:pPr>
              <w:spacing w:after="0" w:line="240" w:lineRule="auto"/>
            </w:pPr>
            <w:r/>
            <w:r>
              <w:rPr>
                <w:color w:val="232D34"/>
                <w:sz w:val="16"/>
              </w:rPr>
              <w:t>$4.837B current + $35.425B long-term</w:t>
            </w:r>
          </w:p>
        </w:tc>
        <w:tc>
          <w:tcPr>
            <w:tcW w:type="dxa" w:w="2592"/>
            <w:vAlign w:val="center"/>
            <w:tcMar>
              <w:top w:w="90" w:type="dxa"/>
              <w:start w:w="100" w:type="dxa"/>
              <w:bottom w:w="90" w:type="dxa"/>
              <w:end w:w="100" w:type="dxa"/>
            </w:tcMar>
          </w:tcPr>
          <w:p>
            <w:pPr>
              <w:spacing w:after="0" w:line="240" w:lineRule="auto"/>
              <w:jc w:val="center"/>
            </w:pPr>
            <w:r/>
            <w:r>
              <w:rPr>
                <w:color w:val="232D34"/>
                <w:sz w:val="16"/>
              </w:rPr>
              <w:t>$40.262B</w:t>
            </w:r>
          </w:p>
        </w:tc>
      </w:tr>
      <w:tr>
        <w:trPr>
          <w:cantSplit/>
        </w:trPr>
        <w:tc>
          <w:tcPr>
            <w:tcW w:type="dxa" w:w="3671"/>
            <w:vAlign w:val="center"/>
            <w:tcMar>
              <w:top w:w="90" w:type="dxa"/>
              <w:start w:w="100" w:type="dxa"/>
              <w:bottom w:w="90" w:type="dxa"/>
              <w:end w:w="100" w:type="dxa"/>
            </w:tcMar>
            <w:shd w:fill="F5F7F8"/>
          </w:tcPr>
          <w:p>
            <w:pPr>
              <w:spacing w:after="0" w:line="240" w:lineRule="auto"/>
            </w:pPr>
            <w:r/>
            <w:r>
              <w:rPr>
                <w:color w:val="232D34"/>
                <w:sz w:val="16"/>
              </w:rPr>
              <w:t>Microsoft undiscounted lease payments</w:t>
            </w:r>
          </w:p>
        </w:tc>
        <w:tc>
          <w:tcPr>
            <w:tcW w:type="dxa" w:w="4104"/>
            <w:vAlign w:val="center"/>
            <w:tcMar>
              <w:top w:w="90" w:type="dxa"/>
              <w:start w:w="100" w:type="dxa"/>
              <w:bottom w:w="90" w:type="dxa"/>
              <w:end w:w="100" w:type="dxa"/>
            </w:tcMar>
            <w:shd w:fill="F5F7F8"/>
          </w:tcPr>
          <w:p>
            <w:pPr>
              <w:spacing w:after="0" w:line="240" w:lineRule="auto"/>
            </w:pPr>
            <w:r/>
            <w:r>
              <w:rPr>
                <w:color w:val="232D34"/>
                <w:sz w:val="16"/>
              </w:rPr>
              <w:t>$24.855B operating + $84.602B finance</w:t>
            </w:r>
          </w:p>
        </w:tc>
        <w:tc>
          <w:tcPr>
            <w:tcW w:type="dxa" w:w="2592"/>
            <w:vAlign w:val="center"/>
            <w:tcMar>
              <w:top w:w="90" w:type="dxa"/>
              <w:start w:w="100" w:type="dxa"/>
              <w:bottom w:w="90" w:type="dxa"/>
              <w:end w:w="100" w:type="dxa"/>
            </w:tcMar>
            <w:shd w:fill="F5F7F8"/>
          </w:tcPr>
          <w:p>
            <w:pPr>
              <w:spacing w:after="0" w:line="240" w:lineRule="auto"/>
              <w:jc w:val="center"/>
            </w:pPr>
            <w:r/>
            <w:r>
              <w:rPr>
                <w:color w:val="232D34"/>
                <w:sz w:val="16"/>
              </w:rPr>
              <w:t>$109.457B</w:t>
            </w:r>
          </w:p>
        </w:tc>
      </w:tr>
    </w:tbl>
    <w:p>
      <w:pPr>
        <w:spacing w:after="20"/>
      </w:pPr>
    </w:p>
    <w:p>
      <w:pPr>
        <w:pStyle w:val="Heading2"/>
        <w:keepNext/>
      </w:pPr>
      <w:r>
        <w:t>10.2 Accounting definitions</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5083"/>
        <w:gridCol w:w="5083"/>
      </w:tblGrid>
      <w:tr>
        <w:trPr>
          <w:tblHeader w:val="true"/>
        </w:trPr>
        <w:tc>
          <w:tcPr>
            <w:tcW w:type="dxa" w:w="2448"/>
            <w:shd w:fill="17324D"/>
            <w:vAlign w:val="center"/>
            <w:tcMar>
              <w:top w:w="100" w:type="dxa"/>
              <w:start w:w="110" w:type="dxa"/>
              <w:bottom w:w="100" w:type="dxa"/>
              <w:end w:w="110" w:type="dxa"/>
            </w:tcMar>
          </w:tcPr>
          <w:p>
            <w:pPr>
              <w:jc w:val="center"/>
            </w:pPr>
            <w:r/>
            <w:r>
              <w:rPr>
                <w:b/>
                <w:color w:val="FFFFFF"/>
                <w:sz w:val="16"/>
              </w:rPr>
              <w:t>Term</w:t>
            </w:r>
          </w:p>
        </w:tc>
        <w:tc>
          <w:tcPr>
            <w:tcW w:type="dxa" w:w="7920"/>
            <w:shd w:fill="17324D"/>
            <w:vAlign w:val="center"/>
            <w:tcMar>
              <w:top w:w="100" w:type="dxa"/>
              <w:start w:w="110" w:type="dxa"/>
              <w:bottom w:w="100" w:type="dxa"/>
              <w:end w:w="110" w:type="dxa"/>
            </w:tcMar>
          </w:tcPr>
          <w:p>
            <w:pPr>
              <w:jc w:val="center"/>
            </w:pPr>
            <w:r/>
            <w:r>
              <w:rPr>
                <w:b/>
                <w:color w:val="FFFFFF"/>
                <w:sz w:val="16"/>
              </w:rPr>
              <w:t>Definition</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Enterprise value (EV)</w:t>
            </w:r>
          </w:p>
        </w:tc>
        <w:tc>
          <w:tcPr>
            <w:tcW w:type="dxa" w:w="7920"/>
            <w:vAlign w:val="center"/>
            <w:tcMar>
              <w:top w:w="90" w:type="dxa"/>
              <w:start w:w="100" w:type="dxa"/>
              <w:bottom w:w="90" w:type="dxa"/>
              <w:end w:w="100" w:type="dxa"/>
            </w:tcMar>
          </w:tcPr>
          <w:p>
            <w:pPr>
              <w:spacing w:after="0" w:line="240" w:lineRule="auto"/>
            </w:pPr>
            <w:r/>
            <w:r>
              <w:rPr>
                <w:color w:val="232D34"/>
                <w:sz w:val="16"/>
              </w:rPr>
              <w:t>Equity value plus debt and preferred claims minus cash; approximates value of operations independent of cash financing.</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Equity value</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Value attributable to shareholders after debt-like claims; includes cash owned by the company.</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Uncommenced lease</w:t>
            </w:r>
          </w:p>
        </w:tc>
        <w:tc>
          <w:tcPr>
            <w:tcW w:type="dxa" w:w="7920"/>
            <w:vAlign w:val="center"/>
            <w:tcMar>
              <w:top w:w="90" w:type="dxa"/>
              <w:start w:w="100" w:type="dxa"/>
              <w:bottom w:w="90" w:type="dxa"/>
              <w:end w:w="100" w:type="dxa"/>
            </w:tcMar>
          </w:tcPr>
          <w:p>
            <w:pPr>
              <w:spacing w:after="0" w:line="240" w:lineRule="auto"/>
            </w:pPr>
            <w:r/>
            <w:r>
              <w:rPr>
                <w:color w:val="232D34"/>
                <w:sz w:val="16"/>
              </w:rPr>
              <w:t>Signed lease whose start date has not occurred; generally absent from current lease liability until commencement but disclosed in footnotes.</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Finance lease</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Lease economically similar to asset financing; asset and liability recognized, with interest and amortization components.</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Operating lease</w:t>
            </w:r>
          </w:p>
        </w:tc>
        <w:tc>
          <w:tcPr>
            <w:tcW w:type="dxa" w:w="7920"/>
            <w:vAlign w:val="center"/>
            <w:tcMar>
              <w:top w:w="90" w:type="dxa"/>
              <w:start w:w="100" w:type="dxa"/>
              <w:bottom w:w="90" w:type="dxa"/>
              <w:end w:w="100" w:type="dxa"/>
            </w:tcMar>
          </w:tcPr>
          <w:p>
            <w:pPr>
              <w:spacing w:after="0" w:line="240" w:lineRule="auto"/>
            </w:pPr>
            <w:r/>
            <w:r>
              <w:rPr>
                <w:color w:val="232D34"/>
                <w:sz w:val="16"/>
              </w:rPr>
              <w:t>Lease recognized as right-of-use asset/liability under current GAAP, usually with single lease expense.</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Residual-value guarantee</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Promise to cover a shortfall in asset/project value under specified termination or nonrenewal conditions.</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Credit derivative / backstop</w:t>
            </w:r>
          </w:p>
        </w:tc>
        <w:tc>
          <w:tcPr>
            <w:tcW w:type="dxa" w:w="7920"/>
            <w:vAlign w:val="center"/>
            <w:tcMar>
              <w:top w:w="90" w:type="dxa"/>
              <w:start w:w="100" w:type="dxa"/>
              <w:bottom w:w="90" w:type="dxa"/>
              <w:end w:w="100" w:type="dxa"/>
            </w:tcMar>
          </w:tcPr>
          <w:p>
            <w:pPr>
              <w:spacing w:after="0" w:line="240" w:lineRule="auto"/>
            </w:pPr>
            <w:r/>
            <w:r>
              <w:rPr>
                <w:color w:val="232D34"/>
                <w:sz w:val="16"/>
              </w:rPr>
              <w:t>Contract whose maximum notional exposure can exceed expected loss; fair value and trigger terms determine actual balance-sheet effect.</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RPO / backlog</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Contracted future revenue not yet recognized. It is not cash and can include long-duration or cancellable/conditional elements depending on contract.</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PIK interest</w:t>
            </w:r>
          </w:p>
        </w:tc>
        <w:tc>
          <w:tcPr>
            <w:tcW w:type="dxa" w:w="7920"/>
            <w:vAlign w:val="center"/>
            <w:tcMar>
              <w:top w:w="90" w:type="dxa"/>
              <w:start w:w="100" w:type="dxa"/>
              <w:bottom w:w="90" w:type="dxa"/>
              <w:end w:w="100" w:type="dxa"/>
            </w:tcMar>
          </w:tcPr>
          <w:p>
            <w:pPr>
              <w:spacing w:after="0" w:line="240" w:lineRule="auto"/>
            </w:pPr>
            <w:r/>
            <w:r>
              <w:rPr>
                <w:color w:val="232D34"/>
                <w:sz w:val="16"/>
              </w:rPr>
              <w:t>Interest added to loan principal rather than paid in cash; increases reported income and claim size but not immediate liquidity.</w:t>
            </w:r>
          </w:p>
        </w:tc>
      </w:tr>
      <w:tr>
        <w:trPr>
          <w:cantSplit/>
        </w:trPr>
        <w:tc>
          <w:tcPr>
            <w:tcW w:type="dxa" w:w="2448"/>
            <w:vAlign w:val="center"/>
            <w:tcMar>
              <w:top w:w="90" w:type="dxa"/>
              <w:start w:w="100" w:type="dxa"/>
              <w:bottom w:w="90" w:type="dxa"/>
              <w:end w:w="100" w:type="dxa"/>
            </w:tcMar>
            <w:shd w:fill="F5F7F8"/>
          </w:tcPr>
          <w:p>
            <w:pPr>
              <w:spacing w:after="0" w:line="240" w:lineRule="auto"/>
            </w:pPr>
            <w:r/>
            <w:r>
              <w:rPr>
                <w:color w:val="232D34"/>
                <w:sz w:val="16"/>
              </w:rPr>
              <w:t>Nontraded BDC</w:t>
            </w:r>
          </w:p>
        </w:tc>
        <w:tc>
          <w:tcPr>
            <w:tcW w:type="dxa" w:w="7920"/>
            <w:vAlign w:val="center"/>
            <w:tcMar>
              <w:top w:w="90" w:type="dxa"/>
              <w:start w:w="100" w:type="dxa"/>
              <w:bottom w:w="90" w:type="dxa"/>
              <w:end w:w="100" w:type="dxa"/>
            </w:tcMar>
            <w:shd w:fill="F5F7F8"/>
          </w:tcPr>
          <w:p>
            <w:pPr>
              <w:spacing w:after="0" w:line="240" w:lineRule="auto"/>
            </w:pPr>
            <w:r/>
            <w:r>
              <w:rPr>
                <w:color w:val="232D34"/>
                <w:sz w:val="16"/>
              </w:rPr>
              <w:t>Closed-end lending vehicle sold through wealth channels; shares are not exchange traded and repurchases are limited/discretionary.</w:t>
            </w:r>
          </w:p>
        </w:tc>
      </w:tr>
      <w:tr>
        <w:trPr>
          <w:cantSplit/>
        </w:trPr>
        <w:tc>
          <w:tcPr>
            <w:tcW w:type="dxa" w:w="2448"/>
            <w:vAlign w:val="center"/>
            <w:tcMar>
              <w:top w:w="90" w:type="dxa"/>
              <w:start w:w="100" w:type="dxa"/>
              <w:bottom w:w="90" w:type="dxa"/>
              <w:end w:w="100" w:type="dxa"/>
            </w:tcMar>
          </w:tcPr>
          <w:p>
            <w:pPr>
              <w:spacing w:after="0" w:line="240" w:lineRule="auto"/>
            </w:pPr>
            <w:r/>
            <w:r>
              <w:rPr>
                <w:color w:val="232D34"/>
                <w:sz w:val="16"/>
              </w:rPr>
              <w:t>13F reported value</w:t>
            </w:r>
          </w:p>
        </w:tc>
        <w:tc>
          <w:tcPr>
            <w:tcW w:type="dxa" w:w="7920"/>
            <w:vAlign w:val="center"/>
            <w:tcMar>
              <w:top w:w="90" w:type="dxa"/>
              <w:start w:w="100" w:type="dxa"/>
              <w:bottom w:w="90" w:type="dxa"/>
              <w:end w:w="100" w:type="dxa"/>
            </w:tcMar>
          </w:tcPr>
          <w:p>
            <w:pPr>
              <w:spacing w:after="0" w:line="240" w:lineRule="auto"/>
            </w:pPr>
            <w:r/>
            <w:r>
              <w:rPr>
                <w:color w:val="232D34"/>
                <w:sz w:val="16"/>
              </w:rPr>
              <w:t>Quarter-end reportable long securities and listed options. It excludes most shorts, swaps, financing and private assets.</w:t>
            </w:r>
          </w:p>
        </w:tc>
      </w:tr>
    </w:tbl>
    <w:p>
      <w:pPr>
        <w:spacing w:after="20"/>
      </w:pPr>
    </w:p>
    <w:p>
      <w:pPr>
        <w:pStyle w:val="Heading2"/>
        <w:keepNext/>
      </w:pPr>
      <w:r>
        <w:t>10.3 Source-quality legend</w:t>
      </w:r>
    </w:p>
    <w:tbl>
      <w:tblPr>
        <w:tblW w:type="auto" w:w="0"/>
        <w:jc w:val="center"/>
        <w:tblLayout w:type="fixed"/>
        <w:tblLook w:firstColumn="1" w:firstRow="1" w:lastColumn="0" w:lastRow="0" w:noHBand="0" w:noVBand="1" w:val="04A0"/>
        <w:tblBorders>
          <w:top w:val="single" w:sz="6" w:color="C8D3D9"/>
          <w:left w:val="single" w:sz="6" w:color="C8D3D9"/>
          <w:bottom w:val="single" w:sz="6" w:color="C8D3D9"/>
          <w:right w:val="single" w:sz="6" w:color="C8D3D9"/>
          <w:insideH w:val="single" w:sz="6" w:color="C8D3D9"/>
          <w:insideV w:val="single" w:sz="6" w:color="C8D3D9"/>
        </w:tblBorders>
      </w:tblPr>
      <w:tblGrid>
        <w:gridCol w:w="3389"/>
        <w:gridCol w:w="3389"/>
        <w:gridCol w:w="3389"/>
      </w:tblGrid>
      <w:tr>
        <w:trPr>
          <w:tblHeader w:val="true"/>
        </w:trPr>
        <w:tc>
          <w:tcPr>
            <w:tcW w:type="dxa" w:w="1655"/>
            <w:shd w:fill="17324D"/>
            <w:vAlign w:val="center"/>
            <w:tcMar>
              <w:top w:w="100" w:type="dxa"/>
              <w:start w:w="110" w:type="dxa"/>
              <w:bottom w:w="100" w:type="dxa"/>
              <w:end w:w="110" w:type="dxa"/>
            </w:tcMar>
          </w:tcPr>
          <w:p>
            <w:pPr>
              <w:jc w:val="center"/>
            </w:pPr>
            <w:r/>
            <w:r>
              <w:rPr>
                <w:b/>
                <w:color w:val="FFFFFF"/>
                <w:sz w:val="17"/>
              </w:rPr>
              <w:t>Label</w:t>
            </w:r>
          </w:p>
        </w:tc>
        <w:tc>
          <w:tcPr>
            <w:tcW w:type="dxa" w:w="3671"/>
            <w:shd w:fill="17324D"/>
            <w:vAlign w:val="center"/>
            <w:tcMar>
              <w:top w:w="100" w:type="dxa"/>
              <w:start w:w="110" w:type="dxa"/>
              <w:bottom w:w="100" w:type="dxa"/>
              <w:end w:w="110" w:type="dxa"/>
            </w:tcMar>
          </w:tcPr>
          <w:p>
            <w:pPr>
              <w:jc w:val="center"/>
            </w:pPr>
            <w:r/>
            <w:r>
              <w:rPr>
                <w:b/>
                <w:color w:val="FFFFFF"/>
                <w:sz w:val="17"/>
              </w:rPr>
              <w:t>Evidence</w:t>
            </w:r>
          </w:p>
        </w:tc>
        <w:tc>
          <w:tcPr>
            <w:tcW w:type="dxa" w:w="5040"/>
            <w:shd w:fill="17324D"/>
            <w:vAlign w:val="center"/>
            <w:tcMar>
              <w:top w:w="100" w:type="dxa"/>
              <w:start w:w="110" w:type="dxa"/>
              <w:bottom w:w="100" w:type="dxa"/>
              <w:end w:w="110" w:type="dxa"/>
            </w:tcMar>
          </w:tcPr>
          <w:p>
            <w:pPr>
              <w:jc w:val="center"/>
            </w:pPr>
            <w:r/>
            <w:r>
              <w:rPr>
                <w:b/>
                <w:color w:val="FFFFFF"/>
                <w:sz w:val="17"/>
              </w:rPr>
              <w:t>Use</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7"/>
              </w:rPr>
              <w:t>FILED</w:t>
            </w:r>
          </w:p>
        </w:tc>
        <w:tc>
          <w:tcPr>
            <w:tcW w:type="dxa" w:w="3671"/>
            <w:vAlign w:val="center"/>
            <w:tcMar>
              <w:top w:w="90" w:type="dxa"/>
              <w:start w:w="100" w:type="dxa"/>
              <w:bottom w:w="90" w:type="dxa"/>
              <w:end w:w="100" w:type="dxa"/>
            </w:tcMar>
          </w:tcPr>
          <w:p>
            <w:pPr>
              <w:spacing w:after="0" w:line="240" w:lineRule="auto"/>
            </w:pPr>
            <w:r/>
            <w:r>
              <w:rPr>
                <w:color w:val="232D34"/>
                <w:sz w:val="17"/>
              </w:rPr>
              <w:t>SEC filing, filed exhibit or regulatory report</w:t>
            </w:r>
          </w:p>
        </w:tc>
        <w:tc>
          <w:tcPr>
            <w:tcW w:type="dxa" w:w="5040"/>
            <w:vAlign w:val="center"/>
            <w:tcMar>
              <w:top w:w="90" w:type="dxa"/>
              <w:start w:w="100" w:type="dxa"/>
              <w:bottom w:w="90" w:type="dxa"/>
              <w:end w:w="100" w:type="dxa"/>
            </w:tcMar>
          </w:tcPr>
          <w:p>
            <w:pPr>
              <w:spacing w:after="0" w:line="240" w:lineRule="auto"/>
            </w:pPr>
            <w:r/>
            <w:r>
              <w:rPr>
                <w:color w:val="232D34"/>
                <w:sz w:val="17"/>
              </w:rPr>
              <w:t>Highest confidence for the exact disclosed amount; still requires accounting-context review.</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7"/>
              </w:rPr>
              <w:t>ANNOUNCED</w:t>
            </w:r>
          </w:p>
        </w:tc>
        <w:tc>
          <w:tcPr>
            <w:tcW w:type="dxa" w:w="3671"/>
            <w:vAlign w:val="center"/>
            <w:tcMar>
              <w:top w:w="90" w:type="dxa"/>
              <w:start w:w="100" w:type="dxa"/>
              <w:bottom w:w="90" w:type="dxa"/>
              <w:end w:w="100" w:type="dxa"/>
            </w:tcMar>
            <w:shd w:fill="F5F7F8"/>
          </w:tcPr>
          <w:p>
            <w:pPr>
              <w:spacing w:after="0" w:line="240" w:lineRule="auto"/>
            </w:pPr>
            <w:r/>
            <w:r>
              <w:rPr>
                <w:color w:val="232D34"/>
                <w:sz w:val="17"/>
              </w:rPr>
              <w:t>Company, fund or transaction-party press release</w:t>
            </w:r>
          </w:p>
        </w:tc>
        <w:tc>
          <w:tcPr>
            <w:tcW w:type="dxa" w:w="5040"/>
            <w:vAlign w:val="center"/>
            <w:tcMar>
              <w:top w:w="90" w:type="dxa"/>
              <w:start w:w="100" w:type="dxa"/>
              <w:bottom w:w="90" w:type="dxa"/>
              <w:end w:w="100" w:type="dxa"/>
            </w:tcMar>
            <w:shd w:fill="F5F7F8"/>
          </w:tcPr>
          <w:p>
            <w:pPr>
              <w:spacing w:after="0" w:line="240" w:lineRule="auto"/>
            </w:pPr>
            <w:r/>
            <w:r>
              <w:rPr>
                <w:color w:val="232D34"/>
                <w:sz w:val="17"/>
              </w:rPr>
              <w:t>Strong for stated terms; may omit covenants, side letters, fees and adverse detail.</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7"/>
              </w:rPr>
              <w:t>REPORTED</w:t>
            </w:r>
          </w:p>
        </w:tc>
        <w:tc>
          <w:tcPr>
            <w:tcW w:type="dxa" w:w="3671"/>
            <w:vAlign w:val="center"/>
            <w:tcMar>
              <w:top w:w="90" w:type="dxa"/>
              <w:start w:w="100" w:type="dxa"/>
              <w:bottom w:w="90" w:type="dxa"/>
              <w:end w:w="100" w:type="dxa"/>
            </w:tcMar>
          </w:tcPr>
          <w:p>
            <w:pPr>
              <w:spacing w:after="0" w:line="240" w:lineRule="auto"/>
            </w:pPr>
            <w:r/>
            <w:r>
              <w:rPr>
                <w:color w:val="232D34"/>
                <w:sz w:val="17"/>
              </w:rPr>
              <w:t>Attributable financial press using unnamed or document-based sources</w:t>
            </w:r>
          </w:p>
        </w:tc>
        <w:tc>
          <w:tcPr>
            <w:tcW w:type="dxa" w:w="5040"/>
            <w:vAlign w:val="center"/>
            <w:tcMar>
              <w:top w:w="90" w:type="dxa"/>
              <w:start w:w="100" w:type="dxa"/>
              <w:bottom w:w="90" w:type="dxa"/>
              <w:end w:w="100" w:type="dxa"/>
            </w:tcMar>
          </w:tcPr>
          <w:p>
            <w:pPr>
              <w:spacing w:after="0" w:line="240" w:lineRule="auto"/>
            </w:pPr>
            <w:r/>
            <w:r>
              <w:rPr>
                <w:color w:val="232D34"/>
                <w:sz w:val="17"/>
              </w:rPr>
              <w:t>Useful for private terms; must remain labeled until a filing or contract confirms it.</w:t>
            </w:r>
          </w:p>
        </w:tc>
      </w:tr>
      <w:tr>
        <w:trPr>
          <w:cantSplit/>
        </w:trPr>
        <w:tc>
          <w:tcPr>
            <w:tcW w:type="dxa" w:w="1655"/>
            <w:vAlign w:val="center"/>
            <w:tcMar>
              <w:top w:w="90" w:type="dxa"/>
              <w:start w:w="100" w:type="dxa"/>
              <w:bottom w:w="90" w:type="dxa"/>
              <w:end w:w="100" w:type="dxa"/>
            </w:tcMar>
            <w:shd w:fill="F5F7F8"/>
          </w:tcPr>
          <w:p>
            <w:pPr>
              <w:spacing w:after="0" w:line="240" w:lineRule="auto"/>
            </w:pPr>
            <w:r/>
            <w:r>
              <w:rPr>
                <w:color w:val="232D34"/>
                <w:sz w:val="17"/>
              </w:rPr>
              <w:t>DERIVED</w:t>
            </w:r>
          </w:p>
        </w:tc>
        <w:tc>
          <w:tcPr>
            <w:tcW w:type="dxa" w:w="3671"/>
            <w:vAlign w:val="center"/>
            <w:tcMar>
              <w:top w:w="90" w:type="dxa"/>
              <w:start w:w="100" w:type="dxa"/>
              <w:bottom w:w="90" w:type="dxa"/>
              <w:end w:w="100" w:type="dxa"/>
            </w:tcMar>
            <w:shd w:fill="F5F7F8"/>
          </w:tcPr>
          <w:p>
            <w:pPr>
              <w:spacing w:after="0" w:line="240" w:lineRule="auto"/>
              <w:jc w:val="center"/>
            </w:pPr>
            <w:r/>
            <w:r>
              <w:rPr>
                <w:color w:val="232D34"/>
                <w:sz w:val="17"/>
              </w:rPr>
              <w:t>Arithmetic from cited figures</w:t>
            </w:r>
          </w:p>
        </w:tc>
        <w:tc>
          <w:tcPr>
            <w:tcW w:type="dxa" w:w="5040"/>
            <w:vAlign w:val="center"/>
            <w:tcMar>
              <w:top w:w="90" w:type="dxa"/>
              <w:start w:w="100" w:type="dxa"/>
              <w:bottom w:w="90" w:type="dxa"/>
              <w:end w:w="100" w:type="dxa"/>
            </w:tcMar>
            <w:shd w:fill="F5F7F8"/>
          </w:tcPr>
          <w:p>
            <w:pPr>
              <w:spacing w:after="0" w:line="240" w:lineRule="auto"/>
            </w:pPr>
            <w:r/>
            <w:r>
              <w:rPr>
                <w:color w:val="232D34"/>
                <w:sz w:val="17"/>
              </w:rPr>
              <w:t>Reproducible if inputs are correct; not a separately disclosed company metric.</w:t>
            </w:r>
          </w:p>
        </w:tc>
      </w:tr>
      <w:tr>
        <w:trPr>
          <w:cantSplit/>
        </w:trPr>
        <w:tc>
          <w:tcPr>
            <w:tcW w:type="dxa" w:w="1655"/>
            <w:vAlign w:val="center"/>
            <w:tcMar>
              <w:top w:w="90" w:type="dxa"/>
              <w:start w:w="100" w:type="dxa"/>
              <w:bottom w:w="90" w:type="dxa"/>
              <w:end w:w="100" w:type="dxa"/>
            </w:tcMar>
          </w:tcPr>
          <w:p>
            <w:pPr>
              <w:spacing w:after="0" w:line="240" w:lineRule="auto"/>
            </w:pPr>
            <w:r/>
            <w:r>
              <w:rPr>
                <w:color w:val="232D34"/>
                <w:sz w:val="17"/>
              </w:rPr>
              <w:t>UNAVAILABLE</w:t>
            </w:r>
          </w:p>
        </w:tc>
        <w:tc>
          <w:tcPr>
            <w:tcW w:type="dxa" w:w="3671"/>
            <w:vAlign w:val="center"/>
            <w:tcMar>
              <w:top w:w="90" w:type="dxa"/>
              <w:start w:w="100" w:type="dxa"/>
              <w:bottom w:w="90" w:type="dxa"/>
              <w:end w:w="100" w:type="dxa"/>
            </w:tcMar>
          </w:tcPr>
          <w:p>
            <w:pPr>
              <w:spacing w:after="0" w:line="240" w:lineRule="auto"/>
            </w:pPr>
            <w:r/>
            <w:r>
              <w:rPr>
                <w:color w:val="232D34"/>
                <w:sz w:val="17"/>
              </w:rPr>
              <w:t>Private cap table, fund book, hedge or financing terms</w:t>
            </w:r>
          </w:p>
        </w:tc>
        <w:tc>
          <w:tcPr>
            <w:tcW w:type="dxa" w:w="5040"/>
            <w:vAlign w:val="center"/>
            <w:tcMar>
              <w:top w:w="90" w:type="dxa"/>
              <w:start w:w="100" w:type="dxa"/>
              <w:bottom w:w="90" w:type="dxa"/>
              <w:end w:w="100" w:type="dxa"/>
            </w:tcMar>
          </w:tcPr>
          <w:p>
            <w:pPr>
              <w:spacing w:after="0" w:line="240" w:lineRule="auto"/>
            </w:pPr>
            <w:r/>
            <w:r>
              <w:rPr>
                <w:color w:val="232D34"/>
                <w:sz w:val="17"/>
              </w:rPr>
              <w:t>Not estimated without evidence.</w:t>
            </w:r>
          </w:p>
        </w:tc>
      </w:tr>
    </w:tbl>
    <w:p>
      <w:pPr>
        <w:spacing w:after="20"/>
      </w:pPr>
    </w:p>
    <w:p>
      <w:pPr>
        <w:pStyle w:val="Heading2"/>
        <w:keepNext/>
      </w:pPr>
      <w:r>
        <w:t>10.4 Source register</w:t>
      </w:r>
    </w:p>
    <w:p>
      <w:pPr>
        <w:spacing w:after="100" w:line="259" w:lineRule="auto"/>
      </w:pPr>
      <w:r>
        <w:t>Source identifiers used throughout the report are listed below. Publication dates reflect the source date where available; SEC filing dates and report periods can differ.</w:t>
      </w:r>
    </w:p>
    <w:p>
      <w:pPr>
        <w:spacing w:after="60" w:line="240" w:lineRule="auto"/>
        <w:ind w:left="259" w:hanging="259"/>
      </w:pPr>
      <w:r>
        <w:rPr>
          <w:b/>
          <w:sz w:val="17"/>
        </w:rPr>
        <w:t xml:space="preserve">S1. Airtable. </w:t>
      </w:r>
      <w:r>
        <w:rPr>
          <w:sz w:val="17"/>
        </w:rPr>
        <w:t xml:space="preserve">“Airtable Raises $735 Million in Series F Funding at $11 Billion Pre-Money Valuation.” 2021-12-13. </w:t>
      </w:r>
      <w:hyperlink r:id="rId12">
        <w:r>
          <w:rPr>
            <w:color w:val="2F5E75"/>
          </w:rPr>
          <w:t>https://www.airtable.com/newsroom/series-f</w:t>
        </w:r>
      </w:hyperlink>
    </w:p>
    <w:p>
      <w:pPr>
        <w:spacing w:after="60" w:line="240" w:lineRule="auto"/>
        <w:ind w:left="259" w:hanging="259"/>
      </w:pPr>
      <w:r>
        <w:rPr>
          <w:b/>
          <w:sz w:val="17"/>
        </w:rPr>
        <w:t xml:space="preserve">S2. Bending Spoons. </w:t>
      </w:r>
      <w:r>
        <w:rPr>
          <w:sz w:val="17"/>
        </w:rPr>
        <w:t xml:space="preserve">“Bending Spoons Agrees to Acquire Airtable.” 2026-08-04. </w:t>
      </w:r>
      <w:hyperlink r:id="rId13">
        <w:r>
          <w:rPr>
            <w:color w:val="2F5E75"/>
          </w:rPr>
          <w:t>https://investors.bendingspoons.com/newsroom/bending-spoons-agrees-to-acquire-airtable</w:t>
        </w:r>
      </w:hyperlink>
    </w:p>
    <w:p>
      <w:pPr>
        <w:spacing w:after="60" w:line="240" w:lineRule="auto"/>
        <w:ind w:left="259" w:hanging="259"/>
      </w:pPr>
      <w:r>
        <w:rPr>
          <w:b/>
          <w:sz w:val="17"/>
        </w:rPr>
        <w:t xml:space="preserve">S3. Axios. </w:t>
      </w:r>
      <w:r>
        <w:rPr>
          <w:sz w:val="17"/>
        </w:rPr>
        <w:t xml:space="preserve">“Bending Spoons agrees to buy Airtable.” 2026-08-04. </w:t>
      </w:r>
      <w:hyperlink r:id="rId14">
        <w:r>
          <w:rPr>
            <w:color w:val="2F5E75"/>
          </w:rPr>
          <w:t>https://www.axios.com/2026/08/04/bending-spoons-airtable</w:t>
        </w:r>
      </w:hyperlink>
    </w:p>
    <w:p>
      <w:pPr>
        <w:spacing w:after="60" w:line="240" w:lineRule="auto"/>
        <w:ind w:left="259" w:hanging="259"/>
      </w:pPr>
      <w:r>
        <w:rPr>
          <w:b/>
          <w:sz w:val="17"/>
        </w:rPr>
        <w:t xml:space="preserve">S4. SEC. </w:t>
      </w:r>
      <w:r>
        <w:rPr>
          <w:sz w:val="17"/>
        </w:rPr>
        <w:t xml:space="preserve">“Bending Spoons S.p.A. Form F-1/A.” 2026-06-22. </w:t>
      </w:r>
      <w:hyperlink r:id="rId15">
        <w:r>
          <w:rPr>
            <w:color w:val="2F5E75"/>
          </w:rPr>
          <w:t>https://www.sec.gov/Archives/edgar/data/2004711/000110465926076487/tm2613674-10_f1.htm</w:t>
        </w:r>
      </w:hyperlink>
    </w:p>
    <w:p>
      <w:pPr>
        <w:spacing w:after="60" w:line="240" w:lineRule="auto"/>
        <w:ind w:left="259" w:hanging="259"/>
      </w:pPr>
      <w:r>
        <w:rPr>
          <w:b/>
          <w:sz w:val="17"/>
        </w:rPr>
        <w:t xml:space="preserve">S5. SEC. </w:t>
      </w:r>
      <w:r>
        <w:rPr>
          <w:sz w:val="17"/>
        </w:rPr>
        <w:t xml:space="preserve">“Situational Awareness LP Form 13F-HR filing index, period ended March 31, 2026.” 2026-05-18. </w:t>
      </w:r>
      <w:hyperlink r:id="rId16">
        <w:r>
          <w:rPr>
            <w:color w:val="2F5E75"/>
          </w:rPr>
          <w:t>https://www.sec.gov/Archives/edgar/data/2045724/000204572426000008/0002045724-26-000008-index.html</w:t>
        </w:r>
      </w:hyperlink>
    </w:p>
    <w:p>
      <w:pPr>
        <w:spacing w:after="60" w:line="240" w:lineRule="auto"/>
        <w:ind w:left="259" w:hanging="259"/>
      </w:pPr>
      <w:r>
        <w:rPr>
          <w:b/>
          <w:sz w:val="17"/>
        </w:rPr>
        <w:t xml:space="preserve">S6. SEC. </w:t>
      </w:r>
      <w:r>
        <w:rPr>
          <w:sz w:val="17"/>
        </w:rPr>
        <w:t xml:space="preserve">“Situational Awareness LP Form 13F information table.” 2026-05-18. </w:t>
      </w:r>
      <w:hyperlink r:id="rId17">
        <w:r>
          <w:rPr>
            <w:color w:val="2F5E75"/>
          </w:rPr>
          <w:t>https://www.sec.gov/Archives/edgar/data/2045724/000204572426000008/salp13fq1xml.html</w:t>
        </w:r>
      </w:hyperlink>
    </w:p>
    <w:p>
      <w:pPr>
        <w:spacing w:after="60" w:line="240" w:lineRule="auto"/>
        <w:ind w:left="259" w:hanging="259"/>
      </w:pPr>
      <w:r>
        <w:rPr>
          <w:b/>
          <w:sz w:val="17"/>
        </w:rPr>
        <w:t xml:space="preserve">S7. The Wall Street Journal. </w:t>
      </w:r>
      <w:r>
        <w:rPr>
          <w:sz w:val="17"/>
        </w:rPr>
        <w:t xml:space="preserve">“Citadel Buys Situational Awareness’s Stock Portfolio After Big Losses in AI.” 2026-07-30. </w:t>
      </w:r>
      <w:hyperlink r:id="rId18">
        <w:r>
          <w:rPr>
            <w:color w:val="2F5E75"/>
          </w:rPr>
          <w:t>https://www.wsj.com/finance/citadel-buys-situational-awarenesss-stock-portfolio-after-big-losses-in-ai-5117159b</w:t>
        </w:r>
      </w:hyperlink>
    </w:p>
    <w:p>
      <w:pPr>
        <w:spacing w:after="60" w:line="240" w:lineRule="auto"/>
        <w:ind w:left="259" w:hanging="259"/>
      </w:pPr>
      <w:r>
        <w:rPr>
          <w:b/>
          <w:sz w:val="17"/>
        </w:rPr>
        <w:t xml:space="preserve">S8. Axios. </w:t>
      </w:r>
      <w:r>
        <w:rPr>
          <w:sz w:val="17"/>
        </w:rPr>
        <w:t xml:space="preserve">“AI-focused hedge fund sells all of its stocks.” 2026-07-30. </w:t>
      </w:r>
      <w:hyperlink r:id="rId19">
        <w:r>
          <w:rPr>
            <w:color w:val="2F5E75"/>
          </w:rPr>
          <w:t>https://www.axios.com/2026/07/30/ai-hedge-fund-situational-awareness-citadel</w:t>
        </w:r>
      </w:hyperlink>
    </w:p>
    <w:p>
      <w:pPr>
        <w:spacing w:after="60" w:line="240" w:lineRule="auto"/>
        <w:ind w:left="259" w:hanging="259"/>
      </w:pPr>
      <w:r>
        <w:rPr>
          <w:b/>
          <w:sz w:val="17"/>
        </w:rPr>
        <w:t xml:space="preserve">S9. SEC. </w:t>
      </w:r>
      <w:r>
        <w:rPr>
          <w:sz w:val="17"/>
        </w:rPr>
        <w:t xml:space="preserve">“Situational Awareness LP EDGAR filings.” 2026. </w:t>
      </w:r>
      <w:hyperlink r:id="rId20">
        <w:r>
          <w:rPr>
            <w:color w:val="2F5E75"/>
          </w:rPr>
          <w:t>https://www.sec.gov/edgar/browse/?CIK=2045724</w:t>
        </w:r>
      </w:hyperlink>
    </w:p>
    <w:p>
      <w:pPr>
        <w:spacing w:after="60" w:line="240" w:lineRule="auto"/>
        <w:ind w:left="259" w:hanging="259"/>
      </w:pPr>
      <w:r>
        <w:rPr>
          <w:b/>
          <w:sz w:val="17"/>
        </w:rPr>
        <w:t xml:space="preserve">S10. SEC. </w:t>
      </w:r>
      <w:r>
        <w:rPr>
          <w:sz w:val="17"/>
        </w:rPr>
        <w:t xml:space="preserve">“Meta Platforms, Inc. Form 10-Q, quarter ended June 30, 2026.” 2026-07-30. </w:t>
      </w:r>
      <w:hyperlink r:id="rId21">
        <w:r>
          <w:rPr>
            <w:color w:val="2F5E75"/>
          </w:rPr>
          <w:t>https://www.sec.gov/Archives/edgar/data/1326801/000162828026050705/meta-20260630.htm</w:t>
        </w:r>
      </w:hyperlink>
    </w:p>
    <w:p>
      <w:pPr>
        <w:spacing w:after="60" w:line="240" w:lineRule="auto"/>
        <w:ind w:left="259" w:hanging="259"/>
      </w:pPr>
      <w:r>
        <w:rPr>
          <w:b/>
          <w:sz w:val="17"/>
        </w:rPr>
        <w:t xml:space="preserve">S11. Meta. </w:t>
      </w:r>
      <w:r>
        <w:rPr>
          <w:sz w:val="17"/>
        </w:rPr>
        <w:t xml:space="preserve">“Meta Announces Joint Venture with Funds Managed by Blue Owl Capital to Develop Hyperion Data Center.” 2025-10-31. </w:t>
      </w:r>
      <w:hyperlink r:id="rId22">
        <w:r>
          <w:rPr>
            <w:color w:val="2F5E75"/>
          </w:rPr>
          <w:t>https://investor.atmeta.com/investor-news/press-release-details/2025/Meta-Announces-Joint-Venture-with-Funds-Managed-by-Blue-Owl-Capital-to-Develop-Hyperion-Data-Center/default.aspx</w:t>
        </w:r>
      </w:hyperlink>
    </w:p>
    <w:p>
      <w:pPr>
        <w:spacing w:after="60" w:line="240" w:lineRule="auto"/>
        <w:ind w:left="259" w:hanging="259"/>
      </w:pPr>
      <w:r>
        <w:rPr>
          <w:b/>
          <w:sz w:val="17"/>
        </w:rPr>
        <w:t xml:space="preserve">S12. Financial Times. </w:t>
      </w:r>
      <w:r>
        <w:rPr>
          <w:sz w:val="17"/>
        </w:rPr>
        <w:t xml:space="preserve">“Inside Google’s $200bn Wall Street finance machine for Anthropic.” 2026-08-04. </w:t>
      </w:r>
      <w:hyperlink r:id="rId23">
        <w:r>
          <w:rPr>
            <w:color w:val="2F5E75"/>
          </w:rPr>
          <w:t>https://www.ft.com/content/549f2e23-5aa2-49c7-9ea6-a9784ab7087c</w:t>
        </w:r>
      </w:hyperlink>
    </w:p>
    <w:p>
      <w:pPr>
        <w:spacing w:after="60" w:line="240" w:lineRule="auto"/>
        <w:ind w:left="259" w:hanging="259"/>
      </w:pPr>
      <w:r>
        <w:rPr>
          <w:b/>
          <w:sz w:val="17"/>
        </w:rPr>
        <w:t xml:space="preserve">S13. SEC. </w:t>
      </w:r>
      <w:r>
        <w:rPr>
          <w:sz w:val="17"/>
        </w:rPr>
        <w:t xml:space="preserve">“Alphabet Inc. Form 10-Q, quarter ended June 30, 2026.” 2026-07. </w:t>
      </w:r>
      <w:hyperlink r:id="rId24">
        <w:r>
          <w:rPr>
            <w:color w:val="2F5E75"/>
          </w:rPr>
          <w:t>https://www.sec.gov/Archives/edgar/data/1652044/000165204426000071/goog-20260630.htm</w:t>
        </w:r>
      </w:hyperlink>
    </w:p>
    <w:p>
      <w:pPr>
        <w:spacing w:after="60" w:line="240" w:lineRule="auto"/>
        <w:ind w:left="259" w:hanging="259"/>
      </w:pPr>
      <w:r>
        <w:rPr>
          <w:b/>
          <w:sz w:val="17"/>
        </w:rPr>
        <w:t xml:space="preserve">S14. Axios. </w:t>
      </w:r>
      <w:r>
        <w:rPr>
          <w:sz w:val="17"/>
        </w:rPr>
        <w:t xml:space="preserve">“Apollo leads $35 billion debt deal for Anthropic’s compute.” 2026-06-10. </w:t>
      </w:r>
      <w:hyperlink r:id="rId25">
        <w:r>
          <w:rPr>
            <w:color w:val="2F5E75"/>
          </w:rPr>
          <w:t>https://www.axios.com/2026/06/10/apollo-anthropic-blackstone-broadcom</w:t>
        </w:r>
      </w:hyperlink>
    </w:p>
    <w:p>
      <w:pPr>
        <w:spacing w:after="60" w:line="240" w:lineRule="auto"/>
        <w:ind w:left="259" w:hanging="259"/>
      </w:pPr>
      <w:r>
        <w:rPr>
          <w:b/>
          <w:sz w:val="17"/>
        </w:rPr>
        <w:t xml:space="preserve">S15. Anthropic. </w:t>
      </w:r>
      <w:r>
        <w:rPr>
          <w:sz w:val="17"/>
        </w:rPr>
        <w:t xml:space="preserve">“Anthropic expands use of Google Cloud TPUs.” 2026. </w:t>
      </w:r>
      <w:hyperlink r:id="rId26">
        <w:r>
          <w:rPr>
            <w:color w:val="2F5E75"/>
          </w:rPr>
          <w:t>https://www.anthropic.com/news/anthropic-expands-use-of-google-cloud-tpus</w:t>
        </w:r>
      </w:hyperlink>
    </w:p>
    <w:p>
      <w:pPr>
        <w:spacing w:after="60" w:line="240" w:lineRule="auto"/>
        <w:ind w:left="259" w:hanging="259"/>
      </w:pPr>
      <w:r>
        <w:rPr>
          <w:b/>
          <w:sz w:val="17"/>
        </w:rPr>
        <w:t xml:space="preserve">S16. SEC. </w:t>
      </w:r>
      <w:r>
        <w:rPr>
          <w:sz w:val="17"/>
        </w:rPr>
        <w:t xml:space="preserve">“Amazon.com, Inc. Form 10-Q, quarter ended March 31, 2026.” 2026-05-01. </w:t>
      </w:r>
      <w:hyperlink r:id="rId27">
        <w:r>
          <w:rPr>
            <w:color w:val="2F5E75"/>
          </w:rPr>
          <w:t>https://www.sec.gov/Archives/edgar/data/1018724/000101872426000014/amzn-20260331.htm</w:t>
        </w:r>
      </w:hyperlink>
    </w:p>
    <w:p>
      <w:pPr>
        <w:spacing w:after="60" w:line="240" w:lineRule="auto"/>
        <w:ind w:left="259" w:hanging="259"/>
      </w:pPr>
      <w:r>
        <w:rPr>
          <w:b/>
          <w:sz w:val="17"/>
        </w:rPr>
        <w:t xml:space="preserve">S17. SEC. </w:t>
      </w:r>
      <w:r>
        <w:rPr>
          <w:sz w:val="17"/>
        </w:rPr>
        <w:t xml:space="preserve">“Amazon.com, Inc. Form 8-K — OpenAI equity commitment letter.” 2026-02-27. </w:t>
      </w:r>
      <w:hyperlink r:id="rId28">
        <w:r>
          <w:rPr>
            <w:color w:val="2F5E75"/>
          </w:rPr>
          <w:t>https://www.sec.gov/Archives/edgar/data/1018724/000110465926021050/tm267374d1_8k.htm</w:t>
        </w:r>
      </w:hyperlink>
    </w:p>
    <w:p>
      <w:pPr>
        <w:spacing w:after="60" w:line="240" w:lineRule="auto"/>
        <w:ind w:left="259" w:hanging="259"/>
      </w:pPr>
      <w:r>
        <w:rPr>
          <w:b/>
          <w:sz w:val="17"/>
        </w:rPr>
        <w:t xml:space="preserve">S18. Associated Press. </w:t>
      </w:r>
      <w:r>
        <w:rPr>
          <w:sz w:val="17"/>
        </w:rPr>
        <w:t xml:space="preserve">“Amazon to boost spending on AI and other technology by $20 billion after strong Q2 results.” 2026-07-30. </w:t>
      </w:r>
      <w:hyperlink r:id="rId29">
        <w:r>
          <w:rPr>
            <w:color w:val="2F5E75"/>
          </w:rPr>
          <w:t>https://apnews.com/article/b4ce02b4666a35b8975823c5c22072ee</w:t>
        </w:r>
      </w:hyperlink>
    </w:p>
    <w:p>
      <w:pPr>
        <w:spacing w:after="60" w:line="240" w:lineRule="auto"/>
        <w:ind w:left="259" w:hanging="259"/>
      </w:pPr>
      <w:r>
        <w:rPr>
          <w:b/>
          <w:sz w:val="17"/>
        </w:rPr>
        <w:t xml:space="preserve">S19. MarketWatch. </w:t>
      </w:r>
      <w:r>
        <w:rPr>
          <w:sz w:val="17"/>
        </w:rPr>
        <w:t xml:space="preserve">“Amazon posts a big paper gain on its Anthropic investment.” 2026-07-30. </w:t>
      </w:r>
      <w:hyperlink r:id="rId30">
        <w:r>
          <w:rPr>
            <w:color w:val="2F5E75"/>
          </w:rPr>
          <w:t>https://www.marketwatch.com/livecoverage/amazon-earnings-stock-results-guidance-q2/card/amazon-posts-a-big-gain-on-its-anthropic-investment-H0PZCbIeYiLLhY0mUTS3</w:t>
        </w:r>
      </w:hyperlink>
    </w:p>
    <w:p>
      <w:pPr>
        <w:spacing w:after="60" w:line="240" w:lineRule="auto"/>
        <w:ind w:left="259" w:hanging="259"/>
      </w:pPr>
      <w:r>
        <w:rPr>
          <w:b/>
          <w:sz w:val="17"/>
        </w:rPr>
        <w:t xml:space="preserve">S20. Oracle. </w:t>
      </w:r>
      <w:r>
        <w:rPr>
          <w:sz w:val="17"/>
        </w:rPr>
        <w:t xml:space="preserve">“Oracle Announces Record Q4 and FY2026 Results Driven by Cloud Infrastructure and Cloud Applications.” 2026-06-10. </w:t>
      </w:r>
      <w:hyperlink r:id="rId31">
        <w:r>
          <w:rPr>
            <w:color w:val="2F5E75"/>
          </w:rPr>
          <w:t>https://investor.oracle.com/investor-news/news-details/2026/Oracle-Announces-Record-Q4-and-FY-2026-Results-Driven-by-Cloud-Infrastructure--Cloud-Applications/default.aspx</w:t>
        </w:r>
      </w:hyperlink>
    </w:p>
    <w:p>
      <w:pPr>
        <w:spacing w:after="60" w:line="240" w:lineRule="auto"/>
        <w:ind w:left="259" w:hanging="259"/>
      </w:pPr>
      <w:r>
        <w:rPr>
          <w:b/>
          <w:sz w:val="17"/>
        </w:rPr>
        <w:t xml:space="preserve">S21. Oracle. </w:t>
      </w:r>
      <w:r>
        <w:rPr>
          <w:sz w:val="17"/>
        </w:rPr>
        <w:t xml:space="preserve">“Oracle SEC filings — FY2026 Form 10-K.” 2026-06-22. </w:t>
      </w:r>
      <w:hyperlink r:id="rId32">
        <w:r>
          <w:rPr>
            <w:color w:val="2F5E75"/>
          </w:rPr>
          <w:t>https://investor.oracle.com/sec-filings/</w:t>
        </w:r>
      </w:hyperlink>
    </w:p>
    <w:p>
      <w:pPr>
        <w:spacing w:after="60" w:line="240" w:lineRule="auto"/>
        <w:ind w:left="259" w:hanging="259"/>
      </w:pPr>
      <w:r>
        <w:rPr>
          <w:b/>
          <w:sz w:val="17"/>
        </w:rPr>
        <w:t xml:space="preserve">S22. SEC. </w:t>
      </w:r>
      <w:r>
        <w:rPr>
          <w:sz w:val="17"/>
        </w:rPr>
        <w:t xml:space="preserve">“Oracle calendar-year 2026 financing plan.” 2026-02-01. </w:t>
      </w:r>
      <w:hyperlink r:id="rId33">
        <w:r>
          <w:rPr>
            <w:color w:val="2F5E75"/>
          </w:rPr>
          <w:t>https://www.sec.gov/Archives/edgar/data/1341439/000119312526032650/d36096dfwp.htm</w:t>
        </w:r>
      </w:hyperlink>
    </w:p>
    <w:p>
      <w:pPr>
        <w:spacing w:after="60" w:line="240" w:lineRule="auto"/>
        <w:ind w:left="259" w:hanging="259"/>
      </w:pPr>
      <w:r>
        <w:rPr>
          <w:b/>
          <w:sz w:val="17"/>
        </w:rPr>
        <w:t xml:space="preserve">S23. The Wall Street Journal. </w:t>
      </w:r>
      <w:r>
        <w:rPr>
          <w:sz w:val="17"/>
        </w:rPr>
        <w:t xml:space="preserve">“Debt Is Fueling the Next Wave of the AI Boom.” 2025-10. </w:t>
      </w:r>
      <w:hyperlink r:id="rId34">
        <w:r>
          <w:rPr>
            <w:color w:val="2F5E75"/>
          </w:rPr>
          <w:t>https://www.wsj.com/tech/ai/debt-is-fueling-the-next-wave-of-the-ai-boom-278d0e04</w:t>
        </w:r>
      </w:hyperlink>
    </w:p>
    <w:p>
      <w:pPr>
        <w:spacing w:after="60" w:line="240" w:lineRule="auto"/>
        <w:ind w:left="259" w:hanging="259"/>
      </w:pPr>
      <w:r>
        <w:rPr>
          <w:b/>
          <w:sz w:val="17"/>
        </w:rPr>
        <w:t xml:space="preserve">S24. OpenAI. </w:t>
      </w:r>
      <w:r>
        <w:rPr>
          <w:sz w:val="17"/>
        </w:rPr>
        <w:t xml:space="preserve">“Access OpenAI models and Codex through your Oracle cloud commitment.” 2026-06-10. </w:t>
      </w:r>
      <w:hyperlink r:id="rId35">
        <w:r>
          <w:rPr>
            <w:color w:val="2F5E75"/>
          </w:rPr>
          <w:t>https://openai.com/index/openai-on-oracle-cloud/</w:t>
        </w:r>
      </w:hyperlink>
    </w:p>
    <w:p>
      <w:pPr>
        <w:spacing w:after="60" w:line="240" w:lineRule="auto"/>
        <w:ind w:left="259" w:hanging="259"/>
      </w:pPr>
      <w:r>
        <w:rPr>
          <w:b/>
          <w:sz w:val="17"/>
        </w:rPr>
        <w:t xml:space="preserve">S25. SEC. </w:t>
      </w:r>
      <w:r>
        <w:rPr>
          <w:sz w:val="17"/>
        </w:rPr>
        <w:t xml:space="preserve">“Microsoft Corp. Form 10-Q, quarter ended March 31, 2026.” 2026-04. </w:t>
      </w:r>
      <w:hyperlink r:id="rId36">
        <w:r>
          <w:rPr>
            <w:color w:val="2F5E75"/>
          </w:rPr>
          <w:t>https://www.sec.gov/Archives/edgar/data/789019/000119312526191507/msft-20260331.htm</w:t>
        </w:r>
      </w:hyperlink>
    </w:p>
    <w:p>
      <w:pPr>
        <w:spacing w:after="60" w:line="240" w:lineRule="auto"/>
        <w:ind w:left="259" w:hanging="259"/>
      </w:pPr>
      <w:r>
        <w:rPr>
          <w:b/>
          <w:sz w:val="17"/>
        </w:rPr>
        <w:t xml:space="preserve">S26. Microsoft. </w:t>
      </w:r>
      <w:r>
        <w:rPr>
          <w:sz w:val="17"/>
        </w:rPr>
        <w:t xml:space="preserve">“Microsoft Fiscal Year 2026 Third Quarter Earnings Conference Call.” 2026-04. </w:t>
      </w:r>
      <w:hyperlink r:id="rId37">
        <w:r>
          <w:rPr>
            <w:color w:val="2F5E75"/>
          </w:rPr>
          <w:t>https://www.microsoft.com/en-us/investor/events/fy-2026/earnings-fy-2026-q3</w:t>
        </w:r>
      </w:hyperlink>
    </w:p>
    <w:p>
      <w:pPr>
        <w:spacing w:after="60" w:line="240" w:lineRule="auto"/>
        <w:ind w:left="259" w:hanging="259"/>
      </w:pPr>
      <w:r>
        <w:rPr>
          <w:b/>
          <w:sz w:val="17"/>
        </w:rPr>
        <w:t xml:space="preserve">S27. SEC. </w:t>
      </w:r>
      <w:r>
        <w:rPr>
          <w:sz w:val="17"/>
        </w:rPr>
        <w:t xml:space="preserve">“Microsoft Corp. Form 10-K, year ended June 30, 2025.” 2025-07. </w:t>
      </w:r>
      <w:hyperlink r:id="rId38">
        <w:r>
          <w:rPr>
            <w:color w:val="2F5E75"/>
          </w:rPr>
          <w:t>https://www.sec.gov/Archives/edgar/data/789019/000095017025100235/msft-20250630.htm</w:t>
        </w:r>
      </w:hyperlink>
    </w:p>
    <w:p>
      <w:pPr>
        <w:spacing w:after="60" w:line="240" w:lineRule="auto"/>
        <w:ind w:left="259" w:hanging="259"/>
      </w:pPr>
      <w:r>
        <w:rPr>
          <w:b/>
          <w:sz w:val="17"/>
        </w:rPr>
        <w:t xml:space="preserve">S28. SEC. </w:t>
      </w:r>
      <w:r>
        <w:rPr>
          <w:sz w:val="17"/>
        </w:rPr>
        <w:t xml:space="preserve">“CoreWeave, Inc. Form 10-Q, quarter ended June 30, 2025.” 2025-08. </w:t>
      </w:r>
      <w:hyperlink r:id="rId39">
        <w:r>
          <w:rPr>
            <w:color w:val="2F5E75"/>
          </w:rPr>
          <w:t>https://www.sec.gov/Archives/edgar/data/1769628/000176962825000041/crwv-20250630.htm</w:t>
        </w:r>
      </w:hyperlink>
    </w:p>
    <w:p>
      <w:pPr>
        <w:spacing w:after="60" w:line="240" w:lineRule="auto"/>
        <w:ind w:left="259" w:hanging="259"/>
      </w:pPr>
      <w:r>
        <w:rPr>
          <w:b/>
          <w:sz w:val="17"/>
        </w:rPr>
        <w:t xml:space="preserve">S29. Financial Times. </w:t>
      </w:r>
      <w:r>
        <w:rPr>
          <w:sz w:val="17"/>
        </w:rPr>
        <w:t xml:space="preserve">“CoreWeave bows to investor pushback on debt linked to Anthropic contracts.” 2026. </w:t>
      </w:r>
      <w:hyperlink r:id="rId40">
        <w:r>
          <w:rPr>
            <w:color w:val="2F5E75"/>
          </w:rPr>
          <w:t>https://www.ft.com/content/9d2117af-b3ec-4ca4-b00f-6813ab5075ec</w:t>
        </w:r>
      </w:hyperlink>
    </w:p>
    <w:p>
      <w:pPr>
        <w:spacing w:after="60" w:line="240" w:lineRule="auto"/>
        <w:ind w:left="259" w:hanging="259"/>
      </w:pPr>
      <w:r>
        <w:rPr>
          <w:b/>
          <w:sz w:val="17"/>
        </w:rPr>
        <w:t xml:space="preserve">S30. MarketWatch. </w:t>
      </w:r>
      <w:r>
        <w:rPr>
          <w:sz w:val="17"/>
        </w:rPr>
        <w:t xml:space="preserve">“Elon Musk’s xAI may be the next AI company to do a creative financing deal involving Nvidia.” 2025. </w:t>
      </w:r>
      <w:hyperlink r:id="rId41">
        <w:r>
          <w:rPr>
            <w:color w:val="2F5E75"/>
          </w:rPr>
          <w:t>https://www.marketwatch.com/story/elon-musks-xai-may-be-the-next-ai-company-to-do-a-creative-financing-deal-involving-nvidia-2d2705c0</w:t>
        </w:r>
      </w:hyperlink>
    </w:p>
    <w:p>
      <w:pPr>
        <w:spacing w:after="60" w:line="240" w:lineRule="auto"/>
        <w:ind w:left="259" w:hanging="259"/>
      </w:pPr>
      <w:r>
        <w:rPr>
          <w:b/>
          <w:sz w:val="17"/>
        </w:rPr>
        <w:t xml:space="preserve">S31. The Wall Street Journal. </w:t>
      </w:r>
      <w:r>
        <w:rPr>
          <w:sz w:val="17"/>
        </w:rPr>
        <w:t xml:space="preserve">“Investors Seek to Pull Nearly $16 Billion From Private-Credit Funds.” 2026-07. </w:t>
      </w:r>
      <w:hyperlink r:id="rId42">
        <w:r>
          <w:rPr>
            <w:color w:val="2F5E75"/>
          </w:rPr>
          <w:t>https://www.wsj.com/finance/investing/investors-seek-to-pull-nearly-16-billion-from-private-credit-funds-81b6fe37</w:t>
        </w:r>
      </w:hyperlink>
    </w:p>
    <w:p>
      <w:pPr>
        <w:spacing w:after="60" w:line="240" w:lineRule="auto"/>
        <w:ind w:left="259" w:hanging="259"/>
      </w:pPr>
      <w:r>
        <w:rPr>
          <w:b/>
          <w:sz w:val="17"/>
        </w:rPr>
        <w:t xml:space="preserve">S32. SEC. </w:t>
      </w:r>
      <w:r>
        <w:rPr>
          <w:sz w:val="17"/>
        </w:rPr>
        <w:t xml:space="preserve">“Blackstone Private Credit Fund investor letter regarding Q2 2026 repurchases.” 2026-06-04. </w:t>
      </w:r>
      <w:hyperlink r:id="rId43">
        <w:r>
          <w:rPr>
            <w:color w:val="2F5E75"/>
          </w:rPr>
          <w:t>https://www.sec.gov/Archives/edgar/data/1803498/000121390026065024/ea0292864-01_ex99a1vii.htm</w:t>
        </w:r>
      </w:hyperlink>
    </w:p>
    <w:p>
      <w:pPr>
        <w:spacing w:after="60" w:line="240" w:lineRule="auto"/>
        <w:ind w:left="259" w:hanging="259"/>
      </w:pPr>
      <w:r>
        <w:rPr>
          <w:b/>
          <w:sz w:val="17"/>
        </w:rPr>
        <w:t xml:space="preserve">S33. SEC. </w:t>
      </w:r>
      <w:r>
        <w:rPr>
          <w:sz w:val="17"/>
        </w:rPr>
        <w:t xml:space="preserve">“Apollo Debt Solutions — Q2 2026 repurchase and flow update.” 2026. </w:t>
      </w:r>
      <w:hyperlink r:id="rId44">
        <w:r>
          <w:rPr>
            <w:color w:val="2F5E75"/>
          </w:rPr>
          <w:t>https://www.sec.gov/Archives/edgar/data/1837532/000119312526277655/d66029d8k.htm</w:t>
        </w:r>
      </w:hyperlink>
    </w:p>
    <w:p>
      <w:pPr>
        <w:spacing w:after="60" w:line="240" w:lineRule="auto"/>
        <w:ind w:left="259" w:hanging="259"/>
      </w:pPr>
      <w:r>
        <w:rPr>
          <w:b/>
          <w:sz w:val="17"/>
        </w:rPr>
        <w:t xml:space="preserve">S34. SEC. </w:t>
      </w:r>
      <w:r>
        <w:rPr>
          <w:sz w:val="17"/>
        </w:rPr>
        <w:t xml:space="preserve">“Blue Owl Technology Income Corp. — Q2 2026 tender update.” 2026. </w:t>
      </w:r>
      <w:hyperlink r:id="rId45">
        <w:r>
          <w:rPr>
            <w:color w:val="2F5E75"/>
          </w:rPr>
          <w:t>https://www.sec.gov/Archives/edgar/data/1869453/000119312526293510/d137346dex991.htm</w:t>
        </w:r>
      </w:hyperlink>
    </w:p>
    <w:p>
      <w:pPr>
        <w:spacing w:after="60" w:line="240" w:lineRule="auto"/>
        <w:ind w:left="259" w:hanging="259"/>
      </w:pPr>
      <w:r>
        <w:rPr>
          <w:b/>
          <w:sz w:val="17"/>
        </w:rPr>
        <w:t xml:space="preserve">S35. SEC. </w:t>
      </w:r>
      <w:r>
        <w:rPr>
          <w:sz w:val="17"/>
        </w:rPr>
        <w:t xml:space="preserve">“Blue Owl Credit Income Corp. Q2 2026 tender offer amount.” 2026-05-26. </w:t>
      </w:r>
      <w:hyperlink r:id="rId46">
        <w:r>
          <w:rPr>
            <w:color w:val="2F5E75"/>
          </w:rPr>
          <w:t>https://www.sec.gov/Archives/edgar/data/1812554/000162828026038223/exhibit99a1a-ocicschedulet.htm</w:t>
        </w:r>
      </w:hyperlink>
    </w:p>
    <w:p>
      <w:pPr>
        <w:spacing w:after="60" w:line="240" w:lineRule="auto"/>
        <w:ind w:left="259" w:hanging="259"/>
      </w:pPr>
      <w:r>
        <w:rPr>
          <w:b/>
          <w:sz w:val="17"/>
        </w:rPr>
        <w:t xml:space="preserve">S36. The Wall Street Journal. </w:t>
      </w:r>
      <w:r>
        <w:rPr>
          <w:sz w:val="17"/>
        </w:rPr>
        <w:t xml:space="preserve">“Blue Owl Leans Into Real Assets to Buffer Private-Credit Woes.” 2026-07. </w:t>
      </w:r>
      <w:hyperlink r:id="rId47">
        <w:r>
          <w:rPr>
            <w:color w:val="2F5E75"/>
          </w:rPr>
          <w:t>https://www.wsj.com/pro/private-equity/blue-owl-leans-into-real-assets-to-buffer-private-credit-woes-0c7599e5</w:t>
        </w:r>
      </w:hyperlink>
    </w:p>
    <w:p>
      <w:pPr>
        <w:spacing w:after="60" w:line="240" w:lineRule="auto"/>
        <w:ind w:left="259" w:hanging="259"/>
      </w:pPr>
      <w:r>
        <w:rPr>
          <w:b/>
          <w:sz w:val="17"/>
        </w:rPr>
        <w:t xml:space="preserve">S37. SEC. </w:t>
      </w:r>
      <w:r>
        <w:rPr>
          <w:sz w:val="17"/>
        </w:rPr>
        <w:t xml:space="preserve">“Blue Owl Credit Income Corp. $500 million 6.550% notes due 2031.” 2026-06-11. </w:t>
      </w:r>
      <w:hyperlink r:id="rId48">
        <w:r>
          <w:rPr>
            <w:color w:val="2F5E75"/>
          </w:rPr>
          <w:t>https://www.sec.gov/Archives/edgar/data/1812554/000162828026042497/ocic-20260608.htm</w:t>
        </w:r>
      </w:hyperlink>
    </w:p>
    <w:p>
      <w:pPr>
        <w:spacing w:after="60" w:line="240" w:lineRule="auto"/>
        <w:ind w:left="259" w:hanging="259"/>
      </w:pPr>
      <w:r>
        <w:rPr>
          <w:b/>
          <w:sz w:val="17"/>
        </w:rPr>
        <w:t xml:space="preserve">S38. Medallia. </w:t>
      </w:r>
      <w:r>
        <w:rPr>
          <w:sz w:val="17"/>
        </w:rPr>
        <w:t xml:space="preserve">“Medallia Announces Milestone Agreement with Group Led by Blackstone.” 2026-06-17. </w:t>
      </w:r>
      <w:hyperlink r:id="rId49">
        <w:r>
          <w:rPr>
            <w:color w:val="2F5E75"/>
          </w:rPr>
          <w:t>https://www.medallia.com/press-release/medallia-announces-milestone-agreement-with-group-led-by-blackstone/</w:t>
        </w:r>
      </w:hyperlink>
    </w:p>
    <w:p>
      <w:pPr>
        <w:spacing w:after="60" w:line="240" w:lineRule="auto"/>
        <w:ind w:left="259" w:hanging="259"/>
      </w:pPr>
      <w:r>
        <w:rPr>
          <w:b/>
          <w:sz w:val="17"/>
        </w:rPr>
        <w:t xml:space="preserve">S39. Financial Times. </w:t>
      </w:r>
      <w:r>
        <w:rPr>
          <w:sz w:val="17"/>
        </w:rPr>
        <w:t xml:space="preserve">“AI risks drag on $5bn Thoma Bravo-backed software refinancing.” 2026. </w:t>
      </w:r>
      <w:hyperlink r:id="rId50">
        <w:r>
          <w:rPr>
            <w:color w:val="2F5E75"/>
          </w:rPr>
          <w:t>https://www.ft.com/content/817f559d-11b6-4969-a613-8517861e6df0</w:t>
        </w:r>
      </w:hyperlink>
    </w:p>
    <w:p>
      <w:pPr>
        <w:spacing w:after="60" w:line="240" w:lineRule="auto"/>
        <w:ind w:left="259" w:hanging="259"/>
      </w:pPr>
      <w:r>
        <w:rPr>
          <w:b/>
          <w:sz w:val="17"/>
        </w:rPr>
        <w:t xml:space="preserve">S40. SEC. </w:t>
      </w:r>
      <w:r>
        <w:rPr>
          <w:sz w:val="17"/>
        </w:rPr>
        <w:t xml:space="preserve">“Jefferies Financial Group Form 10-Q, quarter ended May 31, 2026.” 2026. </w:t>
      </w:r>
      <w:hyperlink r:id="rId51">
        <w:r>
          <w:rPr>
            <w:color w:val="2F5E75"/>
          </w:rPr>
          <w:t>https://www.sec.gov/Archives/edgar/data/96223/000009622326000025/jef-20260531.htm</w:t>
        </w:r>
      </w:hyperlink>
    </w:p>
    <w:p>
      <w:pPr>
        <w:spacing w:after="60" w:line="240" w:lineRule="auto"/>
        <w:ind w:left="259" w:hanging="259"/>
      </w:pPr>
      <w:r>
        <w:rPr>
          <w:b/>
          <w:sz w:val="17"/>
        </w:rPr>
        <w:t xml:space="preserve">S41. Jefferies. </w:t>
      </w:r>
      <w:r>
        <w:rPr>
          <w:sz w:val="17"/>
        </w:rPr>
        <w:t xml:space="preserve">“Jefferies statement regarding First Brands and Point Bonita.” 2025-10. </w:t>
      </w:r>
      <w:hyperlink r:id="rId52">
        <w:r>
          <w:rPr>
            <w:color w:val="2F5E75"/>
          </w:rPr>
          <w:t>https://www.sec.gov/Archives/edgar/data/96223/000114036125037595/ef20056799_ex99-1.htm</w:t>
        </w:r>
      </w:hyperlink>
    </w:p>
    <w:p>
      <w:pPr>
        <w:spacing w:after="60" w:line="240" w:lineRule="auto"/>
        <w:ind w:left="259" w:hanging="259"/>
      </w:pPr>
      <w:r>
        <w:rPr>
          <w:b/>
          <w:sz w:val="17"/>
        </w:rPr>
        <w:t xml:space="preserve">S42. SEC. </w:t>
      </w:r>
      <w:r>
        <w:rPr>
          <w:sz w:val="17"/>
        </w:rPr>
        <w:t xml:space="preserve">“Jefferies Financial Group Form 10-Q, quarter ended February 28, 2026.” 2026. </w:t>
      </w:r>
      <w:hyperlink r:id="rId53">
        <w:r>
          <w:rPr>
            <w:color w:val="2F5E75"/>
          </w:rPr>
          <w:t>https://www.sec.gov/Archives/edgar/data/96223/000009622326000012/jef-20260228.htm</w:t>
        </w:r>
      </w:hyperlink>
    </w:p>
    <w:p>
      <w:pPr>
        <w:spacing w:after="60" w:line="240" w:lineRule="auto"/>
        <w:ind w:left="259" w:hanging="259"/>
      </w:pPr>
      <w:r>
        <w:rPr>
          <w:b/>
          <w:sz w:val="17"/>
        </w:rPr>
        <w:t xml:space="preserve">S43. The Wall Street Journal. </w:t>
      </w:r>
      <w:r>
        <w:rPr>
          <w:sz w:val="17"/>
        </w:rPr>
        <w:t xml:space="preserve">“Two Big Loan Defaults Add to Pain in Private-Credit Funds.” 2026. </w:t>
      </w:r>
      <w:hyperlink r:id="rId54">
        <w:r>
          <w:rPr>
            <w:color w:val="2F5E75"/>
          </w:rPr>
          <w:t>https://www.wsj.com/finance/investing/two-big-loan-defaults-add-to-pain-in-private-credit-funds-b179351c</w:t>
        </w:r>
      </w:hyperlink>
    </w:p>
    <w:p>
      <w:pPr>
        <w:spacing w:after="60" w:line="240" w:lineRule="auto"/>
        <w:ind w:left="259" w:hanging="259"/>
      </w:pPr>
      <w:r>
        <w:rPr>
          <w:b/>
          <w:sz w:val="17"/>
        </w:rPr>
        <w:t xml:space="preserve">S44. Financial Times. </w:t>
      </w:r>
      <w:r>
        <w:rPr>
          <w:sz w:val="17"/>
        </w:rPr>
        <w:t xml:space="preserve">“Big Tech AI spending spree tops $1tn.” 2026-07-31. </w:t>
      </w:r>
      <w:hyperlink r:id="rId55">
        <w:r>
          <w:rPr>
            <w:color w:val="2F5E75"/>
          </w:rPr>
          <w:t>https://www.ft.com/content/dcf3873e-7b32-4a24-a90d-3bccf1d2c996</w:t>
        </w:r>
      </w:hyperlink>
    </w:p>
    <w:p>
      <w:pPr>
        <w:spacing w:after="60" w:line="240" w:lineRule="auto"/>
        <w:ind w:left="259" w:hanging="259"/>
      </w:pPr>
      <w:r>
        <w:rPr>
          <w:b/>
          <w:sz w:val="17"/>
        </w:rPr>
        <w:t xml:space="preserve">S45. SEC. </w:t>
      </w:r>
      <w:r>
        <w:rPr>
          <w:sz w:val="17"/>
        </w:rPr>
        <w:t xml:space="preserve">“Blackstone Private Credit Fund Q2 2026 repurchase offer documents.” 2026-05-01. </w:t>
      </w:r>
      <w:hyperlink r:id="rId56">
        <w:r>
          <w:rPr>
            <w:color w:val="2F5E75"/>
          </w:rPr>
          <w:t>https://www.sec.gov/Archives/edgar/data/1803498/000119312526199360/d133377dex99a1i.htm</w:t>
        </w:r>
      </w:hyperlink>
    </w:p>
    <w:p>
      <w:pPr>
        <w:spacing w:after="60" w:line="240" w:lineRule="auto"/>
        <w:ind w:left="259" w:hanging="259"/>
      </w:pPr>
      <w:r>
        <w:rPr>
          <w:b/>
          <w:sz w:val="17"/>
        </w:rPr>
        <w:t xml:space="preserve">S46. SEC. </w:t>
      </w:r>
      <w:r>
        <w:rPr>
          <w:sz w:val="17"/>
        </w:rPr>
        <w:t xml:space="preserve">“Blue Owl Technology Income Corp. Q2 2026 tender amount.” 2026-05-26. </w:t>
      </w:r>
      <w:hyperlink r:id="rId57">
        <w:r>
          <w:rPr>
            <w:color w:val="2F5E75"/>
          </w:rPr>
          <w:t>https://www.sec.gov/Archives/edgar/data/1869453/000162828026038221/exhibit99a1a-oticschedulet.htm</w:t>
        </w:r>
      </w:hyperlink>
    </w:p>
    <w:p>
      <w:pPr>
        <w:spacing w:after="60" w:line="240" w:lineRule="auto"/>
        <w:ind w:left="259" w:hanging="259"/>
      </w:pPr>
      <w:r>
        <w:rPr>
          <w:b/>
          <w:sz w:val="17"/>
        </w:rPr>
        <w:t xml:space="preserve">S47. Microsoft. </w:t>
      </w:r>
      <w:r>
        <w:rPr>
          <w:sz w:val="17"/>
        </w:rPr>
        <w:t xml:space="preserve">“Microsoft FY2026 Q1 earnings call.” 2025-10. </w:t>
      </w:r>
      <w:hyperlink r:id="rId58">
        <w:r>
          <w:rPr>
            <w:color w:val="2F5E75"/>
          </w:rPr>
          <w:t>https://www.microsoft.com/en-us/investor/events/fy-2026/earnings-fy-2026-q1</w:t>
        </w:r>
      </w:hyperlink>
    </w:p>
    <w:p>
      <w:pPr>
        <w:spacing w:after="60" w:line="240" w:lineRule="auto"/>
        <w:ind w:left="259" w:hanging="259"/>
      </w:pPr>
      <w:r>
        <w:rPr>
          <w:b/>
          <w:sz w:val="17"/>
        </w:rPr>
        <w:t xml:space="preserve">S48. SEC. </w:t>
      </w:r>
      <w:r>
        <w:rPr>
          <w:sz w:val="17"/>
        </w:rPr>
        <w:t xml:space="preserve">“Amazon.com, Inc. Form 10-K, year ended December 31, 2025.” 2026-02. </w:t>
      </w:r>
      <w:hyperlink r:id="rId59">
        <w:r>
          <w:rPr>
            <w:color w:val="2F5E75"/>
          </w:rPr>
          <w:t>https://www.sec.gov/Archives/edgar/data/1018724/000101872426000004/amzn-20251231.htm</w:t>
        </w:r>
      </w:hyperlink>
    </w:p>
    <w:p>
      <w:pPr>
        <w:spacing w:after="60" w:line="240" w:lineRule="auto"/>
        <w:ind w:left="259" w:hanging="259"/>
      </w:pPr>
      <w:r>
        <w:rPr>
          <w:b/>
          <w:sz w:val="17"/>
        </w:rPr>
        <w:t xml:space="preserve">S49. Business Insider. </w:t>
      </w:r>
      <w:r>
        <w:rPr>
          <w:sz w:val="17"/>
        </w:rPr>
        <w:t xml:space="preserve">“Meta’s future AI data-center lease obligations swell to over a quarter trillion dollars.” 2026-07-30. </w:t>
      </w:r>
      <w:hyperlink r:id="rId60">
        <w:r>
          <w:rPr>
            <w:color w:val="2F5E75"/>
          </w:rPr>
          <w:t>https://www.businessinsider.com/meta-future-ai-data-center-leases-quarter-trillion-dollars-2026-7</w:t>
        </w:r>
      </w:hyperlink>
    </w:p>
    <w:p>
      <w:pPr>
        <w:spacing w:after="60" w:line="240" w:lineRule="auto"/>
        <w:ind w:left="259" w:hanging="259"/>
      </w:pPr>
      <w:r>
        <w:rPr>
          <w:b/>
          <w:sz w:val="17"/>
        </w:rPr>
        <w:t xml:space="preserve">S50. Reuters. </w:t>
      </w:r>
      <w:r>
        <w:rPr>
          <w:sz w:val="17"/>
        </w:rPr>
        <w:t xml:space="preserve">“Private credit and First Brands litigation coverage.” 2026. </w:t>
      </w:r>
      <w:hyperlink r:id="rId61">
        <w:r>
          <w:rPr>
            <w:color w:val="2F5E75"/>
          </w:rPr>
          <w:t>https://www.reuters.com/markets/</w:t>
        </w:r>
      </w:hyperlink>
    </w:p>
    <w:p>
      <w:pPr>
        <w:pStyle w:val="Heading1"/>
        <w:keepNext/>
      </w:pPr>
      <w:r>
        <w:t>Closing synthesis</w:t>
      </w:r>
    </w:p>
    <w:p>
      <w:pPr>
        <w:spacing w:after="100" w:line="259" w:lineRule="auto"/>
      </w:pPr>
      <w:r>
        <w:t>The same capital is now moving through three distinct repricings. First, 2021 venture equity is being realized at lower values, as Airtable demonstrates. Second, leveraged software debt is refinancing at materially higher coupons or converting into creditor ownership, as Proofpoint and Medallia demonstrate. Third, alternative managers are redeploying capital into AI infrastructure through leases, SPVs, guarantees and project debt whose duration is often longer than the customer contracts supporting it.</w:t>
      </w:r>
    </w:p>
    <w:p>
      <w:pPr>
        <w:spacing w:after="100" w:line="259" w:lineRule="auto"/>
      </w:pPr>
      <w:r>
        <w:t>The practical surveillance framework is therefore not “which company has the most debt.” It is: who signs the customer contract; who owns the asset; who issues the debt; who guarantees payment or residual value; who holds the paper; what vehicle promises liquidity; and what happens when the customer contract expires before the asset or lease obligation.</w:t>
      </w:r>
    </w:p>
    <w:sectPr w:rsidR="00FC693F" w:rsidRPr="0006063C" w:rsidSect="00034616">
      <w:headerReference w:type="default" r:id="rId62"/>
      <w:footerReference w:type="default" r:id="rId63"/>
      <w:headerReference w:type="first" r:id="rId64"/>
      <w:footerReference w:type="first" r:id="rId65"/>
      <w:pgSz w:w="12240" w:h="15840"/>
      <w:pgMar w:top="979" w:right="1037" w:bottom="893"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37D"/>
        <w:sz w:val="16"/>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C7A82"/>
        <w:sz w:val="15"/>
      </w:rPr>
      <w:t>PRIVATE CAPITAL FIELD REPORT  |  PUBLIC RECORD THROUGH AUGUST 4,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9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E7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6A87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6A879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A697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www.airtable.com/newsroom/series-f" TargetMode="External"/><Relationship Id="rId13" Type="http://schemas.openxmlformats.org/officeDocument/2006/relationships/hyperlink" Target="https://investors.bendingspoons.com/newsroom/bending-spoons-agrees-to-acquire-airtable" TargetMode="External"/><Relationship Id="rId14" Type="http://schemas.openxmlformats.org/officeDocument/2006/relationships/hyperlink" Target="https://www.axios.com/2026/08/04/bending-spoons-airtable" TargetMode="External"/><Relationship Id="rId15" Type="http://schemas.openxmlformats.org/officeDocument/2006/relationships/hyperlink" Target="https://www.sec.gov/Archives/edgar/data/2004711/000110465926076487/tm2613674-10_f1.htm" TargetMode="External"/><Relationship Id="rId16" Type="http://schemas.openxmlformats.org/officeDocument/2006/relationships/hyperlink" Target="https://www.sec.gov/Archives/edgar/data/2045724/000204572426000008/0002045724-26-000008-index.html" TargetMode="External"/><Relationship Id="rId17" Type="http://schemas.openxmlformats.org/officeDocument/2006/relationships/hyperlink" Target="https://www.sec.gov/Archives/edgar/data/2045724/000204572426000008/salp13fq1xml.html" TargetMode="External"/><Relationship Id="rId18" Type="http://schemas.openxmlformats.org/officeDocument/2006/relationships/hyperlink" Target="https://www.wsj.com/finance/citadel-buys-situational-awarenesss-stock-portfolio-after-big-losses-in-ai-5117159b" TargetMode="External"/><Relationship Id="rId19" Type="http://schemas.openxmlformats.org/officeDocument/2006/relationships/hyperlink" Target="https://www.axios.com/2026/07/30/ai-hedge-fund-situational-awareness-citadel" TargetMode="External"/><Relationship Id="rId20" Type="http://schemas.openxmlformats.org/officeDocument/2006/relationships/hyperlink" Target="https://www.sec.gov/edgar/browse/?CIK=2045724" TargetMode="External"/><Relationship Id="rId21" Type="http://schemas.openxmlformats.org/officeDocument/2006/relationships/hyperlink" Target="https://www.sec.gov/Archives/edgar/data/1326801/000162828026050705/meta-20260630.htm" TargetMode="External"/><Relationship Id="rId22" Type="http://schemas.openxmlformats.org/officeDocument/2006/relationships/hyperlink" Target="https://investor.atmeta.com/investor-news/press-release-details/2025/Meta-Announces-Joint-Venture-with-Funds-Managed-by-Blue-Owl-Capital-to-Develop-Hyperion-Data-Center/default.aspx" TargetMode="External"/><Relationship Id="rId23" Type="http://schemas.openxmlformats.org/officeDocument/2006/relationships/hyperlink" Target="https://www.ft.com/content/549f2e23-5aa2-49c7-9ea6-a9784ab7087c" TargetMode="External"/><Relationship Id="rId24" Type="http://schemas.openxmlformats.org/officeDocument/2006/relationships/hyperlink" Target="https://www.sec.gov/Archives/edgar/data/1652044/000165204426000071/goog-20260630.htm" TargetMode="External"/><Relationship Id="rId25" Type="http://schemas.openxmlformats.org/officeDocument/2006/relationships/hyperlink" Target="https://www.axios.com/2026/06/10/apollo-anthropic-blackstone-broadcom" TargetMode="External"/><Relationship Id="rId26" Type="http://schemas.openxmlformats.org/officeDocument/2006/relationships/hyperlink" Target="https://www.anthropic.com/news/anthropic-expands-use-of-google-cloud-tpus" TargetMode="External"/><Relationship Id="rId27" Type="http://schemas.openxmlformats.org/officeDocument/2006/relationships/hyperlink" Target="https://www.sec.gov/Archives/edgar/data/1018724/000101872426000014/amzn-20260331.htm" TargetMode="External"/><Relationship Id="rId28" Type="http://schemas.openxmlformats.org/officeDocument/2006/relationships/hyperlink" Target="https://www.sec.gov/Archives/edgar/data/1018724/000110465926021050/tm267374d1_8k.htm" TargetMode="External"/><Relationship Id="rId29" Type="http://schemas.openxmlformats.org/officeDocument/2006/relationships/hyperlink" Target="https://apnews.com/article/b4ce02b4666a35b8975823c5c22072ee" TargetMode="External"/><Relationship Id="rId30" Type="http://schemas.openxmlformats.org/officeDocument/2006/relationships/hyperlink" Target="https://www.marketwatch.com/livecoverage/amazon-earnings-stock-results-guidance-q2/card/amazon-posts-a-big-gain-on-its-anthropic-investment-H0PZCbIeYiLLhY0mUTS3" TargetMode="External"/><Relationship Id="rId31" Type="http://schemas.openxmlformats.org/officeDocument/2006/relationships/hyperlink" Target="https://investor.oracle.com/investor-news/news-details/2026/Oracle-Announces-Record-Q4-and-FY-2026-Results-Driven-by-Cloud-Infrastructure--Cloud-Applications/default.aspx" TargetMode="External"/><Relationship Id="rId32" Type="http://schemas.openxmlformats.org/officeDocument/2006/relationships/hyperlink" Target="https://investor.oracle.com/sec-filings/" TargetMode="External"/><Relationship Id="rId33" Type="http://schemas.openxmlformats.org/officeDocument/2006/relationships/hyperlink" Target="https://www.sec.gov/Archives/edgar/data/1341439/000119312526032650/d36096dfwp.htm" TargetMode="External"/><Relationship Id="rId34" Type="http://schemas.openxmlformats.org/officeDocument/2006/relationships/hyperlink" Target="https://www.wsj.com/tech/ai/debt-is-fueling-the-next-wave-of-the-ai-boom-278d0e04" TargetMode="External"/><Relationship Id="rId35" Type="http://schemas.openxmlformats.org/officeDocument/2006/relationships/hyperlink" Target="https://openai.com/index/openai-on-oracle-cloud/" TargetMode="External"/><Relationship Id="rId36" Type="http://schemas.openxmlformats.org/officeDocument/2006/relationships/hyperlink" Target="https://www.sec.gov/Archives/edgar/data/789019/000119312526191507/msft-20260331.htm" TargetMode="External"/><Relationship Id="rId37" Type="http://schemas.openxmlformats.org/officeDocument/2006/relationships/hyperlink" Target="https://www.microsoft.com/en-us/investor/events/fy-2026/earnings-fy-2026-q3" TargetMode="External"/><Relationship Id="rId38" Type="http://schemas.openxmlformats.org/officeDocument/2006/relationships/hyperlink" Target="https://www.sec.gov/Archives/edgar/data/789019/000095017025100235/msft-20250630.htm" TargetMode="External"/><Relationship Id="rId39" Type="http://schemas.openxmlformats.org/officeDocument/2006/relationships/hyperlink" Target="https://www.sec.gov/Archives/edgar/data/1769628/000176962825000041/crwv-20250630.htm" TargetMode="External"/><Relationship Id="rId40" Type="http://schemas.openxmlformats.org/officeDocument/2006/relationships/hyperlink" Target="https://www.ft.com/content/9d2117af-b3ec-4ca4-b00f-6813ab5075ec" TargetMode="External"/><Relationship Id="rId41" Type="http://schemas.openxmlformats.org/officeDocument/2006/relationships/hyperlink" Target="https://www.marketwatch.com/story/elon-musks-xai-may-be-the-next-ai-company-to-do-a-creative-financing-deal-involving-nvidia-2d2705c0" TargetMode="External"/><Relationship Id="rId42" Type="http://schemas.openxmlformats.org/officeDocument/2006/relationships/hyperlink" Target="https://www.wsj.com/finance/investing/investors-seek-to-pull-nearly-16-billion-from-private-credit-funds-81b6fe37" TargetMode="External"/><Relationship Id="rId43" Type="http://schemas.openxmlformats.org/officeDocument/2006/relationships/hyperlink" Target="https://www.sec.gov/Archives/edgar/data/1803498/000121390026065024/ea0292864-01_ex99a1vii.htm" TargetMode="External"/><Relationship Id="rId44" Type="http://schemas.openxmlformats.org/officeDocument/2006/relationships/hyperlink" Target="https://www.sec.gov/Archives/edgar/data/1837532/000119312526277655/d66029d8k.htm" TargetMode="External"/><Relationship Id="rId45" Type="http://schemas.openxmlformats.org/officeDocument/2006/relationships/hyperlink" Target="https://www.sec.gov/Archives/edgar/data/1869453/000119312526293510/d137346dex991.htm" TargetMode="External"/><Relationship Id="rId46" Type="http://schemas.openxmlformats.org/officeDocument/2006/relationships/hyperlink" Target="https://www.sec.gov/Archives/edgar/data/1812554/000162828026038223/exhibit99a1a-ocicschedulet.htm" TargetMode="External"/><Relationship Id="rId47" Type="http://schemas.openxmlformats.org/officeDocument/2006/relationships/hyperlink" Target="https://www.wsj.com/pro/private-equity/blue-owl-leans-into-real-assets-to-buffer-private-credit-woes-0c7599e5" TargetMode="External"/><Relationship Id="rId48" Type="http://schemas.openxmlformats.org/officeDocument/2006/relationships/hyperlink" Target="https://www.sec.gov/Archives/edgar/data/1812554/000162828026042497/ocic-20260608.htm" TargetMode="External"/><Relationship Id="rId49" Type="http://schemas.openxmlformats.org/officeDocument/2006/relationships/hyperlink" Target="https://www.medallia.com/press-release/medallia-announces-milestone-agreement-with-group-led-by-blackstone/" TargetMode="External"/><Relationship Id="rId50" Type="http://schemas.openxmlformats.org/officeDocument/2006/relationships/hyperlink" Target="https://www.ft.com/content/817f559d-11b6-4969-a613-8517861e6df0" TargetMode="External"/><Relationship Id="rId51" Type="http://schemas.openxmlformats.org/officeDocument/2006/relationships/hyperlink" Target="https://www.sec.gov/Archives/edgar/data/96223/000009622326000025/jef-20260531.htm" TargetMode="External"/><Relationship Id="rId52" Type="http://schemas.openxmlformats.org/officeDocument/2006/relationships/hyperlink" Target="https://www.sec.gov/Archives/edgar/data/96223/000114036125037595/ef20056799_ex99-1.htm" TargetMode="External"/><Relationship Id="rId53" Type="http://schemas.openxmlformats.org/officeDocument/2006/relationships/hyperlink" Target="https://www.sec.gov/Archives/edgar/data/96223/000009622326000012/jef-20260228.htm" TargetMode="External"/><Relationship Id="rId54" Type="http://schemas.openxmlformats.org/officeDocument/2006/relationships/hyperlink" Target="https://www.wsj.com/finance/investing/two-big-loan-defaults-add-to-pain-in-private-credit-funds-b179351c" TargetMode="External"/><Relationship Id="rId55" Type="http://schemas.openxmlformats.org/officeDocument/2006/relationships/hyperlink" Target="https://www.ft.com/content/dcf3873e-7b32-4a24-a90d-3bccf1d2c996" TargetMode="External"/><Relationship Id="rId56" Type="http://schemas.openxmlformats.org/officeDocument/2006/relationships/hyperlink" Target="https://www.sec.gov/Archives/edgar/data/1803498/000119312526199360/d133377dex99a1i.htm" TargetMode="External"/><Relationship Id="rId57" Type="http://schemas.openxmlformats.org/officeDocument/2006/relationships/hyperlink" Target="https://www.sec.gov/Archives/edgar/data/1869453/000162828026038221/exhibit99a1a-oticschedulet.htm" TargetMode="External"/><Relationship Id="rId58" Type="http://schemas.openxmlformats.org/officeDocument/2006/relationships/hyperlink" Target="https://www.microsoft.com/en-us/investor/events/fy-2026/earnings-fy-2026-q1" TargetMode="External"/><Relationship Id="rId59" Type="http://schemas.openxmlformats.org/officeDocument/2006/relationships/hyperlink" Target="https://www.sec.gov/Archives/edgar/data/1018724/000101872426000004/amzn-20251231.htm" TargetMode="External"/><Relationship Id="rId60" Type="http://schemas.openxmlformats.org/officeDocument/2006/relationships/hyperlink" Target="https://www.businessinsider.com/meta-future-ai-data-center-leases-quarter-trillion-dollars-2026-7" TargetMode="External"/><Relationship Id="rId61" Type="http://schemas.openxmlformats.org/officeDocument/2006/relationships/hyperlink" Target="https://www.reuters.com/markets/" TargetMode="External"/><Relationship Id="rId62" Type="http://schemas.openxmlformats.org/officeDocument/2006/relationships/header" Target="header1.xml"/><Relationship Id="rId63" Type="http://schemas.openxmlformats.org/officeDocument/2006/relationships/footer" Target="footer1.xml"/><Relationship Id="rId64" Type="http://schemas.openxmlformats.org/officeDocument/2006/relationships/header" Target="header2.xml"/><Relationship Id="rId6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Capital Field Report — AI Infrastructure, Hedge Funds, Venture Capital and Private Credit</dc:title>
  <dc:subject>Public-record capital-chain map through August 4, 2026</dc:subject>
  <dc:creator>OpenAI</dc:creator>
  <cp:keywords>AI infrastructure; private credit; venture capital; hedge funds; SPV; leases; Airtable; Bending Spoons; Blue Owl; Situational Awareness</cp:keywords>
  <dc:description>generated by python-docx</dc:description>
  <cp:lastModifiedBy/>
  <cp:revision>1</cp:revision>
  <dcterms:created xsi:type="dcterms:W3CDTF">2013-12-23T23:15:00Z</dcterms:created>
  <dcterms:modified xsi:type="dcterms:W3CDTF">2013-12-23T23:15:00Z</dcterms:modified>
  <cp:category/>
</cp:coreProperties>
</file>