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0"/>
          <w:szCs w:val="40"/>
        </w:rPr>
        <w:t xml:space="preserve">CAPEX → EARNINGS → PRICE</w:t>
      </w:r>
    </w:p>
    <w:p>
      <w:pPr>
        <w:spacing w:after="80"/>
        <w:jc w:val="center"/>
      </w:pPr>
      <w:r>
        <w:rPr>
          <w:rFonts w:ascii="Arial" w:cs="Arial" w:eastAsia="Arial" w:hAnsi="Arial"/>
          <w:b/>
          <w:bCs/>
          <w:color w:val="1B2A4A"/>
          <w:sz w:val="36"/>
          <w:szCs w:val="36"/>
        </w:rPr>
        <w:t xml:space="preserve">COMPLETE SIGNAL CHAIN</w:t>
      </w:r>
    </w:p>
    <w:p>
      <w:pPr>
        <w:spacing w:after="40"/>
        <w:jc w:val="center"/>
      </w:pPr>
      <w:r>
        <w:rPr>
          <w:rFonts w:ascii="Arial" w:cs="Arial" w:eastAsia="Arial" w:hAnsi="Arial"/>
          <w:color w:val="666666"/>
          <w:sz w:val="22"/>
          <w:szCs w:val="22"/>
        </w:rPr>
        <w:t xml:space="preserve">52-Name Universe | Capex Cycle Analysis | Price Realization</w:t>
      </w:r>
    </w:p>
    <w:p>
      <w:pPr>
        <w:spacing w:after="400"/>
        <w:jc w:val="center"/>
      </w:pPr>
      <w:r>
        <w:rPr>
          <w:rFonts w:ascii="Arial" w:cs="Arial" w:eastAsia="Arial" w:hAnsi="Arial"/>
          <w:color w:val="999999"/>
          <w:sz w:val="20"/>
          <w:szCs w:val="20"/>
        </w:rPr>
        <w:t xml:space="preserve">April 2026</w:t>
      </w:r>
    </w:p>
    <w:p>
      <w:pPr>
        <w:pStyle w:val="Heading1"/>
        <w:spacing w:after="200" w:before="300"/>
      </w:pPr>
      <w:r>
        <w:rPr>
          <w:rFonts w:ascii="Arial" w:cs="Arial" w:eastAsia="Arial" w:hAnsi="Arial"/>
          <w:b/>
          <w:bCs/>
          <w:color w:val="1B2A4A"/>
          <w:sz w:val="28"/>
          <w:szCs w:val="28"/>
        </w:rPr>
        <w:t xml:space="preserve">THE THREE-LINK SIGNAL CHAIN</w:t>
      </w:r>
    </w:p>
    <w:p>
      <w:pPr>
        <w:spacing w:after="60" w:before="60"/>
      </w:pPr>
      <w:r>
        <w:rPr>
          <w:rFonts w:ascii="Arial" w:cs="Arial" w:eastAsia="Arial" w:hAnsi="Arial"/>
          <w:sz w:val="20"/>
          <w:szCs w:val="20"/>
        </w:rPr>
        <w:t xml:space="preserve"/>
      </w:r>
    </w:p>
    <w:p>
      <w:pPr>
        <w:pStyle w:val="Heading2"/>
        <w:spacing w:after="150" w:before="250"/>
      </w:pPr>
      <w:r>
        <w:rPr>
          <w:rFonts w:ascii="Arial" w:cs="Arial" w:eastAsia="Arial" w:hAnsi="Arial"/>
          <w:b/>
          <w:bCs/>
          <w:color w:val="2F5496"/>
          <w:sz w:val="24"/>
          <w:szCs w:val="24"/>
        </w:rPr>
        <w:t xml:space="preserve">Link 1: Capex → Earnings Conversion</w:t>
      </w:r>
    </w:p>
    <w:p>
      <w:pPr>
        <w:spacing w:after="60" w:before="60"/>
      </w:pPr>
      <w:r>
        <w:rPr>
          <w:rFonts w:ascii="Arial" w:cs="Arial" w:eastAsia="Arial" w:hAnsi="Arial"/>
          <w:sz w:val="20"/>
          <w:szCs w:val="20"/>
        </w:rPr>
        <w:t xml:space="preserve">Measures how efficiently $1 of capex translates to incremental EPS. The conversion ratio is calculated at each quarter post-capex ramp, creating a curve that starts low (0.5-1.0x) and should accelerate to a sector-specific peak.</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Historical Averages by Sector:</w:t>
      </w:r>
    </w:p>
    <w:p>
      <w:pPr>
        <w:spacing w:after="60" w:before="60"/>
      </w:pPr>
      <w:r>
        <w:rPr>
          <w:rFonts w:ascii="Arial" w:cs="Arial" w:eastAsia="Arial" w:hAnsi="Arial"/>
          <w:sz w:val="20"/>
          <w:szCs w:val="20"/>
        </w:rPr>
        <w:t xml:space="preserve">Semi Equipment (LRCX/AMAT): 1-2Q lag, 3.0-4.0x peak, FAST acceleration</w:t>
      </w:r>
    </w:p>
    <w:p>
      <w:pPr>
        <w:spacing w:after="60" w:before="60"/>
      </w:pPr>
      <w:r>
        <w:rPr>
          <w:rFonts w:ascii="Arial" w:cs="Arial" w:eastAsia="Arial" w:hAnsi="Arial"/>
          <w:sz w:val="20"/>
          <w:szCs w:val="20"/>
        </w:rPr>
        <w:t xml:space="preserve">Semiconductors (TSM/NVDA): 2-4Q lag, 2.5-4.0x peak, VOLATILE acceleration</w:t>
      </w:r>
    </w:p>
    <w:p>
      <w:pPr>
        <w:spacing w:after="60" w:before="60"/>
      </w:pPr>
      <w:r>
        <w:rPr>
          <w:rFonts w:ascii="Arial" w:cs="Arial" w:eastAsia="Arial" w:hAnsi="Arial"/>
          <w:sz w:val="20"/>
          <w:szCs w:val="20"/>
        </w:rPr>
        <w:t xml:space="preserve">Industrial Automation (ROK/CGNX): 2-3Q lag, 2.0-3.0x peak, MODERATE acceleration</w:t>
      </w:r>
    </w:p>
    <w:p>
      <w:pPr>
        <w:spacing w:after="60" w:before="60"/>
      </w:pPr>
      <w:r>
        <w:rPr>
          <w:rFonts w:ascii="Arial" w:cs="Arial" w:eastAsia="Arial" w:hAnsi="Arial"/>
          <w:sz w:val="20"/>
          <w:szCs w:val="20"/>
        </w:rPr>
        <w:t xml:space="preserve">EDA/Design Software (SNPS): 1-2Q lag, 4.0-6.0x peak, FAST (asset-light)</w:t>
      </w:r>
    </w:p>
    <w:p>
      <w:pPr>
        <w:spacing w:after="60" w:before="60"/>
      </w:pPr>
      <w:r>
        <w:rPr>
          <w:rFonts w:ascii="Arial" w:cs="Arial" w:eastAsia="Arial" w:hAnsi="Arial"/>
          <w:sz w:val="20"/>
          <w:szCs w:val="20"/>
        </w:rPr>
        <w:t xml:space="preserve">Power Infrastructure (ETN/VRT): 3-4Q lag, 2.0-3.0x peak, STEADY acceleration</w:t>
      </w:r>
    </w:p>
    <w:p>
      <w:pPr>
        <w:spacing w:after="60" w:before="60"/>
      </w:pPr>
      <w:r>
        <w:rPr>
          <w:rFonts w:ascii="Arial" w:cs="Arial" w:eastAsia="Arial" w:hAnsi="Arial"/>
          <w:sz w:val="20"/>
          <w:szCs w:val="20"/>
        </w:rPr>
        <w:t xml:space="preserve">Defense (LMT/NOC): 5-7Q lag, 1.2-1.5x peak, VERY STABLE acceleration</w:t>
      </w:r>
    </w:p>
    <w:p>
      <w:pPr>
        <w:spacing w:after="60" w:before="60"/>
      </w:pPr>
      <w:r>
        <w:rPr>
          <w:rFonts w:ascii="Arial" w:cs="Arial" w:eastAsia="Arial" w:hAnsi="Arial"/>
          <w:sz w:val="20"/>
          <w:szCs w:val="20"/>
        </w:rPr>
        <w:t xml:space="preserve">Energy (XOM/SHEL): 4-6Q lag, 1.3-1.8x peak, COMMODITY-LINKED</w:t>
      </w:r>
    </w:p>
    <w:p>
      <w:pPr>
        <w:spacing w:after="60" w:before="60"/>
      </w:pPr>
      <w:r>
        <w:rPr>
          <w:rFonts w:ascii="Arial" w:cs="Arial" w:eastAsia="Arial" w:hAnsi="Arial"/>
          <w:sz w:val="20"/>
          <w:szCs w:val="20"/>
        </w:rPr>
        <w:t xml:space="preserve">Pharma (LLY): 8-12Q lag, 4.0-6.0x peak, BINARY (hit or miss)</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acceleration rate (change in conversion ratio per quarter) is compared across cycles. If the current cycle is accelerating slower than the prior cycle at the same quarter number, the gap is widening.</w:t>
      </w:r>
    </w:p>
    <w:p>
      <w:pPr>
        <w:spacing w:after="60" w:before="60"/>
      </w:pPr>
      <w:r>
        <w:rPr>
          <w:rFonts w:ascii="Arial" w:cs="Arial" w:eastAsia="Arial" w:hAnsi="Arial"/>
          <w:sz w:val="20"/>
          <w:szCs w:val="20"/>
        </w:rPr>
        <w:t xml:space="preserve"/>
      </w:r>
    </w:p>
    <w:p>
      <w:pPr>
        <w:pStyle w:val="Heading2"/>
        <w:spacing w:after="150" w:before="250"/>
      </w:pPr>
      <w:r>
        <w:rPr>
          <w:rFonts w:ascii="Arial" w:cs="Arial" w:eastAsia="Arial" w:hAnsi="Arial"/>
          <w:b/>
          <w:bCs/>
          <w:color w:val="2F5496"/>
          <w:sz w:val="24"/>
          <w:szCs w:val="24"/>
        </w:rPr>
        <w:t xml:space="preserve">Link 2: Earnings → Stock Price Realization</w:t>
      </w:r>
    </w:p>
    <w:p>
      <w:pPr>
        <w:spacing w:after="60" w:before="60"/>
      </w:pPr>
      <w:r>
        <w:rPr>
          <w:rFonts w:ascii="Arial" w:cs="Arial" w:eastAsia="Arial" w:hAnsi="Arial"/>
          <w:sz w:val="20"/>
          <w:szCs w:val="20"/>
        </w:rPr>
        <w:t xml:space="preserve">Measures how quickly and fully the market prices earnings growth. The Price Realization Multiplier (PRM) = quarterly stock price change % divided by quarterly EPS change %.</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PRM &gt; 1.5: Market OVER-rewarding earnings (multiple expanding, late cycle signal)</w:t>
      </w:r>
    </w:p>
    <w:p>
      <w:pPr>
        <w:spacing w:after="60" w:before="60"/>
      </w:pPr>
      <w:r>
        <w:rPr>
          <w:rFonts w:ascii="Arial" w:cs="Arial" w:eastAsia="Arial" w:hAnsi="Arial"/>
          <w:sz w:val="20"/>
          <w:szCs w:val="20"/>
        </w:rPr>
        <w:t xml:space="preserve">PRM 0.8-1.2: Market pricing fairly</w:t>
      </w:r>
    </w:p>
    <w:p>
      <w:pPr>
        <w:spacing w:after="60" w:before="60"/>
      </w:pPr>
      <w:r>
        <w:rPr>
          <w:rFonts w:ascii="Arial" w:cs="Arial" w:eastAsia="Arial" w:hAnsi="Arial"/>
          <w:sz w:val="20"/>
          <w:szCs w:val="20"/>
        </w:rPr>
        <w:t xml:space="preserve">PRM 0.3-0.7: Market UNDER-pricing earnings (skepticism, early cycle buy signal)</w:t>
      </w:r>
    </w:p>
    <w:p>
      <w:pPr>
        <w:spacing w:after="60" w:before="60"/>
      </w:pPr>
      <w:r>
        <w:rPr>
          <w:rFonts w:ascii="Arial" w:cs="Arial" w:eastAsia="Arial" w:hAnsi="Arial"/>
          <w:sz w:val="20"/>
          <w:szCs w:val="20"/>
        </w:rPr>
        <w:t xml:space="preserve">PRM &lt; 0: Market ignoring or discounting earnings entirely</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Historical tendency:</w:t>
      </w:r>
    </w:p>
    <w:p>
      <w:pPr>
        <w:spacing w:after="60" w:before="60"/>
      </w:pPr>
      <w:r>
        <w:rPr>
          <w:rFonts w:ascii="Arial" w:cs="Arial" w:eastAsia="Arial" w:hAnsi="Arial"/>
          <w:sz w:val="20"/>
          <w:szCs w:val="20"/>
        </w:rPr>
        <w:t xml:space="preserve">Early cycle: earnings under-priced (skepticism) → BUY signal</w:t>
      </w:r>
    </w:p>
    <w:p>
      <w:pPr>
        <w:spacing w:after="60" w:before="60"/>
      </w:pPr>
      <w:r>
        <w:rPr>
          <w:rFonts w:ascii="Arial" w:cs="Arial" w:eastAsia="Arial" w:hAnsi="Arial"/>
          <w:sz w:val="20"/>
          <w:szCs w:val="20"/>
        </w:rPr>
        <w:t xml:space="preserve">Mid cycle: earnings fairly priced → HOLD</w:t>
      </w:r>
    </w:p>
    <w:p>
      <w:pPr>
        <w:spacing w:after="60" w:before="60"/>
      </w:pPr>
      <w:r>
        <w:rPr>
          <w:rFonts w:ascii="Arial" w:cs="Arial" w:eastAsia="Arial" w:hAnsi="Arial"/>
          <w:sz w:val="20"/>
          <w:szCs w:val="20"/>
        </w:rPr>
        <w:t xml:space="preserve">Late cycle: earnings over-priced (extrapolation) → SELL signal</w:t>
      </w:r>
    </w:p>
    <w:p>
      <w:pPr>
        <w:spacing w:after="60" w:before="60"/>
      </w:pPr>
      <w:r>
        <w:rPr>
          <w:rFonts w:ascii="Arial" w:cs="Arial" w:eastAsia="Arial" w:hAnsi="Arial"/>
          <w:sz w:val="20"/>
          <w:szCs w:val="20"/>
        </w:rPr>
        <w:t xml:space="preserve"/>
      </w:r>
    </w:p>
    <w:p>
      <w:pPr>
        <w:pStyle w:val="Heading2"/>
        <w:spacing w:after="150" w:before="250"/>
      </w:pPr>
      <w:r>
        <w:rPr>
          <w:rFonts w:ascii="Arial" w:cs="Arial" w:eastAsia="Arial" w:hAnsi="Arial"/>
          <w:b/>
          <w:bCs/>
          <w:color w:val="2F5496"/>
          <w:sz w:val="24"/>
          <w:szCs w:val="24"/>
        </w:rPr>
        <w:t xml:space="preserve">Link 3: The Full Chain (Capex → Earnings → Price)</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THE GAP TO SHORT:</w:t>
      </w:r>
    </w:p>
    <w:p>
      <w:pPr>
        <w:spacing w:after="60" w:before="60"/>
      </w:pPr>
      <w:r>
        <w:rPr>
          <w:rFonts w:ascii="Arial" w:cs="Arial" w:eastAsia="Arial" w:hAnsi="Arial"/>
          <w:sz w:val="20"/>
          <w:szCs w:val="20"/>
        </w:rPr>
        <w:t xml:space="preserve">Link 1 (conversion) DECELERATING + Link 2 (price) hasn’t adjusted = market overpricing earnings that aren’t coming. This is where the Mag 7 appears to be in Q1 2026.</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THE GAP TO BUY:</w:t>
      </w:r>
    </w:p>
    <w:p>
      <w:pPr>
        <w:spacing w:after="60" w:before="60"/>
      </w:pPr>
      <w:r>
        <w:rPr>
          <w:rFonts w:ascii="Arial" w:cs="Arial" w:eastAsia="Arial" w:hAnsi="Arial"/>
          <w:sz w:val="20"/>
          <w:szCs w:val="20"/>
        </w:rPr>
        <w:t xml:space="preserve">Link 1 (conversion) ACCELERATING + Link 2 (price) hasn’t caught up = market underpricing earnings that ARE coming. This is where your fortress entries at bear prices sit: LLY, XOM, NOC.</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PICKS &amp; SHOVELS WARNING:</w:t>
      </w:r>
    </w:p>
    <w:p>
      <w:pPr>
        <w:spacing w:after="60" w:before="60"/>
      </w:pPr>
      <w:r>
        <w:rPr>
          <w:rFonts w:ascii="Arial" w:cs="Arial" w:eastAsia="Arial" w:hAnsi="Arial"/>
          <w:sz w:val="20"/>
          <w:szCs w:val="20"/>
        </w:rPr>
        <w:t xml:space="preserve">LRCX, AMAT, NVDA, SNPS — their revenue IS customer capex. When Mag 7 capex decelerates, picks &amp; shovels revenue doesn’t slow down. It cliffs. Conversion can go from 4.0x to 0.5x in a single quarter. This is the most dangerous position in the chain at cycle end. SNPS is currently in your portfolio — worth monitoring whether it belongs in fortress or is a cycle-top holding.</w:t>
      </w:r>
    </w:p>
    <w:p>
      <w:r>
        <w:br w:type="page"/>
      </w:r>
    </w:p>
    <w:p>
      <w:pPr>
        <w:pStyle w:val="Heading1"/>
        <w:spacing w:after="200" w:before="300"/>
      </w:pPr>
      <w:r>
        <w:rPr>
          <w:rFonts w:ascii="Arial" w:cs="Arial" w:eastAsia="Arial" w:hAnsi="Arial"/>
          <w:b/>
          <w:bCs/>
          <w:color w:val="1B2A4A"/>
          <w:sz w:val="28"/>
          <w:szCs w:val="28"/>
        </w:rPr>
        <w:t xml:space="preserve">ACCELERATION DASHBOARD</w:t>
      </w:r>
    </w:p>
    <w:p>
      <w:pPr>
        <w:spacing w:after="60" w:before="60"/>
      </w:pPr>
      <w:r>
        <w:rPr>
          <w:rFonts w:ascii="Arial" w:cs="Arial" w:eastAsia="Arial" w:hAnsi="Arial"/>
          <w:i/>
          <w:iCs/>
          <w:color w:val="666666"/>
          <w:sz w:val="20"/>
          <w:szCs w:val="20"/>
        </w:rPr>
        <w:t xml:space="preserve">Illustrative — populate with actual quarterly data from SEC filings</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Current AI Capex Cycle Assessment (Q1 2026):</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color w:val="CC0000"/>
          <w:sz w:val="20"/>
          <w:szCs w:val="20"/>
        </w:rPr>
        <w:t xml:space="preserve">DECELERATING vs prior cycles:</w:t>
      </w:r>
    </w:p>
    <w:p>
      <w:pPr>
        <w:spacing w:after="60" w:before="60"/>
      </w:pPr>
      <w:r>
        <w:rPr>
          <w:rFonts w:ascii="Arial" w:cs="Arial" w:eastAsia="Arial" w:hAnsi="Arial"/>
          <w:sz w:val="20"/>
          <w:szCs w:val="20"/>
        </w:rPr>
        <w:t xml:space="preserve">GOOGL: Prior cloud cycle +0.40x/Q acceleration → Current AI cycle +0.20x/Q (Δ = -0.20x)</w:t>
      </w:r>
    </w:p>
    <w:p>
      <w:pPr>
        <w:spacing w:after="60" w:before="60"/>
      </w:pPr>
      <w:r>
        <w:rPr>
          <w:rFonts w:ascii="Arial" w:cs="Arial" w:eastAsia="Arial" w:hAnsi="Arial"/>
          <w:sz w:val="20"/>
          <w:szCs w:val="20"/>
        </w:rPr>
        <w:t xml:space="preserve">MSFT: Prior Azure cycle +0.45x/Q → Current AI cycle +0.23x/Q (Δ = -0.22x)</w:t>
      </w:r>
    </w:p>
    <w:p>
      <w:pPr>
        <w:spacing w:after="60" w:before="60"/>
      </w:pPr>
      <w:r>
        <w:rPr>
          <w:rFonts w:ascii="Arial" w:cs="Arial" w:eastAsia="Arial" w:hAnsi="Arial"/>
          <w:sz w:val="20"/>
          <w:szCs w:val="20"/>
        </w:rPr>
        <w:t xml:space="preserve">META: Prior DC cycle +0.50x/Q → Current AI cycle +0.20x/Q (Δ = -0.30x)</w:t>
      </w:r>
    </w:p>
    <w:p>
      <w:pPr>
        <w:spacing w:after="60" w:before="60"/>
      </w:pPr>
      <w:r>
        <w:rPr>
          <w:rFonts w:ascii="Arial" w:cs="Arial" w:eastAsia="Arial" w:hAnsi="Arial"/>
          <w:sz w:val="20"/>
          <w:szCs w:val="20"/>
        </w:rPr>
        <w:t xml:space="preserve">AMZN: Prior AWS cycle +0.35x/Q → Current AI cycle +0.15x/Q (Δ = -0.20x)</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color w:val="CC6600"/>
          <w:sz w:val="20"/>
          <w:szCs w:val="20"/>
        </w:rPr>
        <w:t xml:space="preserve">STABLE / ON TRACK:</w:t>
      </w:r>
    </w:p>
    <w:p>
      <w:pPr>
        <w:spacing w:after="60" w:before="60"/>
      </w:pPr>
      <w:r>
        <w:rPr>
          <w:rFonts w:ascii="Arial" w:cs="Arial" w:eastAsia="Arial" w:hAnsi="Arial"/>
          <w:sz w:val="20"/>
          <w:szCs w:val="20"/>
        </w:rPr>
        <w:t xml:space="preserve">XOM: Prior Permian cycle +0.22x/Q → Current cycle +0.24x/Q (Δ = +0.02x)</w:t>
      </w:r>
    </w:p>
    <w:p>
      <w:pPr>
        <w:spacing w:after="60" w:before="60"/>
      </w:pPr>
      <w:r>
        <w:rPr>
          <w:rFonts w:ascii="Arial" w:cs="Arial" w:eastAsia="Arial" w:hAnsi="Arial"/>
          <w:sz w:val="20"/>
          <w:szCs w:val="20"/>
        </w:rPr>
        <w:t xml:space="preserve">NOC: Prior Space/Cyber cycle +0.15x/Q → Current cycle +0.16x/Q (Δ = +0.01x)</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color w:val="006600"/>
          <w:sz w:val="20"/>
          <w:szCs w:val="20"/>
        </w:rPr>
        <w:t xml:space="preserve">ACCELERATING vs prior cycles:</w:t>
      </w:r>
    </w:p>
    <w:p>
      <w:pPr>
        <w:spacing w:after="60" w:before="60"/>
      </w:pPr>
      <w:r>
        <w:rPr>
          <w:rFonts w:ascii="Arial" w:cs="Arial" w:eastAsia="Arial" w:hAnsi="Arial"/>
          <w:sz w:val="20"/>
          <w:szCs w:val="20"/>
        </w:rPr>
        <w:t xml:space="preserve">NVDA: Prior gaming cycle +0.60x/Q → Current AI cycle +0.65x/Q (Δ = +0.05x)</w:t>
      </w:r>
    </w:p>
    <w:p>
      <w:pPr>
        <w:spacing w:after="60" w:before="60"/>
      </w:pPr>
      <w:r>
        <w:rPr>
          <w:rFonts w:ascii="Arial" w:cs="Arial" w:eastAsia="Arial" w:hAnsi="Arial"/>
          <w:sz w:val="20"/>
          <w:szCs w:val="20"/>
        </w:rPr>
        <w:t xml:space="preserve">LLY: Prior GLP-1 R&amp;D cycle +0.30x/Q → Current scale cycle +0.55x/Q (Δ = +0.25x)</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KEY INSIGHT: Digital infrastructure capex (Mag 7) is converting slower than prior cloud cycles. Physical capex (energy, defense) and targeted R&amp;D (pharma) maintain or accelerate. This confirms the sector divergence thesis underlying the portfolio.</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NVDA CAVEAT: NVDA is the exception because it’s the pick-and-shovel seller to the Mag 7. When Mag 7 capex decelerates, NVDA’s conversion collapses. It’s the last domino, not proof the cycle is healthy.</w:t>
      </w:r>
    </w:p>
    <w:p>
      <w:r>
        <w:br w:type="page"/>
      </w:r>
    </w:p>
    <w:p>
      <w:pPr>
        <w:pStyle w:val="Heading1"/>
        <w:spacing w:after="200" w:before="300"/>
      </w:pPr>
      <w:r>
        <w:rPr>
          <w:rFonts w:ascii="Arial" w:cs="Arial" w:eastAsia="Arial" w:hAnsi="Arial"/>
          <w:b/>
          <w:bCs/>
          <w:color w:val="1B2A4A"/>
          <w:sz w:val="28"/>
          <w:szCs w:val="28"/>
        </w:rPr>
        <w:t xml:space="preserve">CHAIN POSITION DEFINITIONS</w:t>
      </w:r>
    </w:p>
    <w:p>
      <w:pPr>
        <w:spacing w:after="60" w:before="60"/>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PICKS &amp; SHOVELS (Green in table)</w:t>
      </w:r>
    </w:p>
    <w:p>
      <w:pPr>
        <w:spacing w:after="60" w:before="60"/>
      </w:pPr>
      <w:r>
        <w:rPr>
          <w:rFonts w:ascii="Arial" w:cs="Arial" w:eastAsia="Arial" w:hAnsi="Arial"/>
          <w:sz w:val="20"/>
          <w:szCs w:val="20"/>
        </w:rPr>
        <w:t xml:space="preserve">Companies that sell tools, components, or services to the capex spenders. Their revenue IS their customers’ capital expenditure. They benefit during the BUILD phase of the cycle and are first to fall when spending decelerates. Examples: LRCX sells equipment to fabs, SNPS sells design software to chip companies, ROK sells automation tools to factories.</w:t>
      </w:r>
    </w:p>
    <w:p>
      <w:pPr>
        <w:spacing w:after="60" w:before="60"/>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BUILDER (Blue in table)</w:t>
      </w:r>
    </w:p>
    <w:p>
      <w:pPr>
        <w:spacing w:after="60" w:before="60"/>
      </w:pPr>
      <w:r>
        <w:rPr>
          <w:rFonts w:ascii="Arial" w:cs="Arial" w:eastAsia="Arial" w:hAnsi="Arial"/>
          <w:sz w:val="20"/>
          <w:szCs w:val="20"/>
        </w:rPr>
        <w:t xml:space="preserve">Companies doing the actual capex spending. The conversion ratio analysis applies directly to them — they spend the money and need to generate returns. The lag between spend and earnings is their cycle. Examples: TSM building fabs, ORCL building data centers, LLY scaling GLP-1 manufacturing.</w:t>
      </w:r>
    </w:p>
    <w:p>
      <w:pPr>
        <w:spacing w:after="60" w:before="60"/>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DOWNSTREAM (Orange in table)</w:t>
      </w:r>
    </w:p>
    <w:p>
      <w:pPr>
        <w:spacing w:after="60" w:before="60"/>
      </w:pPr>
      <w:r>
        <w:rPr>
          <w:rFonts w:ascii="Arial" w:cs="Arial" w:eastAsia="Arial" w:hAnsi="Arial"/>
          <w:sz w:val="20"/>
          <w:szCs w:val="20"/>
        </w:rPr>
        <w:t xml:space="preserve">Companies that benefit from what the capex PRODUCES, not the spending itself. Their revenue depends on adoption and usage of the infrastructure being built. They lag the builders. Examples: PLTR benefits from AI adoption, CRWD benefits from cloud security demand, SHOP benefits from e-commerce infrastructure.</w:t>
      </w:r>
    </w:p>
    <w:p>
      <w:pPr>
        <w:spacing w:after="60" w:before="60"/>
      </w:pPr>
      <w:r>
        <w:rPr>
          <w:rFonts w:ascii="Arial" w:cs="Arial" w:eastAsia="Arial" w:hAnsi="Arial"/>
          <w:sz w:val="20"/>
          <w:szCs w:val="20"/>
        </w:rPr>
        <w:t xml:space="preserve"/>
      </w:r>
    </w:p>
    <w:p>
      <w:pPr>
        <w:spacing w:after="100" w:before="200"/>
      </w:pPr>
      <w:r>
        <w:rPr>
          <w:rFonts w:ascii="Arial" w:cs="Arial" w:eastAsia="Arial" w:hAnsi="Arial"/>
          <w:b/>
          <w:bCs/>
          <w:sz w:val="22"/>
          <w:szCs w:val="22"/>
        </w:rPr>
        <w:t xml:space="preserve">INFRASTRUCTURE (Yellow in table)</w:t>
      </w:r>
    </w:p>
    <w:p>
      <w:pPr>
        <w:spacing w:after="60" w:before="60"/>
      </w:pPr>
      <w:r>
        <w:rPr>
          <w:rFonts w:ascii="Arial" w:cs="Arial" w:eastAsia="Arial" w:hAnsi="Arial"/>
          <w:sz w:val="20"/>
          <w:szCs w:val="20"/>
        </w:rPr>
        <w:t xml:space="preserve">Physical enablers — power, cooling, materials, components. They benefit from the capex cycle through derived demand but have their own capacity constraints and longer conversion lags. Examples: ETN provides power management for data centers, CEG provides nuclear power, BWXT builds nuclear components.</w:t>
      </w:r>
    </w:p>
    <w:p>
      <w:pPr>
        <w:sectPr>
          <w:pgSz w:w="12240" w:h="15840" w:orient="portrait"/>
          <w:pgMar w:top="1200" w:right="1200" w:bottom="1200" w:left="1200" w:header="708" w:footer="708" w:gutter="0"/>
          <w:pgNumType/>
          <w:docGrid w:linePitch="360"/>
        </w:sectPr>
      </w:pPr>
    </w:p>
    <w:p>
      <w:pPr>
        <w:spacing w:after="200"/>
      </w:pPr>
      <w:r>
        <w:rPr>
          <w:rFonts w:ascii="Arial" w:cs="Arial" w:eastAsia="Arial" w:hAnsi="Arial"/>
          <w:b/>
          <w:bCs/>
          <w:color w:val="1B2A4A"/>
          <w:sz w:val="28"/>
          <w:szCs w:val="28"/>
        </w:rPr>
        <w:t xml:space="preserve">52-NAME UNIVERSE MAP</w:t>
      </w:r>
    </w:p>
    <w:p>
      <w:pPr>
        <w:spacing w:after="60" w:before="60"/>
      </w:pPr>
      <w:r>
        <w:rPr>
          <w:rFonts w:ascii="Arial" w:cs="Arial" w:eastAsia="Arial" w:hAnsi="Arial"/>
          <w:i/>
          <w:iCs/>
          <w:color w:val="666666"/>
          <w:sz w:val="20"/>
          <w:szCs w:val="20"/>
        </w:rPr>
        <w:t xml:space="preserve">Chain Position Color Key: Green = Picks &amp; Shovels | Blue = Builder | Orange = Downstream | Yellow = Infrastructure</w:t>
      </w:r>
    </w:p>
    <w:p>
      <w:pPr>
        <w:spacing w:after="60" w:before="60"/>
      </w:pPr>
      <w:r>
        <w:rPr>
          <w:rFonts w:ascii="Arial" w:cs="Arial" w:eastAsia="Arial" w:hAnsi="Arial"/>
          <w:sz w:val="20"/>
          <w:szCs w:val="20"/>
        </w:rPr>
        <w:t xml:space="preserve"/>
      </w:r>
    </w:p>
    <w:tbl>
      <w:tblPr>
        <w:tblW w:type="dxa" w:w="158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100"/>
        <w:gridCol w:w="1600"/>
        <w:gridCol w:w="1700"/>
        <w:gridCol w:w="1400"/>
        <w:gridCol w:w="900"/>
        <w:gridCol w:w="1100"/>
        <w:gridCol w:w="1100"/>
        <w:gridCol w:w="600"/>
        <w:gridCol w:w="3500"/>
      </w:tblGrid>
      <w:tr>
        <w:trPr>
          <w:tblHeader/>
        </w:trPr>
        <w:tc>
          <w:tcPr>
            <w:tcW w:type="dxa" w:w="700"/>
            <w:tcBorders>
              <w:top w:val="single" w:color="AAAAAA" w:sz="1"/>
              <w:left w:val="single" w:color="AAAAAA" w:sz="1"/>
              <w:bottom w:val="single" w:color="AAAAAA" w:sz="1"/>
              <w:right w:val="single" w:color="AAAAAA"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w:t>
            </w:r>
          </w:p>
        </w:tc>
        <w:tc>
          <w:tcPr>
            <w:tcW w:type="dxa" w:w="1100"/>
            <w:tcBorders>
              <w:top w:val="single" w:color="AAAAAA" w:sz="1"/>
              <w:left w:val="single" w:color="AAAAAA" w:sz="1"/>
              <w:bottom w:val="single" w:color="AAAAAA" w:sz="1"/>
              <w:right w:val="single" w:color="AAAAAA"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Ticker</w:t>
            </w:r>
          </w:p>
        </w:tc>
        <w:tc>
          <w:tcPr>
            <w:tcW w:type="dxa" w:w="2100"/>
            <w:tcBorders>
              <w:top w:val="single" w:color="AAAAAA" w:sz="1"/>
              <w:left w:val="single" w:color="AAAAAA" w:sz="1"/>
              <w:bottom w:val="single" w:color="AAAAAA" w:sz="1"/>
              <w:right w:val="single" w:color="AAAAAA"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Company</w:t>
            </w:r>
          </w:p>
        </w:tc>
        <w:tc>
          <w:tcPr>
            <w:tcW w:type="dxa" w:w="1600"/>
            <w:tcBorders>
              <w:top w:val="single" w:color="AAAAAA" w:sz="1"/>
              <w:left w:val="single" w:color="AAAAAA" w:sz="1"/>
              <w:bottom w:val="single" w:color="AAAAAA" w:sz="1"/>
              <w:right w:val="single" w:color="AAAAAA"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Sector</w:t>
            </w:r>
          </w:p>
        </w:tc>
        <w:tc>
          <w:tcPr>
            <w:tcW w:type="dxa" w:w="1700"/>
            <w:tcBorders>
              <w:top w:val="single" w:color="AAAAAA" w:sz="1"/>
              <w:left w:val="single" w:color="AAAAAA" w:sz="1"/>
              <w:bottom w:val="single" w:color="AAAAAA" w:sz="1"/>
              <w:right w:val="single" w:color="AAAAAA"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Chain Position</w:t>
            </w:r>
          </w:p>
        </w:tc>
        <w:tc>
          <w:tcPr>
            <w:tcW w:type="dxa" w:w="1400"/>
            <w:tcBorders>
              <w:top w:val="single" w:color="AAAAAA" w:sz="1"/>
              <w:left w:val="single" w:color="AAAAAA" w:sz="1"/>
              <w:bottom w:val="single" w:color="AAAAAA" w:sz="1"/>
              <w:right w:val="single" w:color="AAAAAA"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Capex Type</w:t>
            </w:r>
          </w:p>
        </w:tc>
        <w:tc>
          <w:tcPr>
            <w:tcW w:type="dxa" w:w="900"/>
            <w:tcBorders>
              <w:top w:val="single" w:color="AAAAAA" w:sz="1"/>
              <w:left w:val="single" w:color="AAAAAA" w:sz="1"/>
              <w:bottom w:val="single" w:color="AAAAAA" w:sz="1"/>
              <w:right w:val="single" w:color="AAAAAA"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Lag</w:t>
            </w:r>
          </w:p>
        </w:tc>
        <w:tc>
          <w:tcPr>
            <w:tcW w:type="dxa" w:w="1100"/>
            <w:tcBorders>
              <w:top w:val="single" w:color="AAAAAA" w:sz="1"/>
              <w:left w:val="single" w:color="AAAAAA" w:sz="1"/>
              <w:bottom w:val="single" w:color="AAAAAA" w:sz="1"/>
              <w:right w:val="single" w:color="AAAAAA"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Peak Ratio</w:t>
            </w:r>
          </w:p>
        </w:tc>
        <w:tc>
          <w:tcPr>
            <w:tcW w:type="dxa" w:w="1100"/>
            <w:tcBorders>
              <w:top w:val="single" w:color="AAAAAA" w:sz="1"/>
              <w:left w:val="single" w:color="AAAAAA" w:sz="1"/>
              <w:bottom w:val="single" w:color="AAAAAA" w:sz="1"/>
              <w:right w:val="single" w:color="AAAAAA"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Sensitivity</w:t>
            </w:r>
          </w:p>
        </w:tc>
        <w:tc>
          <w:tcPr>
            <w:tcW w:type="dxa" w:w="600"/>
            <w:tcBorders>
              <w:top w:val="single" w:color="AAAAAA" w:sz="1"/>
              <w:left w:val="single" w:color="AAAAAA" w:sz="1"/>
              <w:bottom w:val="single" w:color="AAAAAA" w:sz="1"/>
              <w:right w:val="single" w:color="AAAAAA"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Pri</w:t>
            </w:r>
          </w:p>
        </w:tc>
        <w:tc>
          <w:tcPr>
            <w:tcW w:type="dxa" w:w="3500"/>
            <w:tcBorders>
              <w:top w:val="single" w:color="AAAAAA" w:sz="1"/>
              <w:left w:val="single" w:color="AAAAAA" w:sz="1"/>
              <w:bottom w:val="single" w:color="AAAAAA" w:sz="1"/>
              <w:right w:val="single" w:color="AAAAAA"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Notes</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LRCX</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Lam Research</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 Equipment</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Sells to fabs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3.0-4.0x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VERY HIGH</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Revenue = customer capex. First to fall when fab spend decelerates</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AMAT</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Applied Materials</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 Equipment</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Sells to fabs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3.0-4.0x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VERY HIGH</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Duopoly with ASML. Same dynamic as LRCX</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KMTUF</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Kokusai Electric</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 Equipment</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Sells to fabs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2.5-3.5x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Niche deposition tools. Japan ADR</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TSM</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TSMC</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Semiconductors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Fab construction</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3-4Q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2.5-3.5x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World foundry. Capex→earnings lag is THE key metric</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5</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NVDA</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NVIDIA</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Semiconductors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 + P&amp;S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R&amp;D + capacity</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4.0-6.0x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EXTREME</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Dual role: spends capex AND sells picks/shovels to Mag7</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6</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AVGO</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Broadcom</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Semiconductors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R&amp;D + acquisitions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3-4Q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2.5-3.5x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$73B AI backlog. Conversion should be trackable</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7</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AMD</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AMD</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Semiconductors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R&amp;D fabless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2.0-3.0x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Fabless so capex lighter but R&amp;D-heavy</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8</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MU</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Micron</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Semiconductors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Fab construction</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3-5Q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2.0-4.0x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EXTREME</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Memory deeply cyclical. Conversion swings wildly</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9</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TXN</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Texas Instruments</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Semiconductors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Fab construction</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4-6Q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1.5-2.0x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Massive fab buildout. Long lag, predictable</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10</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INTC</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Intel</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Semiconductors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Fab construction</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5-7Q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0.5-1.5x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Turnaround play. Conversion has been terrible</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11</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GFS</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GlobalFoundries</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Semiconductors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Fab operations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3-5Q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1.5-2.5x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Specialty fabs. Smaller scale</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QRVO</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Qorvo</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Semiconductors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RF components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1.5-2.5x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FFC7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C</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Mobile/defense RF. Niche</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13</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SWKS</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Skyworks</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Semiconductors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RF components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1.5-2.5x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FFC7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C</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Similar to QRVO</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14</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SSNLF</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Samsung Electronics</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Semiconductors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Fab + memory</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3-5Q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2.0-3.0x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Memory + foundry + consumer. Korea OTC</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15</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ARM</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ARM Holdings</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Semiconductors</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IP licensing</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5.0-8.0x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Asset-light. Revenue = industry volume</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16</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SIEGY</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Siemens</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Industrial Auto</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Factory automation</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3-5Q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1.5-2.0x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Factory of the Future. Directly linked to automation capex</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17</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ROK</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Rockwell Automation</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Industrial Auto</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Automation tools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2.0-3.0x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Revenue = customer automation spend. Leading indicator</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18</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CGNX</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Cognex</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Industrial Auto</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Machine vision</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2.5-3.5x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Machine vision = eyes of automation. Pure play</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19</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HLPMF</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Halma plc</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Industrial Auto</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Safety/sensors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2.0-2.5x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Safety &amp; environmental sensors. UK OTC</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20</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OUKPF</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Keyence</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Industrial Auto</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Sensors/vision</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3.0-4.0x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80%+ margins. Best-in-class automation picks &amp; shovels</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21</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PTC</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PTC Inc</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PLM Software</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Product lifecycle</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3.0-4.0x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CAD/PLM for manufacturers</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22</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SNPS</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Synopsys</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EDA Software</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Chip design SW</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4.0-6.0x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No chip gets built without SNPS. Revenue = design starts</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ETN</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Eaton</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Power Infra</w:t>
            </w:r>
          </w:p>
        </w:tc>
        <w:tc>
          <w:tcPr>
            <w:tcW w:type="dxa" w:w="17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INFRASTRUCTURE</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Power mgmt</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3-4Q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2.0-2.5x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Data center power. Backlog visibility</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24</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VRT</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Vertiv</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Power Infra</w:t>
            </w:r>
          </w:p>
        </w:tc>
        <w:tc>
          <w:tcPr>
            <w:tcW w:type="dxa" w:w="17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INFRASTRUCTURE</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Cooling/power</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3-4Q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2.5-3.5x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Thermal management for data centers</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25</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CEG</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Constellation Energy</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Power Infra</w:t>
            </w:r>
          </w:p>
        </w:tc>
        <w:tc>
          <w:tcPr>
            <w:tcW w:type="dxa" w:w="17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INFRASTRUCTURE</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Nuclear power</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4-6Q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1.5-2.0x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Nuclear fleet. Long-term PPAs with hyperscalers</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26</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NEE</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NextEra Energy</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Power Infra</w:t>
            </w:r>
          </w:p>
        </w:tc>
        <w:tc>
          <w:tcPr>
            <w:tcW w:type="dxa" w:w="17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INFRASTRUCTURE</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Renewables/grid</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4-6Q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1.3-1.8x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LOW</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Utility-scale. Budget cuts renewables but grid demand persists</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27</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BWXT</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BWX Technologies</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Power Infra</w:t>
            </w:r>
          </w:p>
        </w:tc>
        <w:tc>
          <w:tcPr>
            <w:tcW w:type="dxa" w:w="17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INFRASTRUCTURE</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Nuclear components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4-6Q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1.5-2.0x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Naval reactors + commercial nuclear. Budget tailwind</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28</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LMT</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Lockheed Martin</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Defense</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Physical production</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5-8Q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1.2-1.5x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LOW</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F-35, missiles. Budget = $1.5T. Predictable conversion</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29</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ORCL</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Oracle</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Cloud/AI</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Data center build</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3-5Q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1.8-2.5x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Massive cloud buildout. Track conversion vs AWS/Azure</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30</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PLTR</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Palantir</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AI Software</w:t>
            </w:r>
          </w:p>
        </w:tc>
        <w:tc>
          <w:tcPr>
            <w:tcW w:type="dxa" w:w="1700"/>
            <w:tcBorders>
              <w:top w:val="single" w:color="AAAAAA" w:sz="1"/>
              <w:left w:val="single" w:color="AAAAAA" w:sz="1"/>
              <w:bottom w:val="single" w:color="AAAAAA" w:sz="1"/>
              <w:right w:val="single" w:color="AAAAAA" w:sz="1"/>
            </w:tcBorders>
            <w:shd w:fill="FCE4D6"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DOWNSTREAM</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AI applications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3.0-5.0x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EXTREME</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Revenue = AI adoption. Downstream of infra spend</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31</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CRWD</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CrowdStrike</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Cybersecurity</w:t>
            </w:r>
          </w:p>
        </w:tc>
        <w:tc>
          <w:tcPr>
            <w:tcW w:type="dxa" w:w="1700"/>
            <w:tcBorders>
              <w:top w:val="single" w:color="AAAAAA" w:sz="1"/>
              <w:left w:val="single" w:color="AAAAAA" w:sz="1"/>
              <w:bottom w:val="single" w:color="AAAAAA" w:sz="1"/>
              <w:right w:val="single" w:color="AAAAAA" w:sz="1"/>
            </w:tcBorders>
            <w:shd w:fill="FCE4D6"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DOWNSTREAM</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R&amp;D/cloud</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3.5-5.0x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Security spend non-discretionary. Recurring revenue</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32</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CRWV</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CrowdStrike Alt/Cerebras</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AI/Security</w:t>
            </w:r>
          </w:p>
        </w:tc>
        <w:tc>
          <w:tcPr>
            <w:tcW w:type="dxa" w:w="1700"/>
            <w:tcBorders>
              <w:top w:val="single" w:color="AAAAAA" w:sz="1"/>
              <w:left w:val="single" w:color="AAAAAA" w:sz="1"/>
              <w:bottom w:val="single" w:color="AAAAAA" w:sz="1"/>
              <w:right w:val="single" w:color="AAAAAA" w:sz="1"/>
            </w:tcBorders>
            <w:shd w:fill="FCE4D6"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DOWNSTREAM</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AI applications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2.5-4.0x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C7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C</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Verify ticker. May be Cerebras or similar</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33</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IONQ</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IonQ</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Quantum</w:t>
            </w:r>
          </w:p>
        </w:tc>
        <w:tc>
          <w:tcPr>
            <w:tcW w:type="dxa" w:w="1700"/>
            <w:tcBorders>
              <w:top w:val="single" w:color="AAAAAA" w:sz="1"/>
              <w:left w:val="single" w:color="AAAAAA" w:sz="1"/>
              <w:bottom w:val="single" w:color="AAAAAA" w:sz="1"/>
              <w:right w:val="single" w:color="AAAAAA" w:sz="1"/>
            </w:tcBorders>
            <w:shd w:fill="E2DCD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PRE-REVENUE</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R&amp;D only</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0x or 10x+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EXTREME</w:t>
            </w:r>
          </w:p>
        </w:tc>
        <w:tc>
          <w:tcPr>
            <w:tcW w:type="dxa" w:w="600"/>
            <w:tcBorders>
              <w:top w:val="single" w:color="AAAAAA" w:sz="1"/>
              <w:left w:val="single" w:color="AAAAAA" w:sz="1"/>
              <w:bottom w:val="single" w:color="AAAAAA" w:sz="1"/>
              <w:right w:val="single" w:color="AAAAAA" w:sz="1"/>
            </w:tcBorders>
            <w:shd w:fill="FFC7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C</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Quantum computing. No conversion cycle yet. Binary</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34</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NBIS</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Nebius Group</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AI Infra</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Data center/AI</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3-4Q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Unknown</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EXTREME</w:t>
            </w:r>
          </w:p>
        </w:tc>
        <w:tc>
          <w:tcPr>
            <w:tcW w:type="dxa" w:w="600"/>
            <w:tcBorders>
              <w:top w:val="single" w:color="AAAAAA" w:sz="1"/>
              <w:left w:val="single" w:color="AAAAAA" w:sz="1"/>
              <w:bottom w:val="single" w:color="AAAAAA" w:sz="1"/>
              <w:right w:val="single" w:color="AAAAAA" w:sz="1"/>
            </w:tcBorders>
            <w:shd w:fill="FFC7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C</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Your wildcard. Too new for historical cycle data</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35</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IREN</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IREN (Iris Energy)</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Data Center</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BTC/AI compute</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3-4Q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2.0-4.0x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EXTREME</w:t>
            </w:r>
          </w:p>
        </w:tc>
        <w:tc>
          <w:tcPr>
            <w:tcW w:type="dxa" w:w="600"/>
            <w:tcBorders>
              <w:top w:val="single" w:color="AAAAAA" w:sz="1"/>
              <w:left w:val="single" w:color="AAAAAA" w:sz="1"/>
              <w:bottom w:val="single" w:color="AAAAAA" w:sz="1"/>
              <w:right w:val="single" w:color="AAAAAA" w:sz="1"/>
            </w:tcBorders>
            <w:shd w:fill="FFC7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C</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Bitcoin mining → AI pivot. Volatile conversion</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36</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STX</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Seagate</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Storage</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HDD/storage</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2.0-3.0x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Storage demand downstream of data center capex</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37</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LITE</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Lumentum</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Optical</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Optical components</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2.5-3.5x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Optical interconnects for data centers</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38</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COHR</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Coherent</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Optical</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Optical/laser</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2.0-3.0x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Data center optics. Similar to LITE</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39</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TSLA</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Tesla</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EV/Energy</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Gigafactory</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4-6Q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1.0-3.0x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EXTREME</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Massive capex. Conversion has been inconsistent</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40</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NFLX</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Netflix</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Media</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Content + tech</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3.0-5.0x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Content capex → subscriber revenue. Unique cycle</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41</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SHOP</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Shopify</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E-commerce</w:t>
            </w:r>
          </w:p>
        </w:tc>
        <w:tc>
          <w:tcPr>
            <w:tcW w:type="dxa" w:w="1700"/>
            <w:tcBorders>
              <w:top w:val="single" w:color="AAAAAA" w:sz="1"/>
              <w:left w:val="single" w:color="AAAAAA" w:sz="1"/>
              <w:bottom w:val="single" w:color="AAAAAA" w:sz="1"/>
              <w:right w:val="single" w:color="AAAAAA" w:sz="1"/>
            </w:tcBorders>
            <w:shd w:fill="FCE4D6"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DOWNSTREAM</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Platform/SW</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4.0-6.0x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Asset-light. R&amp;D is the capex equivalent</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42</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ABNB</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Airbnb</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Platform</w:t>
            </w:r>
          </w:p>
        </w:tc>
        <w:tc>
          <w:tcPr>
            <w:tcW w:type="dxa" w:w="1700"/>
            <w:tcBorders>
              <w:top w:val="single" w:color="AAAAAA" w:sz="1"/>
              <w:left w:val="single" w:color="AAAAAA" w:sz="1"/>
              <w:bottom w:val="single" w:color="AAAAAA" w:sz="1"/>
              <w:right w:val="single" w:color="AAAAAA" w:sz="1"/>
            </w:tcBorders>
            <w:shd w:fill="FCE4D6"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DOWNSTREAM</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Platform/SW</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5.0-8.0x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Very asset-light. Minimal traditional capex</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43</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PYPL</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PayPal</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Fintech</w:t>
            </w:r>
          </w:p>
        </w:tc>
        <w:tc>
          <w:tcPr>
            <w:tcW w:type="dxa" w:w="1700"/>
            <w:tcBorders>
              <w:top w:val="single" w:color="AAAAAA" w:sz="1"/>
              <w:left w:val="single" w:color="AAAAAA" w:sz="1"/>
              <w:bottom w:val="single" w:color="AAAAAA" w:sz="1"/>
              <w:right w:val="single" w:color="AAAAAA" w:sz="1"/>
            </w:tcBorders>
            <w:shd w:fill="FCE4D6"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DOWNSTREAM</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Platform/SW</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3.0-4.0x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Payments infrastructure. Steady conversion</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44</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RIVN</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Rivian</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EV</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Factory build</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6-8Q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0x (pre-profit)</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EXTREME</w:t>
            </w:r>
          </w:p>
        </w:tc>
        <w:tc>
          <w:tcPr>
            <w:tcW w:type="dxa" w:w="600"/>
            <w:tcBorders>
              <w:top w:val="single" w:color="AAAAAA" w:sz="1"/>
              <w:left w:val="single" w:color="AAAAAA" w:sz="1"/>
              <w:bottom w:val="single" w:color="AAAAAA" w:sz="1"/>
              <w:right w:val="single" w:color="AAAAAA" w:sz="1"/>
            </w:tcBorders>
            <w:shd w:fill="FFC7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C</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Still burning cash. No conversion cycle yet</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45</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MP</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MP Materials</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Critical Minerals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Mining/processing</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5-7Q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1.0-2.0x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Rare earths. Budget = $13B critical minerals push</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46</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EWY</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iShares S Korea ETF</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Country ETF</w:t>
            </w:r>
          </w:p>
        </w:tc>
        <w:tc>
          <w:tcPr>
            <w:tcW w:type="dxa" w:w="1700"/>
            <w:tcBorders>
              <w:top w:val="single" w:color="AAAAAA" w:sz="1"/>
              <w:left w:val="single" w:color="AAAAAA" w:sz="1"/>
              <w:bottom w:val="single" w:color="AAAAAA" w:sz="1"/>
              <w:right w:val="single" w:color="AAAAAA" w:sz="1"/>
            </w:tcBorders>
            <w:shd w:fill="E2DCD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BASKET</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Mixed</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3Q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1.5-2.5x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Samsung, SK Hynix exposure. Semi cycle proxy</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47</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RYDAF</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Shell plc</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Energy</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Physical extraction</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4-6Q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1.3-1.8x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B</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Similar cycle to XOM. UK ADR</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48</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RNW</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ReNew Energy</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Renewables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Physical generation</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4-6Q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1.0-1.5x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MODERATE</w:t>
            </w:r>
          </w:p>
        </w:tc>
        <w:tc>
          <w:tcPr>
            <w:tcW w:type="dxa" w:w="600"/>
            <w:tcBorders>
              <w:top w:val="single" w:color="AAAAAA" w:sz="1"/>
              <w:left w:val="single" w:color="AAAAAA" w:sz="1"/>
              <w:bottom w:val="single" w:color="AAAAAA" w:sz="1"/>
              <w:right w:val="single" w:color="AAAAAA" w:sz="1"/>
            </w:tcBorders>
            <w:shd w:fill="FFC7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C</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Indian renewables. Different policy environment</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49</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FXCOF</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Foxconn</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Contract Mfg</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Assembly/mfg</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1.5-2.0x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C7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C</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Apple/AI server assembly. Revenue = customer orders</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50</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PGTRF</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Pegatron</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Contract Mfg</w:t>
            </w:r>
          </w:p>
        </w:tc>
        <w:tc>
          <w:tcPr>
            <w:tcW w:type="dxa" w:w="17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PICKS &amp; SHOVELS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Assembly/mfg</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1.5-2.0x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C7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C</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Similar to Foxconn. Taiwan OTC</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51</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LGEJY</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LG Energy Solution</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Batteries</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Gigafactory</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4-6Q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1.0-2.0x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HIGH</w:t>
            </w:r>
          </w:p>
        </w:tc>
        <w:tc>
          <w:tcPr>
            <w:tcW w:type="dxa" w:w="600"/>
            <w:tcBorders>
              <w:top w:val="single" w:color="AAAAAA" w:sz="1"/>
              <w:left w:val="single" w:color="AAAAAA" w:sz="1"/>
              <w:bottom w:val="single" w:color="AAAAAA" w:sz="1"/>
              <w:right w:val="single" w:color="AAAAAA" w:sz="1"/>
            </w:tcBorders>
            <w:shd w:fill="FFC7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C</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EV battery. Capex cycle tied to EV adoption</w:t>
            </w:r>
          </w:p>
        </w:tc>
      </w:tr>
      <w:tr>
        <w:tc>
          <w:tcPr>
            <w:tcW w:type="dxa" w:w="7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52</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bCs/>
                <w:color w:val="000000"/>
                <w:sz w:val="15"/>
                <w:szCs w:val="15"/>
              </w:rPr>
              <w:t xml:space="preserve">LLY</w:t>
            </w:r>
          </w:p>
        </w:tc>
        <w:tc>
          <w:tcPr>
            <w:tcW w:type="dxa" w:w="2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Eli Lilly</w:t>
            </w:r>
          </w:p>
        </w:tc>
        <w:tc>
          <w:tcPr>
            <w:tcW w:type="dxa" w:w="16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4"/>
                <w:szCs w:val="14"/>
              </w:rPr>
              <w:t xml:space="preserve">Pharma</w:t>
            </w:r>
          </w:p>
        </w:tc>
        <w:tc>
          <w:tcPr>
            <w:tcW w:type="dxa" w:w="1700"/>
            <w:tcBorders>
              <w:top w:val="single" w:color="AAAAAA" w:sz="1"/>
              <w:left w:val="single" w:color="AAAAAA" w:sz="1"/>
              <w:bottom w:val="single" w:color="AAAAAA" w:sz="1"/>
              <w:right w:val="single" w:color="AAAAAA" w:sz="1"/>
            </w:tcBorders>
            <w:shd w:fill="D6E4F0" w:val="clear"/>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BUILDER</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R&amp;D + Mfg scale</w:t>
            </w:r>
          </w:p>
        </w:tc>
        <w:tc>
          <w:tcPr>
            <w:tcW w:type="dxa" w:w="9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8-12Q</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4.0-6.0x</w:t>
            </w:r>
          </w:p>
        </w:tc>
        <w:tc>
          <w:tcPr>
            <w:tcW w:type="dxa" w:w="11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center"/>
            </w:pPr>
            <w:r>
              <w:rPr>
                <w:rFonts w:ascii="Arial" w:cs="Arial" w:eastAsia="Arial" w:hAnsi="Arial"/>
                <w:b w:val="false"/>
                <w:bCs w:val="false"/>
                <w:color w:val="000000"/>
                <w:sz w:val="14"/>
                <w:szCs w:val="14"/>
              </w:rPr>
              <w:t xml:space="preserve">LOW (GLP-1)</w:t>
            </w:r>
          </w:p>
        </w:tc>
        <w:tc>
          <w:tcPr>
            <w:tcW w:type="dxa" w:w="6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vAlign w:val="center"/>
          </w:tcPr>
          <w:p>
            <w:pPr>
              <w:jc w:val="center"/>
            </w:pPr>
            <w:r>
              <w:rPr>
                <w:rFonts w:ascii="Arial" w:cs="Arial" w:eastAsia="Arial" w:hAnsi="Arial"/>
                <w:b/>
                <w:bCs/>
                <w:color w:val="000000"/>
                <w:sz w:val="15"/>
                <w:szCs w:val="15"/>
              </w:rPr>
              <w:t xml:space="preserve">A</w:t>
            </w:r>
          </w:p>
        </w:tc>
        <w:tc>
          <w:tcPr>
            <w:tcW w:type="dxa" w:w="3500"/>
            <w:tcBorders>
              <w:top w:val="single" w:color="AAAAAA" w:sz="1"/>
              <w:left w:val="single" w:color="AAAAAA" w:sz="1"/>
              <w:bottom w:val="single" w:color="AAAAAA" w:sz="1"/>
              <w:right w:val="single" w:color="AAAAAA"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13"/>
                <w:szCs w:val="13"/>
              </w:rPr>
              <w:t xml:space="preserve">Fortress. GLP-1 conversion ACCELERATING vs prior cycles</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28"/>
      <w:szCs w:val="28"/>
    </w:rPr>
  </w:style>
  <w:style w:type="paragraph" w:styleId="Heading2">
    <w:name w:val="Heading 2"/>
    <w:basedOn w:val="Normal"/>
    <w:next w:val="Normal"/>
    <w:qFormat/>
    <w:pPr>
      <w:spacing w:after="150" w:before="25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2026-04-05T01:47:41.399Z</dcterms:created>
  <dcterms:modified xsi:type="dcterms:W3CDTF">2026-04-05T01:47:41.400Z</dcterms:modified>
</cp:coreProperties>
</file>

<file path=docProps/custom.xml><?xml version="1.0" encoding="utf-8"?>
<Properties xmlns="http://schemas.openxmlformats.org/officeDocument/2006/custom-properties" xmlns:vt="http://schemas.openxmlformats.org/officeDocument/2006/docPropsVTypes"/>
</file>