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100"/>
        <w:jc w:val="center"/>
      </w:pPr>
      <w:r>
        <w:rPr>
          <w:rFonts w:ascii="Arial" w:cs="Arial" w:eastAsia="Arial" w:hAnsi="Arial"/>
          <w:b/>
          <w:bCs/>
          <w:color w:val="0D1B2A"/>
          <w:sz w:val="56"/>
          <w:szCs w:val="56"/>
        </w:rPr>
        <w:t xml:space="preserve">THE HOLLOW BOTTOM</w:t>
      </w:r>
    </w:p>
    <w:p>
      <w:pPr>
        <w:spacing w:after="100"/>
        <w:jc w:val="center"/>
      </w:pPr>
      <w:r>
        <w:rPr>
          <w:rFonts w:ascii="Arial" w:cs="Arial" w:eastAsia="Arial" w:hAnsi="Arial"/>
          <w:color w:val="2E75B6"/>
          <w:sz w:val="32"/>
          <w:szCs w:val="32"/>
        </w:rPr>
        <w:t xml:space="preserve">How COVID Stimulus Created a Structural Recession</w:t>
      </w:r>
    </w:p>
    <w:p>
      <w:pPr>
        <w:spacing w:after="100"/>
        <w:jc w:val="center"/>
      </w:pPr>
      <w:r>
        <w:rPr>
          <w:rFonts w:ascii="Arial" w:cs="Arial" w:eastAsia="Arial" w:hAnsi="Arial"/>
          <w:color w:val="2E75B6"/>
          <w:sz w:val="32"/>
          <w:szCs w:val="32"/>
        </w:rPr>
        <w:t xml:space="preserve">for 80% of Americans Inside a "Growing" Economy</w:t>
      </w:r>
    </w:p>
    <w:p>
      <w:pPr>
        <w:spacing w:after="200"/>
      </w:pPr>
    </w:p>
    <w:p>
      <w:pPr>
        <w:spacing w:after="60"/>
        <w:jc w:val="center"/>
      </w:pPr>
      <w:r>
        <w:rPr>
          <w:rFonts w:ascii="Arial" w:cs="Arial" w:eastAsia="Arial" w:hAnsi="Arial"/>
          <w:b/>
          <w:bCs/>
          <w:sz w:val="24"/>
          <w:szCs w:val="24"/>
        </w:rPr>
        <w:t xml:space="preserve">Jake Bishop</w:t>
      </w:r>
    </w:p>
    <w:p>
      <w:pPr>
        <w:spacing w:after="60"/>
        <w:jc w:val="center"/>
      </w:pPr>
      <w:r>
        <w:rPr>
          <w:rFonts w:ascii="Arial" w:cs="Arial" w:eastAsia="Arial" w:hAnsi="Arial"/>
          <w:color w:val="666666"/>
          <w:sz w:val="22"/>
          <w:szCs w:val="22"/>
        </w:rPr>
        <w:t xml:space="preserve">March 28, 2026</w:t>
      </w:r>
    </w:p>
    <w:p>
      <w:pPr>
        <w:spacing w:after="400"/>
        <w:jc w:val="center"/>
      </w:pPr>
      <w:r>
        <w:rPr>
          <w:rFonts w:ascii="Arial" w:cs="Arial" w:eastAsia="Arial" w:hAnsi="Arial"/>
          <w:i/>
          <w:iCs/>
          <w:color w:val="666666"/>
          <w:sz w:val="22"/>
          <w:szCs w:val="22"/>
        </w:rPr>
        <w:t xml:space="preserve">Independent Macro Research</w:t>
      </w:r>
    </w:p>
    <w:p>
      <w:pPr>
        <w:pBdr>
          <w:bottom w:val="single" w:color="1F4E79" w:sz="6" w:space="1"/>
        </w:pBdr>
        <w:spacing w:after="300"/>
      </w:pPr>
    </w:p>
    <w:p>
      <w:pPr>
        <w:pStyle w:val="Heading1"/>
      </w:pPr>
      <w:r>
        <w:t xml:space="preserve">Abstract</w:t>
      </w:r>
    </w:p>
    <w:p>
      <w:pPr>
        <w:spacing w:after="200"/>
      </w:pPr>
      <w:r>
        <w:rPr>
          <w:sz w:val="24"/>
          <w:szCs w:val="24"/>
        </w:rPr>
        <w:t xml:space="preserve">The United States is not in a recession by traditional metrics. GDP grew 2.4% in Q4 2025. Unemployment hovers near historic lows. Headlines declare the economy "resilient." But these numbers are lying. They are an aggregate illusion—a hollow shell where the top 20% of earners generate nearly all growth while the bottom 80% experiences negative real income, asset lockout, and the systematic erosion of purchasing power. I call this the Hollow Bottom: a structural economic condition in which headline prosperity masks a functional contraction for the vast majority of American households.</w:t>
      </w:r>
    </w:p>
    <w:p>
      <w:pPr>
        <w:spacing w:after="200"/>
      </w:pPr>
      <w:r>
        <w:rPr>
          <w:sz w:val="24"/>
          <w:szCs w:val="24"/>
        </w:rPr>
        <w:t xml:space="preserve">This paper traces the origin of the Hollow Bottom to the COVID-era fiscal response—specifically, the Paycheck Protection Program and enhanced unemployment benefits—and demonstrates how those well-intentioned policies created a cascading sequence of labor market distortions, permanent price inflation, and accelerated automation that has left 75-80% of Americans worse off than they were in 2019, despite four years of "recovery."</w:t>
      </w:r>
    </w:p>
    <w:p>
      <w:pPr>
        <w:pStyle w:val="Heading1"/>
      </w:pPr>
      <w:r>
        <w:t xml:space="preserve">I. The GDP Illusion</w:t>
      </w:r>
    </w:p>
    <w:p>
      <w:pPr>
        <w:spacing w:after="200"/>
      </w:pPr>
      <w:r>
        <w:rPr>
          <w:sz w:val="24"/>
          <w:szCs w:val="24"/>
        </w:rPr>
        <w:t xml:space="preserve">Gross Domestic Product is a blunt instrument. It measures the total value of goods and services produced in an economy without regard for distribution. When Exxon Mobil generates $50 billion in free cash flow, when NVIDIA posts $40 billion in quarterly revenue, when the federal government runs a $2 trillion deficit—all of that counts as GDP growth. It says nothing about whether the median household can afford eggs.</w:t>
      </w:r>
    </w:p>
    <w:p>
      <w:pPr>
        <w:spacing w:after="200"/>
      </w:pPr>
      <w:r>
        <w:rPr>
          <w:sz w:val="24"/>
          <w:szCs w:val="24"/>
        </w:rPr>
        <w:t xml:space="preserve">As of Q1 2026, the U.S. economy splits cleanly into two realities:</w:t>
      </w:r>
    </w:p>
    <w:p>
      <w:pPr>
        <w:spacing w:after="120"/>
      </w:pPr>
      <w:r>
        <w:rPr>
          <w:b/>
          <w:bCs/>
          <w:sz w:val="24"/>
          <w:szCs w:val="24"/>
        </w:rPr>
        <w:t xml:space="preserve">The Top 20%: </w:t>
      </w:r>
      <w:r>
        <w:rPr>
          <w:sz w:val="24"/>
          <w:szCs w:val="24"/>
        </w:rPr>
        <w:t xml:space="preserve">Own 93% of equities. Benefit from AI-driven productivity gains, asset appreciation, and capital income. Their spending—luxury goods, travel, services, technology—drives the headline consumption numbers that make GDP look healthy.</w:t>
      </w:r>
    </w:p>
    <w:p>
      <w:pPr>
        <w:spacing w:after="200"/>
      </w:pPr>
      <w:r>
        <w:rPr>
          <w:b/>
          <w:bCs/>
          <w:sz w:val="24"/>
          <w:szCs w:val="24"/>
        </w:rPr>
        <w:t xml:space="preserve">The Bottom 80%: </w:t>
      </w:r>
      <w:r>
        <w:rPr>
          <w:sz w:val="24"/>
          <w:szCs w:val="24"/>
        </w:rPr>
        <w:t xml:space="preserve">Face effective inflation of 6-10% on essential goods while wages grow 1.1-1.5% annually. Allocate 64% of income to non-discretionary spending. Carry record credit card debt of $1.2 trillion at 28% APR. One in three low-income households spends 95% of income on essentials alone. For this cohort, the "recovery" never arrived. They are in recession.</w:t>
      </w:r>
    </w:p>
    <w:p>
      <w:pPr>
        <w:pStyle w:val="Heading2"/>
      </w:pPr>
      <w:r>
        <w:t xml:space="preserve">The Two Economies: By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 20%</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Bottom 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Real Income Growth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 to -3.0%</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Essentials Share of Income</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42%</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64%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Credit Card Debt Growth</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Stable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+23% YoY</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Home Affordability</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Accessible</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Locked Out ($34K gap)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Effective Inflation Rate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5.5-8.0%</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Equity Ownership</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93% of all stocks</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~7% of all stocks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Share of Consumer Spending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85%+</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&lt;15%</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sz w:val="20"/>
                <w:szCs w:val="20"/>
              </w:rPr>
              <w:t xml:space="preserve">Recession Status</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No</w:t>
            </w:r>
          </w:p>
        </w:tc>
        <w:tc>
          <w:tcPr>
            <w:tcW w:type="dxa" w:w="293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Yes (functional)</w:t>
            </w:r>
          </w:p>
        </w:tc>
      </w:tr>
    </w:tbl>
    <w:p>
      <w:pPr>
        <w:pStyle w:val="Heading1"/>
      </w:pPr>
      <w:r>
        <w:t xml:space="preserve">II. The PPP Paradox: How Stimulus Broke the Labor Market</w:t>
      </w:r>
    </w:p>
    <w:p>
      <w:pPr>
        <w:spacing w:after="200"/>
      </w:pPr>
      <w:r>
        <w:rPr>
          <w:sz w:val="24"/>
          <w:szCs w:val="24"/>
        </w:rPr>
        <w:t xml:space="preserve">The conventional narrative is that COVID stimulus saved the economy. It did—in the short term. But the mechanism through which it operated created a chain reaction that is now destroying the purchasing power of the very workers it was designed to protect. Here is the kill chain:</w:t>
      </w:r>
    </w:p>
    <w:p>
      <w:pPr>
        <w:pStyle w:val="Heading2"/>
      </w:pPr>
      <w:r>
        <w:t xml:space="preserve">Step 1: The Forced Overhire</w:t>
      </w:r>
    </w:p>
    <w:p>
      <w:pPr>
        <w:spacing w:after="200"/>
      </w:pPr>
      <w:r>
        <w:rPr>
          <w:sz w:val="24"/>
          <w:szCs w:val="24"/>
        </w:rPr>
        <w:t xml:space="preserve">The Paycheck Protection Program required businesses to spend 60% of loan proceeds on payroll to qualify for forgiveness. This created a perverse incentive: companies hired aggressively—not because demand justified it, but because failing to burn through the payroll requirement meant repaying the loan. Businesses were hiring to meet a deadline, not to fill orders. This is why job creation numbers in 2021-2022 looked miraculous. They were not organic. They were loan compliance.</w:t>
      </w:r>
    </w:p>
    <w:p>
      <w:pPr>
        <w:pStyle w:val="Heading2"/>
      </w:pPr>
      <w:r>
        <w:t xml:space="preserve">Step 2: The Bidding War Against Free Money</w:t>
      </w:r>
    </w:p>
    <w:p>
      <w:pPr>
        <w:spacing w:after="200"/>
      </w:pPr>
      <w:r>
        <w:rPr>
          <w:sz w:val="24"/>
          <w:szCs w:val="24"/>
        </w:rPr>
        <w:t xml:space="preserve">Simultaneously, the labor supply was artificially constrained. Workers had no economic urgency to accept employment because they held enhanced unemployment benefits ($600/week federal supplement), direct stimulus payments ($3,200 per adult), eviction moratoriums (zero rent liability), and student loan payment pauses. Businesses competing to fill PPP-mandated payroll slots were bidding against a government-funded alternative that offered comparable income with complete time freedom. A warehouse worker’s hourly rate went from $15 to $22 in eighteen months—not because productivity justified it, but because the employer was in a forced bidding war against the United States Treasury.</w:t>
      </w:r>
    </w:p>
    <w:p>
      <w:pPr>
        <w:pStyle w:val="Heading2"/>
      </w:pPr>
      <w:r>
        <w:t xml:space="preserve">Step 3: The Capital Response</w:t>
      </w:r>
    </w:p>
    <w:p>
      <w:pPr>
        <w:spacing w:after="200"/>
      </w:pPr>
      <w:r>
        <w:rPr>
          <w:sz w:val="24"/>
          <w:szCs w:val="24"/>
        </w:rPr>
        <w:t xml:space="preserve">Every CEO in America watched labor costs spike 30-40% in two years and arrived at the same conclusion: never again. The stimulus did not just inflate wages temporarily. It permanently accelerated the economic case for automation, artificial intelligence, and capital substitution of labor. The return-on-investment calculation for a robotic fulfillment system, an AI customer service agent, or an automated warehouse operation improved by 30-40% overnight—because the human alternative had just become 30-40% more expensive. The automation timeline that might have extended to 2035 was pulled forward to 2026.</w:t>
      </w:r>
    </w:p>
    <w:p>
      <w:pPr>
        <w:spacing w:after="200"/>
      </w:pPr>
      <w:r>
        <w:rPr>
          <w:b/>
          <w:bCs/>
          <w:i/>
          <w:iCs/>
          <w:sz w:val="24"/>
          <w:szCs w:val="24"/>
        </w:rPr>
        <w:t xml:space="preserve">Capital did what capital always does. It identified the cost at the margin, and reconciled.</w:t>
      </w:r>
    </w:p>
    <w:p>
      <w:pPr>
        <w:pStyle w:val="Heading2"/>
      </w:pPr>
      <w:r>
        <w:t xml:space="preserve">Step 4: The Snapback</w:t>
      </w:r>
    </w:p>
    <w:p>
      <w:pPr>
        <w:spacing w:after="200"/>
      </w:pPr>
      <w:r>
        <w:rPr>
          <w:sz w:val="24"/>
          <w:szCs w:val="24"/>
        </w:rPr>
        <w:t xml:space="preserve">The PPP money ran out. Enhanced unemployment expired. Stimulus checks stopped. Eviction moratoriums ended. But the prices those programs inflated never came back down. Workers who earned $22/hour during the bidding war now earn $23-24/hour—modest annual raises—against a cost of living that is 35% higher than 2019. The temporary wage gains have been consumed by permanent price increases. Meanwhile, the companies that overhired to satisfy PPP forgiveness requirements spent 2023-2025 quietly replacing those workers with the automation systems the wage spike justified. The great hiring became the quiet replacement.</w:t>
      </w:r>
    </w:p>
    <w:p>
      <w:pPr>
        <w:pStyle w:val="Heading2"/>
      </w:pPr>
      <w:r>
        <w:t xml:space="preserve">Step 5: The Hollow Bottom</w:t>
      </w:r>
    </w:p>
    <w:p>
      <w:pPr>
        <w:spacing w:after="200"/>
      </w:pPr>
      <w:r>
        <w:rPr>
          <w:sz w:val="24"/>
          <w:szCs w:val="24"/>
        </w:rPr>
        <w:t xml:space="preserve">The result is the economy I document in this paper: 75-80% of Americans in functional recession. Wages growing at 1.1-1.5% against essentials inflation of 3-6%. Credit card debt at record levels financing the gap. The bottom 40% with no discretionary spending power remaining. GDP that looks healthy because AI capital expenditure and top-quintile consumption mask the contraction. And employment figures that appeared robust on paper because they were artificially inflated by PPP compliance—and are now being structurally replaced by the very automation those inflated labor costs incentivized.</w:t>
      </w:r>
    </w:p>
    <w:p>
      <w:pPr>
        <w:pStyle w:val="Heading1"/>
      </w:pPr>
      <w:r>
        <w:t xml:space="preserve">III. The $120,000 Threshold</w:t>
      </w:r>
    </w:p>
    <w:p>
      <w:pPr>
        <w:spacing w:after="200"/>
      </w:pPr>
      <w:r>
        <w:rPr>
          <w:sz w:val="24"/>
          <w:szCs w:val="24"/>
        </w:rPr>
        <w:t xml:space="preserve">As of Q1 2026, the household income required to qualify for a median-priced home ($405,000) at current mortgage rates (6.8%) is approximately $120,000. The median U.S. household income is $86,000. That is a $34,000 affordability gap—the largest in American history. Any household earning below $120,000 is statistically asset-locked: unable to purchase the primary wealth-building vehicle in the American economic system. They are not building equity. They are renting, and that rent increased 34% since 2019.</w:t>
      </w:r>
    </w:p>
    <w:p>
      <w:pPr>
        <w:spacing w:after="200"/>
      </w:pPr>
      <w:r>
        <w:rPr>
          <w:sz w:val="24"/>
          <w:szCs w:val="24"/>
        </w:rPr>
        <w:t xml:space="preserve">The wealth creation mechanism of the American middle class—homeownership—has been severed for the majority of households. This is not a cyclical condition. At current rates and prices, it is structural.</w:t>
      </w:r>
    </w:p>
    <w:p>
      <w:pPr>
        <w:pStyle w:val="Heading1"/>
      </w:pPr>
      <w:r>
        <w:t xml:space="preserve">IV. The Essentials Trap</w:t>
      </w:r>
    </w:p>
    <w:p>
      <w:pPr>
        <w:spacing w:after="200"/>
      </w:pPr>
      <w:r>
        <w:rPr>
          <w:sz w:val="24"/>
          <w:szCs w:val="24"/>
        </w:rPr>
        <w:t xml:space="preserve">Official CPI reports inflation at 2.5-3.0%. This figure is meaningless for lower-income households because it weights their actual spending basket incorrectly. The bottom 40% of earners allocate 64% of their budget to non-discretionary essentials: housing, food, utilities, insurance, healthcare, and transportation. These categories have inflated at dramatically higher rates than the goods measured in CPI’s broader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YoY (Feb 2026)</w:t>
            </w:r>
          </w:p>
        </w:tc>
        <w:tc>
          <w:tcPr>
            <w:tcW w:type="dxa" w:w="2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Cumulative (Since 2019)</w:t>
            </w:r>
          </w:p>
        </w:tc>
      </w:tr>
      <w:tr>
        <w:tc>
          <w:tcPr>
            <w:tcW w:type="dxa" w:w="3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Electricity</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+4.8%</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+41%</w:t>
            </w:r>
          </w:p>
        </w:tc>
      </w:tr>
      <w:tr>
        <w:tc>
          <w:tcPr>
            <w:tcW w:type="dxa" w:w="3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Utility Gas</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+10.9%</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+38%</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Food at Home</w:t>
            </w:r>
          </w:p>
        </w:tc>
        <w:tc>
          <w:tcPr>
            <w:tcW w:type="dxa" w:w="2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+2.4%</w:t>
            </w:r>
          </w:p>
        </w:tc>
        <w:tc>
          <w:tcPr>
            <w:tcW w:type="dxa" w:w="2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+34%</w:t>
            </w:r>
          </w:p>
        </w:tc>
      </w:tr>
      <w:tr>
        <w:tc>
          <w:tcPr>
            <w:tcW w:type="dxa" w:w="3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Shelter / Rent</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+3.0%</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+34%</w:t>
            </w:r>
          </w:p>
        </w:tc>
      </w:tr>
      <w:tr>
        <w:tc>
          <w:tcPr>
            <w:tcW w:type="dxa" w:w="38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Auto Insurance</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+6.2%</w:t>
            </w:r>
          </w:p>
        </w:tc>
        <w:tc>
          <w:tcPr>
            <w:tcW w:type="dxa" w:w="27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pPr>
              <w:jc w:val="center"/>
            </w:pPr>
            <w:r>
              <w:rPr>
                <w:rFonts w:ascii="Arial" w:cs="Arial" w:eastAsia="Arial" w:hAnsi="Arial"/>
                <w:b/>
                <w:bCs/>
                <w:sz w:val="20"/>
                <w:szCs w:val="20"/>
              </w:rPr>
              <w:t xml:space="preserve">+52%</w:t>
            </w:r>
          </w:p>
        </w:tc>
      </w:tr>
      <w:tr>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Healthcare Services</w:t>
            </w:r>
          </w:p>
        </w:tc>
        <w:tc>
          <w:tcPr>
            <w:tcW w:type="dxa" w:w="2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2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+22%</w:t>
            </w:r>
          </w:p>
        </w:tc>
      </w:tr>
      <w:tr>
        <w:tc>
          <w:tcPr>
            <w:tcW w:type="dxa" w:w="3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Wage Growth (Bottom 40%)</w:t>
            </w:r>
          </w:p>
        </w:tc>
        <w:tc>
          <w:tcPr>
            <w:tcW w:type="dxa" w:w="27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+1.1-1.5%</w:t>
            </w:r>
          </w:p>
        </w:tc>
        <w:tc>
          <w:tcPr>
            <w:tcW w:type="dxa" w:w="27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sz w:val="20"/>
                <w:szCs w:val="20"/>
              </w:rPr>
              <w:t xml:space="preserve">+15-18%</w:t>
            </w:r>
          </w:p>
        </w:tc>
      </w:tr>
    </w:tbl>
    <w:p>
      <w:pPr>
        <w:spacing w:before="200" w:after="200"/>
      </w:pPr>
      <w:r>
        <w:rPr>
          <w:sz w:val="24"/>
          <w:szCs w:val="24"/>
        </w:rPr>
        <w:t xml:space="preserve">The bottom 40% faces an effective inflation rate approximately 3.0 percentage points higher than top-earning households. Against wage growth of 1.1-1.5% for low-wage workers in 2026, this represents a deeply negative real income trajectory. These households are not experiencing a "cost of living increase.” They are experiencing a permanent reduction in their standard of living.</w:t>
      </w:r>
    </w:p>
    <w:p>
      <w:pPr>
        <w:pStyle w:val="Heading1"/>
      </w:pPr>
      <w:r>
        <w:t xml:space="preserve">V. The Masking Effect</w:t>
      </w:r>
    </w:p>
    <w:p>
      <w:pPr>
        <w:spacing w:after="200"/>
      </w:pPr>
      <w:r>
        <w:rPr>
          <w:sz w:val="24"/>
          <w:szCs w:val="24"/>
        </w:rPr>
        <w:t xml:space="preserve">The bottom 40% of U.S. households accounts for less than 15% of total consumer spending. This is why their recession is invisible in aggregate data. When a top-decile household spends $12,000 on a vacation, it overwhelms the $200/month grocery shortfall experienced by fifty lower-income households in the consumption statistics. The luxury and service spending of the top 20% literally masks the contraction of the bottom 80%.</w:t>
      </w:r>
    </w:p>
    <w:p>
      <w:pPr>
        <w:spacing w:after="200"/>
      </w:pPr>
      <w:r>
        <w:rPr>
          <w:sz w:val="24"/>
          <w:szCs w:val="24"/>
        </w:rPr>
        <w:t xml:space="preserve">Add to this the federal deficit of $2 trillion annually. Government spending is GDP by definition. The United States could be in a consumer depression and still print 2% GDP growth through deficit spending alone. The metric is broken. It measures the size of the economy, not the health of its participants.</w:t>
      </w:r>
    </w:p>
    <w:p>
      <w:pPr>
        <w:pStyle w:val="Heading1"/>
      </w:pPr>
      <w:r>
        <w:t xml:space="preserve">VI. The Credit Fuse</w:t>
      </w:r>
    </w:p>
    <w:p>
      <w:pPr>
        <w:spacing w:after="200"/>
      </w:pPr>
      <w:r>
        <w:rPr>
          <w:sz w:val="24"/>
          <w:szCs w:val="24"/>
        </w:rPr>
        <w:t xml:space="preserve">American consumer credit card debt reached $1.2 trillion in 2026—an all-time record. The average APR on that debt is 28%. This is not wealth. This is not consumption. This is survival borrowing. Households are financing groceries, gas, and utility bills on revolving credit because their income no longer covers essential expenses. That debt has a fuse. When it detonates—through delinquencies, charge-offs, and defaults—it will land on the balance sheets of the financial institutions that extended it.</w:t>
      </w:r>
    </w:p>
    <w:p>
      <w:pPr>
        <w:spacing w:after="200"/>
      </w:pPr>
      <w:r>
        <w:rPr>
          <w:sz w:val="24"/>
          <w:szCs w:val="24"/>
        </w:rPr>
        <w:t xml:space="preserve">The regional banking system is particularly exposed. Already burdened by commercial real estate delinquencies at all-time highs (CMBS office delinquency reached 12.34% in January 2026, up from 1.6% in mid-2022), regional banks now face a second wave of credit stress from consumer portfolios. The households that cannot afford their rent are the same households whose car loans, credit card balances, and personal lines of credit are deteriorating. The Hollow Bottom does not stay at the household level. It flows upward through the credit system into bank earnings, provisions, and eventually, capital adequacy.</w:t>
      </w:r>
    </w:p>
    <w:p>
      <w:pPr>
        <w:pStyle w:val="Heading1"/>
      </w:pPr>
      <w:r>
        <w:t xml:space="preserve">VII. Why Nobody Connects These Dots</w:t>
      </w:r>
    </w:p>
    <w:p>
      <w:pPr>
        <w:spacing w:after="120"/>
      </w:pPr>
      <w:r>
        <w:rPr>
          <w:sz w:val="24"/>
          <w:szCs w:val="24"/>
        </w:rPr>
        <w:t xml:space="preserve">The Hollow Bottom persists undiscussed because every stakeholder has a reason to ignore it:</w:t>
      </w:r>
    </w:p>
    <w:p>
      <w:pPr>
        <w:pStyle w:val="ListParagraph"/>
        <w:numPr>
          <w:ilvl w:val="0"/>
          <w:numId w:val="2"/>
        </w:numPr>
        <w:spacing w:after="80"/>
      </w:pPr>
      <w:r>
        <w:rPr>
          <w:b/>
          <w:bCs/>
          <w:sz w:val="24"/>
          <w:szCs w:val="24"/>
        </w:rPr>
        <w:t xml:space="preserve">Democrats </w:t>
      </w:r>
      <w:r>
        <w:rPr>
          <w:sz w:val="24"/>
          <w:szCs w:val="24"/>
        </w:rPr>
        <w:t xml:space="preserve">cannot acknowledge that the stimulus they championed caused the inflation now crushing their voters.</w:t>
      </w:r>
    </w:p>
    <w:p>
      <w:pPr>
        <w:pStyle w:val="ListParagraph"/>
        <w:numPr>
          <w:ilvl w:val="0"/>
          <w:numId w:val="2"/>
        </w:numPr>
        <w:spacing w:after="80"/>
      </w:pPr>
      <w:r>
        <w:rPr>
          <w:b/>
          <w:bCs/>
          <w:sz w:val="24"/>
          <w:szCs w:val="24"/>
        </w:rPr>
        <w:t xml:space="preserve">Republicans </w:t>
      </w:r>
      <w:r>
        <w:rPr>
          <w:sz w:val="24"/>
          <w:szCs w:val="24"/>
        </w:rPr>
        <w:t xml:space="preserve">cannot acknowledge that the PPP program they supported was a corporate slush fund that accelerated automation.</w:t>
      </w:r>
    </w:p>
    <w:p>
      <w:pPr>
        <w:pStyle w:val="ListParagraph"/>
        <w:numPr>
          <w:ilvl w:val="0"/>
          <w:numId w:val="2"/>
        </w:numPr>
        <w:spacing w:after="80"/>
      </w:pPr>
      <w:r>
        <w:rPr>
          <w:b/>
          <w:bCs/>
          <w:sz w:val="24"/>
          <w:szCs w:val="24"/>
        </w:rPr>
        <w:t xml:space="preserve">The Federal Reserve </w:t>
      </w:r>
      <w:r>
        <w:rPr>
          <w:sz w:val="24"/>
          <w:szCs w:val="24"/>
        </w:rPr>
        <w:t xml:space="preserve">cannot acknowledge it held rates at zero for two years too long, enabling the inflation that is now entrenched.</w:t>
      </w:r>
    </w:p>
    <w:p>
      <w:pPr>
        <w:pStyle w:val="ListParagraph"/>
        <w:numPr>
          <w:ilvl w:val="0"/>
          <w:numId w:val="2"/>
        </w:numPr>
        <w:spacing w:after="80"/>
      </w:pPr>
      <w:r>
        <w:rPr>
          <w:b/>
          <w:bCs/>
          <w:sz w:val="24"/>
          <w:szCs w:val="24"/>
        </w:rPr>
        <w:t xml:space="preserve">Wall Street </w:t>
      </w:r>
      <w:r>
        <w:rPr>
          <w:sz w:val="24"/>
          <w:szCs w:val="24"/>
        </w:rPr>
        <w:t xml:space="preserve">cannot acknowledge that GDP is a hollow metric because their business model depends on the narrative of growth.</w:t>
      </w:r>
    </w:p>
    <w:p>
      <w:pPr>
        <w:pStyle w:val="ListParagraph"/>
        <w:numPr>
          <w:ilvl w:val="0"/>
          <w:numId w:val="2"/>
        </w:numPr>
        <w:spacing w:after="200"/>
      </w:pPr>
      <w:r>
        <w:rPr>
          <w:b/>
          <w:bCs/>
          <w:sz w:val="24"/>
          <w:szCs w:val="24"/>
        </w:rPr>
        <w:t xml:space="preserve">Media </w:t>
      </w:r>
      <w:r>
        <w:rPr>
          <w:sz w:val="24"/>
          <w:szCs w:val="24"/>
        </w:rPr>
        <w:t xml:space="preserve">reports "low unemployment" without noting the jobs pay 30% less in real terms than they did in 2019 and are increasingly temporary, gig-based, or underemployed.</w:t>
      </w:r>
    </w:p>
    <w:p>
      <w:pPr>
        <w:spacing w:after="200"/>
      </w:pPr>
      <w:r>
        <w:rPr>
          <w:sz w:val="24"/>
          <w:szCs w:val="24"/>
        </w:rPr>
        <w:t xml:space="preserve">The result is a consensus fiction: the economy is fine. The data says otherwise, but only if measured at the household level rather than the aggregate level.</w:t>
      </w:r>
    </w:p>
    <w:p>
      <w:pPr>
        <w:pStyle w:val="Heading1"/>
      </w:pPr>
      <w:r>
        <w:t xml:space="preserve">VIII. The Convergence: Why 2026 Is the Year It Breaks</w:t>
      </w:r>
    </w:p>
    <w:p>
      <w:pPr>
        <w:spacing w:after="200"/>
      </w:pPr>
      <w:r>
        <w:rPr>
          <w:sz w:val="24"/>
          <w:szCs w:val="24"/>
        </w:rPr>
        <w:t xml:space="preserve">The Hollow Bottom has been building since 2021. But 2026 is the year the floor cracks, because multiple catalysts are converging simultaneously:</w:t>
      </w:r>
    </w:p>
    <w:p>
      <w:pPr>
        <w:pStyle w:val="ListParagraph"/>
        <w:numPr>
          <w:ilvl w:val="0"/>
          <w:numId w:val="2"/>
        </w:numPr>
        <w:spacing w:after="80"/>
      </w:pPr>
      <w:r>
        <w:rPr>
          <w:b/>
          <w:bCs/>
          <w:sz w:val="24"/>
          <w:szCs w:val="24"/>
        </w:rPr>
        <w:t xml:space="preserve">Iran Conflict: </w:t>
      </w:r>
      <w:r>
        <w:rPr>
          <w:sz w:val="24"/>
          <w:szCs w:val="24"/>
        </w:rPr>
        <w:t xml:space="preserve">Oil above $108/barrel with Strait of Hormuz disruptions. No off-switch. Unlike tariffs, a war cannot be paused with a social media post. The 82nd Airborne is deploying to the Middle East. Energy costs hit the bottom 80% hardest because fuel and utilities are non-discretionary.</w:t>
      </w:r>
    </w:p>
    <w:p>
      <w:pPr>
        <w:pStyle w:val="ListParagraph"/>
        <w:numPr>
          <w:ilvl w:val="0"/>
          <w:numId w:val="2"/>
        </w:numPr>
        <w:spacing w:after="80"/>
      </w:pPr>
      <w:r>
        <w:rPr>
          <w:b/>
          <w:bCs/>
          <w:sz w:val="24"/>
          <w:szCs w:val="24"/>
        </w:rPr>
        <w:t xml:space="preserve">CRE Maturity Wall: </w:t>
      </w:r>
      <w:r>
        <w:rPr>
          <w:sz w:val="24"/>
          <w:szCs w:val="24"/>
        </w:rPr>
        <w:t xml:space="preserve">$936 billion in commercial real estate loans maturing in 2026. Office buildings financed at 3.5% must refinance at 6.8% with 30% vacancy. The math does not work. Defaults are guaranteed.</w:t>
      </w:r>
    </w:p>
    <w:p>
      <w:pPr>
        <w:pStyle w:val="ListParagraph"/>
        <w:numPr>
          <w:ilvl w:val="0"/>
          <w:numId w:val="2"/>
        </w:numPr>
        <w:spacing w:after="80"/>
      </w:pPr>
      <w:r>
        <w:rPr>
          <w:b/>
          <w:bCs/>
          <w:sz w:val="24"/>
          <w:szCs w:val="24"/>
        </w:rPr>
        <w:t xml:space="preserve">SNAP Enforcement: </w:t>
      </w:r>
      <w:r>
        <w:rPr>
          <w:sz w:val="24"/>
          <w:szCs w:val="24"/>
        </w:rPr>
        <w:t xml:space="preserve">Effective April 1, 2026, eighteen states will hard-block candy and soda purchases at point-of-sale for SNAP recipients. This directly reduces revenue for retailers serving the bottom 40% and removes discretionary food spending from the most vulnerable households.</w:t>
      </w:r>
    </w:p>
    <w:p>
      <w:pPr>
        <w:pStyle w:val="ListParagraph"/>
        <w:numPr>
          <w:ilvl w:val="0"/>
          <w:numId w:val="2"/>
        </w:numPr>
        <w:spacing w:after="80"/>
      </w:pPr>
      <w:r>
        <w:rPr>
          <w:b/>
          <w:bCs/>
          <w:sz w:val="24"/>
          <w:szCs w:val="24"/>
        </w:rPr>
        <w:t xml:space="preserve">Boomer Liquidation: </w:t>
      </w:r>
      <w:r>
        <w:rPr>
          <w:sz w:val="24"/>
          <w:szCs w:val="24"/>
        </w:rPr>
        <w:t xml:space="preserve">Over 10,000 Americans reach age 65 every day. The oldest baby boomers are turning 80 in 2026. They are systematically rotating from equities to fixed income, annuities, and cash. This is a structural, demographic seller in the equity market that has nothing to do with fundamentals.</w:t>
      </w:r>
    </w:p>
    <w:p>
      <w:pPr>
        <w:pStyle w:val="ListParagraph"/>
        <w:numPr>
          <w:ilvl w:val="0"/>
          <w:numId w:val="2"/>
        </w:numPr>
        <w:spacing w:after="80"/>
      </w:pPr>
      <w:r>
        <w:rPr>
          <w:b/>
          <w:bCs/>
          <w:sz w:val="24"/>
          <w:szCs w:val="24"/>
        </w:rPr>
        <w:t xml:space="preserve">Petrodollar Erosion: </w:t>
      </w:r>
      <w:r>
        <w:rPr>
          <w:sz w:val="24"/>
          <w:szCs w:val="24"/>
        </w:rPr>
        <w:t xml:space="preserve">Oil is increasingly being settled outside the U.S. dollar system. Saudi Arabia is pricing in yuan for Chinese buyers. Russia settles in rubles. This reduces global dollar demand, weakens the currency, increases import costs, and creates inflationary pressure that the Federal Reserve cannot address with interest rate policy.</w:t>
      </w:r>
    </w:p>
    <w:p>
      <w:pPr>
        <w:pStyle w:val="ListParagraph"/>
        <w:numPr>
          <w:ilvl w:val="0"/>
          <w:numId w:val="2"/>
        </w:numPr>
        <w:spacing w:after="200"/>
      </w:pPr>
      <w:r>
        <w:rPr>
          <w:b/>
          <w:bCs/>
          <w:sz w:val="24"/>
          <w:szCs w:val="24"/>
        </w:rPr>
        <w:t xml:space="preserve">The Fed Trap: </w:t>
      </w:r>
      <w:r>
        <w:rPr>
          <w:sz w:val="24"/>
          <w:szCs w:val="24"/>
        </w:rPr>
        <w:t xml:space="preserve">The Federal Reserve cannot cut rates because inflation remains above target. It cannot hold rates because the economy—the real economy, the one experienced by 80% of households—is contracting. There is no policy lever available that does not worsen one side of the equation.</w:t>
      </w:r>
    </w:p>
    <w:p>
      <w:pPr>
        <w:pStyle w:val="Heading1"/>
      </w:pPr>
      <w:r>
        <w:t xml:space="preserve">IX. Conclusion: The Balloon</w:t>
      </w:r>
    </w:p>
    <w:p>
      <w:pPr>
        <w:spacing w:after="200"/>
      </w:pPr>
      <w:r>
        <w:rPr>
          <w:sz w:val="24"/>
          <w:szCs w:val="24"/>
        </w:rPr>
        <w:t xml:space="preserve">The American economy is a helium-filled balloon. It is rising on the hot air of deficit spending, AI capex, and top-quintile consumption. It looks impressive from a distance. But underneath it is hollow—gutted by the very policies designed to save it.</w:t>
      </w:r>
    </w:p>
    <w:p>
      <w:pPr>
        <w:spacing w:after="200"/>
      </w:pPr>
      <w:r>
        <w:rPr>
          <w:sz w:val="24"/>
          <w:szCs w:val="24"/>
        </w:rPr>
        <w:t xml:space="preserve">The COVID stimulus response created a forced labor market distortion that simultaneously overcompensated workers temporarily and gave capital the permanent economic justification to replace them. It inflated prices permanently while the income boost was temporary. The gap between those two realities is the Hollow Bottom. And it is widening every quarter as automation accelerates, real wages stagnate, and the credit instruments financing the gap approach their breaking point.</w:t>
      </w:r>
    </w:p>
    <w:p>
      <w:pPr>
        <w:spacing w:after="200"/>
      </w:pPr>
      <w:r>
        <w:rPr>
          <w:sz w:val="24"/>
          <w:szCs w:val="24"/>
        </w:rPr>
        <w:t xml:space="preserve">The question is not whether the balloon pops. The data shows it is already deflating for 80% of participants. The question is when the remaining 20%—and the market that reflects their reality—acknowledges it.</w:t>
      </w:r>
    </w:p>
    <w:p>
      <w:pPr>
        <w:spacing w:after="200"/>
      </w:pPr>
      <w:r>
        <w:rPr>
          <w:b/>
          <w:bCs/>
          <w:sz w:val="24"/>
          <w:szCs w:val="24"/>
        </w:rPr>
        <w:t xml:space="preserve">I believe Q2-Q3 2026 is when that acknowledgment arrives. The catalysts are dated. The data is unambiguous. The Hollow Bottom is not a theory. It is arithmetic.</w:t>
      </w:r>
    </w:p>
    <w:p>
      <w:pPr>
        <w:pBdr>
          <w:bottom w:val="single" w:color="1F4E79" w:sz="6" w:space="1"/>
        </w:pBdr>
        <w:spacing w:after="200"/>
      </w:pPr>
    </w:p>
    <w:p>
      <w:pPr>
        <w:spacing w:after="100"/>
        <w:jc w:val="center"/>
      </w:pPr>
      <w:r>
        <w:rPr>
          <w:b/>
          <w:bCs/>
          <w:i/>
          <w:iCs/>
          <w:color w:val="1F4E79"/>
          <w:sz w:val="24"/>
          <w:szCs w:val="24"/>
        </w:rPr>
        <w:t xml:space="preserve">If you want to take part in capital profits, you must also take part in capital investment.</w:t>
      </w:r>
    </w:p>
    <w:p>
      <w:pPr>
        <w:spacing w:after="200"/>
        <w:jc w:val="center"/>
      </w:pPr>
      <w:r>
        <w:rPr>
          <w:i/>
          <w:iCs/>
          <w:color w:val="666666"/>
          <w:sz w:val="22"/>
          <w:szCs w:val="22"/>
        </w:rPr>
        <w:t xml:space="preserve">— Jake Bishop,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2026-03-28T18:24:03.191Z</dcterms:created>
  <dcterms:modified xsi:type="dcterms:W3CDTF">2026-03-28T18:24:03.191Z</dcterms:modified>
</cp:coreProperties>
</file>

<file path=docProps/custom.xml><?xml version="1.0" encoding="utf-8"?>
<Properties xmlns="http://schemas.openxmlformats.org/officeDocument/2006/custom-properties" xmlns:vt="http://schemas.openxmlformats.org/officeDocument/2006/docPropsVTypes"/>
</file>