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WASHINGTON BECOMES THE MARKET</w:t>
      </w:r>
    </w:p>
    <w:p>
      <w:pPr>
        <w:spacing w:after="240"/>
        <w:jc w:val="center"/>
      </w:pPr>
      <w:r>
        <w:rPr>
          <w:i/>
          <w:iCs/>
          <w:sz w:val="26"/>
          <w:szCs w:val="26"/>
        </w:rPr>
        <w:t xml:space="preserve">Government contracts reshape AI, energy and defense, 2023–2026</w:t>
      </w:r>
    </w:p>
    <w:p>
      <w:pPr>
        <w:pBdr>
          <w:bottom w:val="single" w:color="1F2937" w:sz="8" w:space="4"/>
        </w:pBdr>
        <w:spacing w:after="480"/>
        <w:jc w:val="center"/>
      </w:pPr>
      <w:r>
        <w:rPr>
          <w:color w:val="6B7280"/>
          <w:sz w:val="20"/>
          <w:szCs w:val="20"/>
        </w:rPr>
        <w:t xml:space="preserve">Independent Macro Research  |  Jake Bishop  |  April 2026</w:t>
      </w:r>
    </w:p>
    <w:p>
      <w:pPr>
        <w:pStyle w:val="Heading1"/>
      </w:pPr>
      <w:r>
        <w:t xml:space="preserve">Executive summary</w:t>
      </w:r>
    </w:p>
    <w:p>
      <w:pPr>
        <w:spacing w:after="120"/>
      </w:pPr>
      <w:r>
        <w:rPr>
          <w:b/>
          <w:bCs/>
        </w:rPr>
        <w:t xml:space="preserve">The U.S. government has moved from subsidizing strategic industries to owning them.</w:t>
      </w:r>
      <w:r>
        <w:t xml:space="preserve"> Between April 2023 and April 2026, federal contracting underwent two phase transitions: first a Biden-era burst of grants and loans pushing roughly </w:t>
      </w:r>
      <w:r>
        <w:rPr>
          <w:b/>
          <w:bCs/>
        </w:rPr>
        <w:t xml:space="preserve">$250 billion</w:t>
      </w:r>
      <w:r>
        <w:t xml:space="preserve"> into semiconductors, grid and clean-energy infrastructure, then a Trump-era pivot after January 2025 that converted many of those grants into equity stakes, price floors, revenue-share agreements and sovereign-style direct investment.</w:t>
      </w:r>
    </w:p>
    <w:p>
      <w:pPr>
        <w:spacing w:after="120"/>
      </w:pPr>
      <w:r>
        <w:t xml:space="preserve">The result is a durable shift in market structure — Washington now sits on the cap tables of Intel, MP Materials, Lithium Americas and Trilogy Metals, collects 15% of Nvidia and AMD's China chip revenue, and anchors a $500 billion AI build-out through the Stargate joint venture. For investors and contractors, federal procurement and federal equity have become the single most important source of demand growth across the AI-compute, power and critical-minerals stack.</w:t>
      </w:r>
    </w:p>
    <w:p>
      <w:pPr>
        <w:pStyle w:val="Heading1"/>
      </w:pPr>
      <w:r>
        <w:t xml:space="preserve">1. The CHIPS Act pipeline, then its renegotiation</w:t>
      </w:r>
    </w:p>
    <w:p>
      <w:pPr>
        <w:spacing w:after="120"/>
      </w:pPr>
      <w:r>
        <w:t xml:space="preserve">Commerce obligated roughly </w:t>
      </w:r>
      <w:r>
        <w:rPr>
          <w:b/>
          <w:bCs/>
        </w:rPr>
        <w:t xml:space="preserve">$30.7 billion in direct grants and $5.5 billion in loans to more than 30 semiconductor projects</w:t>
      </w:r>
      <w:r>
        <w:t xml:space="preserve"> before the Biden-Harris administration left office, with a sprint of binding agreements in November–December 2024 locking in the largest awards.</w:t>
      </w:r>
    </w:p>
    <w:p>
      <w:pPr>
        <w:pStyle w:val="Heading3"/>
      </w:pPr>
      <w:r>
        <w:t xml:space="preserve">Major awards finalized under Biden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Company</w:t>
            </w:r>
          </w:p>
        </w:tc>
        <w:tc>
          <w:tcPr>
            <w:tcW w:type="dxa" w:w="156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Grant</w:t>
            </w:r>
          </w:p>
        </w:tc>
        <w:tc>
          <w:tcPr>
            <w:tcW w:type="dxa" w:w="156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Loan</w:t>
            </w:r>
          </w:p>
        </w:tc>
        <w:tc>
          <w:tcPr>
            <w:tcW w:type="dxa" w:w="156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Finalized</w:t>
            </w:r>
          </w:p>
        </w:tc>
        <w:tc>
          <w:tcPr>
            <w:tcW w:type="dxa" w:w="234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Status / Trump-era action</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TSMC Arizona</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$6.6B</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$5.0B</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Nov 15, 2024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Scaled to $165B / 3 fabs after Lutnick renegotiation</w:t>
            </w:r>
          </w:p>
        </w:tc>
      </w:tr>
      <w:tr>
        <w:tc>
          <w:tcPr>
            <w:tcW w:type="dxa" w:w="234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Intel</w:t>
            </w:r>
          </w:p>
        </w:tc>
        <w:tc>
          <w:tcPr>
            <w:tcW w:type="dxa" w:w="15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$7.86B</w:t>
            </w:r>
          </w:p>
        </w:tc>
        <w:tc>
          <w:tcPr>
            <w:tcW w:type="dxa" w:w="15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w:t>
            </w:r>
          </w:p>
        </w:tc>
        <w:tc>
          <w:tcPr>
            <w:tcW w:type="dxa" w:w="15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Nov 26, 2024</w:t>
            </w:r>
          </w:p>
        </w:tc>
        <w:tc>
          <w:tcPr>
            <w:tcW w:type="dxa" w:w="234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Converted to 9.9% federal equity stake Aug 22, 2025 ($8.9B, 433.3M shares @ $20.47)</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Micron</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$6.165B</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Dec 2024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$1.2B shifted from NY to Idaho; Clay NY fab slipped to 2029–2030</w:t>
            </w:r>
          </w:p>
        </w:tc>
      </w:tr>
      <w:tr>
        <w:tc>
          <w:tcPr>
            <w:tcW w:type="dxa" w:w="234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Samsung</w:t>
            </w:r>
          </w:p>
        </w:tc>
        <w:tc>
          <w:tcPr>
            <w:tcW w:type="dxa" w:w="15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$4.745B</w:t>
            </w:r>
          </w:p>
        </w:tc>
        <w:tc>
          <w:tcPr>
            <w:tcW w:type="dxa" w:w="15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w:t>
            </w:r>
          </w:p>
        </w:tc>
        <w:tc>
          <w:tcPr>
            <w:tcW w:type="dxa" w:w="15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Dec 20, 2024</w:t>
            </w:r>
          </w:p>
        </w:tc>
        <w:tc>
          <w:tcPr>
            <w:tcW w:type="dxa" w:w="234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Cut from $6.4B to reflect scaled Texas plans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GlobalFoundries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$1.575B</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Nov 20, 2024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Malta NY + Burlington VT</w:t>
            </w:r>
          </w:p>
        </w:tc>
      </w:tr>
      <w:tr>
        <w:tc>
          <w:tcPr>
            <w:tcW w:type="dxa" w:w="234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SK hynix</w:t>
            </w:r>
          </w:p>
        </w:tc>
        <w:tc>
          <w:tcPr>
            <w:tcW w:type="dxa" w:w="15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$458M</w:t>
            </w:r>
          </w:p>
        </w:tc>
        <w:tc>
          <w:tcPr>
            <w:tcW w:type="dxa" w:w="15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$500M</w:t>
            </w:r>
          </w:p>
        </w:tc>
        <w:tc>
          <w:tcPr>
            <w:tcW w:type="dxa" w:w="15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Dec 19, 2024</w:t>
            </w:r>
          </w:p>
        </w:tc>
        <w:tc>
          <w:tcPr>
            <w:tcW w:type="dxa" w:w="234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Indiana HBM packaging plant</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Texas Instruments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$1.61B</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Dec 2024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Texas + Utah fabs</w:t>
            </w:r>
          </w:p>
        </w:tc>
      </w:tr>
      <w:tr>
        <w:tc>
          <w:tcPr>
            <w:tcW w:type="dxa" w:w="234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Polar Semiconductor</w:t>
            </w:r>
          </w:p>
        </w:tc>
        <w:tc>
          <w:tcPr>
            <w:tcW w:type="dxa" w:w="15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$123M</w:t>
            </w:r>
          </w:p>
        </w:tc>
        <w:tc>
          <w:tcPr>
            <w:tcW w:type="dxa" w:w="15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w:t>
            </w:r>
          </w:p>
        </w:tc>
        <w:tc>
          <w:tcPr>
            <w:tcW w:type="dxa" w:w="15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Sep 24, 2024</w:t>
            </w:r>
          </w:p>
        </w:tc>
        <w:tc>
          <w:tcPr>
            <w:tcW w:type="dxa" w:w="234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First binding CHIPS grant</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Amkor</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$407M</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Dec 2024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Arizona advanced packaging</w:t>
            </w:r>
          </w:p>
        </w:tc>
      </w:tr>
      <w:tr>
        <w:tc>
          <w:tcPr>
            <w:tcW w:type="dxa" w:w="234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BAE Systems</w:t>
            </w:r>
          </w:p>
        </w:tc>
        <w:tc>
          <w:tcPr>
            <w:tcW w:type="dxa" w:w="15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$35.5M</w:t>
            </w:r>
          </w:p>
        </w:tc>
        <w:tc>
          <w:tcPr>
            <w:tcW w:type="dxa" w:w="15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w:t>
            </w:r>
          </w:p>
        </w:tc>
        <w:tc>
          <w:tcPr>
            <w:tcW w:type="dxa" w:w="15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Aug 2023</w:t>
            </w:r>
          </w:p>
        </w:tc>
        <w:tc>
          <w:tcPr>
            <w:tcW w:type="dxa" w:w="234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Defense-specific F-35 chip capacity</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Wolfspeed</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$750M (never awarded)</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Chapter 11 June 2025; emerged Sept 2025 with $700M Section 48D tax credit</w:t>
            </w:r>
          </w:p>
        </w:tc>
      </w:tr>
      <w:tr>
        <w:tc>
          <w:tcPr>
            <w:tcW w:type="dxa" w:w="234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Microchip (MCHP)</w:t>
            </w:r>
          </w:p>
        </w:tc>
        <w:tc>
          <w:tcPr>
            <w:tcW w:type="dxa" w:w="15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$162M (withdrawn)</w:t>
            </w:r>
          </w:p>
        </w:tc>
        <w:tc>
          <w:tcPr>
            <w:tcW w:type="dxa" w:w="15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w:t>
            </w:r>
          </w:p>
        </w:tc>
        <w:tc>
          <w:tcPr>
            <w:tcW w:type="dxa" w:w="15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w:t>
            </w:r>
          </w:p>
        </w:tc>
        <w:tc>
          <w:tcPr>
            <w:tcW w:type="dxa" w:w="234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Application withdrawn during cyclical downturn</w:t>
            </w:r>
          </w:p>
        </w:tc>
      </w:tr>
    </w:tbl>
    <w:p>
      <w:pPr>
        <w:spacing w:after="120"/>
      </w:pPr>
      <w:r>
        <w:t xml:space="preserve"/>
      </w:r>
    </w:p>
    <w:p>
      <w:pPr>
        <w:spacing w:after="120"/>
      </w:pPr>
      <w:r>
        <w:t xml:space="preserve">Trump's Commerce Secretary Howard Lutnick told Congress in June 2025 the administration was renegotiating grants deemed "overly generous," and reports indicate the White House seized </w:t>
      </w:r>
      <w:r>
        <w:rPr>
          <w:b/>
          <w:bCs/>
        </w:rPr>
        <w:t xml:space="preserve">$7.4 billion from the semiconductor R&amp;D fund</w:t>
      </w:r>
      <w:r>
        <w:t xml:space="preserve"> as "illegal," muddying the status of the Natcast/NSTC $6.3 billion 10-year award signed January 16, 2025 and the $1.4 billion NAPMP advanced-packaging tranche.</w:t>
      </w:r>
    </w:p>
    <w:p>
      <w:pPr>
        <w:pStyle w:val="Heading3"/>
      </w:pPr>
      <w:r>
        <w:t xml:space="preserve">Foreign allied semiconductor policy</w:t>
      </w:r>
    </w:p>
    <w:p>
      <w:pPr>
        <w:pStyle w:val="ListParagraph"/>
        <w:numPr>
          <w:ilvl w:val="0"/>
          <w:numId w:val="2"/>
        </w:numPr>
      </w:pPr>
      <w:r>
        <w:t xml:space="preserve">Intel's €10B Magdeburg fab cancelled July 2025 after being paused the prior fall</w:t>
      </w:r>
    </w:p>
    <w:p>
      <w:pPr>
        <w:pStyle w:val="ListParagraph"/>
        <w:numPr>
          <w:ilvl w:val="0"/>
          <w:numId w:val="2"/>
        </w:numPr>
      </w:pPr>
      <w:r>
        <w:t xml:space="preserve">TSMC ESMC Dresden (€5B state aid approved Aug 2024) on schedule for 2027 production</w:t>
      </w:r>
    </w:p>
    <w:p>
      <w:pPr>
        <w:pStyle w:val="ListParagraph"/>
        <w:numPr>
          <w:ilvl w:val="0"/>
          <w:numId w:val="2"/>
        </w:numPr>
      </w:pPr>
      <w:r>
        <w:t xml:space="preserve">Japan METI disbursing against ¥1.208T for TSMC/Sony/Denso JASM Kumamoto and ¥920B+ for Rapidus (2nm, 2027)</w:t>
      </w:r>
    </w:p>
    <w:p>
      <w:pPr>
        <w:pStyle w:val="ListParagraph"/>
        <w:numPr>
          <w:ilvl w:val="0"/>
          <w:numId w:val="2"/>
        </w:numPr>
      </w:pPr>
      <w:r>
        <w:t xml:space="preserve">Korea K-CHIPS Act expanded mid-2025 (20%/30% tax credits) anchoring Samsung and SK hynix's $450B Yongin megacluster</w:t>
      </w:r>
    </w:p>
    <w:p>
      <w:pPr>
        <w:pStyle w:val="ListParagraph"/>
        <w:numPr>
          <w:ilvl w:val="0"/>
          <w:numId w:val="2"/>
        </w:numPr>
      </w:pPr>
      <w:r>
        <w:t xml:space="preserve">India ISM committed &gt;$15B across Tata-PSMC Dholera, Tata Assam OSAT, Micron Sanand, CG Power-Renesas</w:t>
      </w:r>
    </w:p>
    <w:p>
      <w:r>
        <w:br w:type="page"/>
      </w:r>
    </w:p>
    <w:p>
      <w:pPr>
        <w:pStyle w:val="Heading1"/>
      </w:pPr>
      <w:r>
        <w:t xml:space="preserve">2. AI and compute: from JWCC to Stargate to $200M prototype awards</w:t>
      </w:r>
    </w:p>
    <w:p>
      <w:pPr>
        <w:spacing w:after="120"/>
      </w:pPr>
      <w:r>
        <w:t xml:space="preserve">Federal AI procurement ballooned from a handful of pilot agreements to a </w:t>
      </w:r>
      <w:r>
        <w:rPr>
          <w:b/>
          <w:bCs/>
        </w:rPr>
        <w:t xml:space="preserve">multi-billion-dollar tier-one market</w:t>
      </w:r>
      <w:r>
        <w:t xml:space="preserve">. The Pentagon's Chief Digital and AI Office awarded </w:t>
      </w:r>
      <w:r>
        <w:rPr>
          <w:b/>
          <w:bCs/>
        </w:rPr>
        <w:t xml:space="preserve">four parallel $200M two-year OTA prototype ceilings to Anthropic, Google, OpenAI and xAI on July 14, 2025</w:t>
      </w:r>
      <w:r>
        <w:t xml:space="preserve"> — each pitched as enabling agentic AI across national-security workloads.</w:t>
      </w:r>
    </w:p>
    <w:p>
      <w:pPr>
        <w:spacing w:after="120"/>
      </w:pPr>
      <w:r>
        <w:t xml:space="preserve">That symmetry collapsed in February 2026 when the administration, citing Anthropic's refusal to relax its acceptable-use policy around autonomous weapons and bulk-surveillance analytics, moved to designate Anthropic a supply-chain risk and routed replacement work to OpenAI; Anthropic sued the Pentagon in March 2026 and won a preliminary injunction.</w:t>
      </w:r>
    </w:p>
    <w:p>
      <w:pPr>
        <w:pStyle w:val="Heading3"/>
      </w:pPr>
      <w:r>
        <w:t xml:space="preserve">Palantir: the clearest institutional winner</w:t>
      </w:r>
    </w:p>
    <w:p>
      <w:pPr>
        <w:pStyle w:val="ListParagraph"/>
        <w:numPr>
          <w:ilvl w:val="0"/>
          <w:numId w:val="2"/>
        </w:numPr>
      </w:pPr>
      <w:r>
        <w:t xml:space="preserve">Maven Smart System ceiling raised from $480M (May 2024) to $1.3B on May 21, 2025 via $795M modification through May 2029</w:t>
      </w:r>
    </w:p>
    <w:p>
      <w:pPr>
        <w:pStyle w:val="ListParagraph"/>
        <w:numPr>
          <w:ilvl w:val="0"/>
          <w:numId w:val="2"/>
        </w:numPr>
      </w:pPr>
      <w:r>
        <w:t xml:space="preserve">20,000+ active users across 35 commands; $99.8M Sep 2024 vehicle extended access to all services</w:t>
      </w:r>
    </w:p>
    <w:p>
      <w:pPr>
        <w:pStyle w:val="ListParagraph"/>
        <w:numPr>
          <w:ilvl w:val="0"/>
          <w:numId w:val="2"/>
        </w:numPr>
      </w:pPr>
      <w:r>
        <w:t xml:space="preserve">$10B, 10-year Army enterprise software agreement (Aug 2025) consolidating data/software across the service</w:t>
      </w:r>
    </w:p>
    <w:p>
      <w:pPr>
        <w:pStyle w:val="ListParagraph"/>
        <w:numPr>
          <w:ilvl w:val="0"/>
          <w:numId w:val="2"/>
        </w:numPr>
      </w:pPr>
      <w:r>
        <w:t xml:space="preserve">NATO procured Maven Smart System NATO in 30 days (March 2025)</w:t>
      </w:r>
    </w:p>
    <w:p>
      <w:pPr>
        <w:pStyle w:val="ListParagraph"/>
        <w:numPr>
          <w:ilvl w:val="0"/>
          <w:numId w:val="2"/>
        </w:numPr>
      </w:pPr>
      <w:r>
        <w:t xml:space="preserve">TITAN deep-sensing ground station: $178M (March 2024)</w:t>
      </w:r>
    </w:p>
    <w:p>
      <w:pPr>
        <w:pStyle w:val="ListParagraph"/>
        <w:numPr>
          <w:ilvl w:val="0"/>
          <w:numId w:val="2"/>
        </w:numPr>
      </w:pPr>
      <w:r>
        <w:t xml:space="preserve">UK NHS Federated Data Platform: £330M (November 2023)</w:t>
      </w:r>
    </w:p>
    <w:p>
      <w:pPr>
        <w:pStyle w:val="ListParagraph"/>
        <w:numPr>
          <w:ilvl w:val="0"/>
          <w:numId w:val="2"/>
        </w:numPr>
      </w:pPr>
      <w:r>
        <w:t xml:space="preserve">Israel ICAA: $34M (August 2025)</w:t>
      </w:r>
    </w:p>
    <w:p>
      <w:pPr>
        <w:spacing w:after="120"/>
      </w:pPr>
      <w:r>
        <w:t xml:space="preserve">By 2025 Palantir derived </w:t>
      </w:r>
      <w:r>
        <w:rPr>
          <w:b/>
          <w:bCs/>
        </w:rPr>
        <w:t xml:space="preserve">$2.4B — well over 60% of revenue — from government</w:t>
      </w:r>
      <w:r>
        <w:t xml:space="preserve">, making it the most government-dependent name among AI primes.</w:t>
      </w:r>
    </w:p>
    <w:p>
      <w:pPr>
        <w:pStyle w:val="Heading3"/>
      </w:pPr>
      <w:r>
        <w:t xml:space="preserve">Project Stargate</w:t>
      </w:r>
    </w:p>
    <w:p>
      <w:pPr>
        <w:spacing w:after="120"/>
      </w:pPr>
      <w:r>
        <w:t xml:space="preserve">Announced January 21, 2025 — Trump's second day in office. A $500B, 10-GW commitment from SoftBank, OpenAI, Oracle and Abu Dhabi's MGX. The Abilene, Texas flagship came online September 2025 with NVIDIA GB200 racks on Oracle Cloud Infrastructure. Five additional sites (Texas, New Mexico, Ohio, Wisconsin, plus a CoreWeave site) brought planned capacity to roughly 7 GW and $400B in committed investment by late 2025.</w:t>
      </w:r>
    </w:p>
    <w:p>
      <w:pPr>
        <w:spacing w:after="120"/>
      </w:pPr>
      <w:r>
        <w:t xml:space="preserve">Execution has lagged financing. JPMorgan lent $2.3B for Abilene (May 2025), SoftBank arranged $10B Mizuho facility (April 2025), SB Energy received $1B from OpenAI and SoftBank (January 2026) for the 1.2-GW Milam County, Texas campus. The July 2025 OpenAI–Oracle 4.5-GW extension alone implies a $300B+ five-year commitment between the two companies.</w:t>
      </w:r>
    </w:p>
    <w:p>
      <w:r>
        <w:br w:type="page"/>
      </w:r>
    </w:p>
    <w:p>
      <w:pPr>
        <w:pStyle w:val="Heading1"/>
      </w:pPr>
      <w:r>
        <w:t xml:space="preserve">3. Launch, satellites and autonomous weapons</w:t>
      </w:r>
    </w:p>
    <w:p>
      <w:pPr>
        <w:pStyle w:val="Heading2"/>
      </w:pPr>
      <w:r>
        <w:t xml:space="preserve">National Security Space Launch Phase 3 Lane 2</w:t>
      </w:r>
    </w:p>
    <w:p>
      <w:pPr>
        <w:spacing w:after="120"/>
      </w:pPr>
      <w:r>
        <w:t xml:space="preserve">The April 4, 2025 award became the largest single reset of the national-security launch market since the EELV 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Provider</w:t>
            </w:r>
          </w:p>
        </w:tc>
        <w:tc>
          <w:tcPr>
            <w:tcW w:type="dxa" w:w="312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Ceiling</w:t>
            </w:r>
          </w:p>
        </w:tc>
        <w:tc>
          <w:tcPr>
            <w:tcW w:type="dxa" w:w="312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Missions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SpaceX</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$5.9B</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28</w:t>
            </w:r>
          </w:p>
        </w:tc>
      </w:tr>
      <w:tr>
        <w:tc>
          <w:tcPr>
            <w:tcW w:type="dxa" w:w="312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ULA</w:t>
            </w:r>
          </w:p>
        </w:tc>
        <w:tc>
          <w:tcPr>
            <w:tcW w:type="dxa" w:w="312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$5.4B</w:t>
            </w:r>
          </w:p>
        </w:tc>
        <w:tc>
          <w:tcPr>
            <w:tcW w:type="dxa" w:w="312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19</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Blue Origin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$2.4B</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7</w:t>
            </w:r>
          </w:p>
        </w:tc>
      </w:tr>
      <w:tr>
        <w:tc>
          <w:tcPr>
            <w:tcW w:type="dxa" w:w="312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b/>
                <w:bCs/>
                <w:sz w:val="20"/>
                <w:szCs w:val="20"/>
              </w:rPr>
              <w:t xml:space="preserve">Total</w:t>
            </w:r>
          </w:p>
        </w:tc>
        <w:tc>
          <w:tcPr>
            <w:tcW w:type="dxa" w:w="312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b/>
                <w:bCs/>
                <w:sz w:val="20"/>
                <w:szCs w:val="20"/>
              </w:rPr>
              <w:t xml:space="preserve">$13.7B</w:t>
            </w:r>
          </w:p>
        </w:tc>
        <w:tc>
          <w:tcPr>
            <w:tcW w:type="dxa" w:w="312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b/>
                <w:bCs/>
                <w:sz w:val="20"/>
                <w:szCs w:val="20"/>
              </w:rPr>
              <w:t xml:space="preserve">~54 through FY29</w:t>
            </w:r>
          </w:p>
        </w:tc>
      </w:tr>
    </w:tbl>
    <w:p>
      <w:pPr>
        <w:spacing w:after="120"/>
      </w:pPr>
      <w:r>
        <w:t xml:space="preserve"/>
      </w:r>
    </w:p>
    <w:p>
      <w:pPr>
        <w:spacing w:after="120"/>
      </w:pPr>
      <w:r>
        <w:t xml:space="preserve">The October 2025 OY2 task-order round gave SpaceX $714M for five missions and ULA $428M for two. Blue Origin still awaiting New Glenn certification. Lane 1 expanded to include Rocket Lab and Stoke Space in March 2025.</w:t>
      </w:r>
    </w:p>
    <w:p>
      <w:pPr>
        <w:pStyle w:val="Heading2"/>
      </w:pPr>
      <w:r>
        <w:t xml:space="preserve">Space Development Agency: a $10B+ prime vehicle</w:t>
      </w:r>
    </w:p>
    <w:p>
      <w:pPr>
        <w:pStyle w:val="Heading3"/>
      </w:pPr>
      <w:r>
        <w:t xml:space="preserve">Tranche 2 Transport Layer (Jan 2024)</w:t>
      </w:r>
    </w:p>
    <w:p>
      <w:pPr>
        <w:pStyle w:val="ListParagraph"/>
        <w:numPr>
          <w:ilvl w:val="0"/>
          <w:numId w:val="2"/>
        </w:numPr>
      </w:pPr>
      <w:r>
        <w:t xml:space="preserve">Lockheed: $816M</w:t>
      </w:r>
    </w:p>
    <w:p>
      <w:pPr>
        <w:pStyle w:val="ListParagraph"/>
        <w:numPr>
          <w:ilvl w:val="0"/>
          <w:numId w:val="2"/>
        </w:numPr>
      </w:pPr>
      <w:r>
        <w:t xml:space="preserve">Northrop: $733M</w:t>
      </w:r>
    </w:p>
    <w:p>
      <w:pPr>
        <w:pStyle w:val="ListParagraph"/>
        <w:numPr>
          <w:ilvl w:val="0"/>
          <w:numId w:val="2"/>
        </w:numPr>
      </w:pPr>
      <w:r>
        <w:t xml:space="preserve">York: $617M Alpha + 62 SVs</w:t>
      </w:r>
    </w:p>
    <w:p>
      <w:pPr>
        <w:pStyle w:val="ListParagraph"/>
        <w:numPr>
          <w:ilvl w:val="0"/>
          <w:numId w:val="2"/>
        </w:numPr>
      </w:pPr>
      <w:r>
        <w:t xml:space="preserve">Rocket Lab: $515M, 18 Beta satellites (first SDA award)</w:t>
      </w:r>
    </w:p>
    <w:p>
      <w:pPr>
        <w:pStyle w:val="Heading3"/>
      </w:pPr>
      <w:r>
        <w:t xml:space="preserve">Tranche 3 Tracking — $3.5B awarded Dec 19, 2025</w:t>
      </w:r>
    </w:p>
    <w:p>
      <w:pPr>
        <w:pStyle w:val="ListParagraph"/>
        <w:numPr>
          <w:ilvl w:val="0"/>
          <w:numId w:val="2"/>
        </w:numPr>
      </w:pPr>
      <w:r>
        <w:t xml:space="preserve">Lockheed: $1.1B</w:t>
      </w:r>
    </w:p>
    <w:p>
      <w:pPr>
        <w:pStyle w:val="ListParagraph"/>
        <w:numPr>
          <w:ilvl w:val="0"/>
          <w:numId w:val="2"/>
        </w:numPr>
      </w:pPr>
      <w:r>
        <w:t xml:space="preserve">L3Harris: $843M</w:t>
      </w:r>
    </w:p>
    <w:p>
      <w:pPr>
        <w:pStyle w:val="ListParagraph"/>
        <w:numPr>
          <w:ilvl w:val="0"/>
          <w:numId w:val="2"/>
        </w:numPr>
      </w:pPr>
      <w:r>
        <w:t xml:space="preserve">Rocket Lab: $805M (first tracking award)</w:t>
      </w:r>
    </w:p>
    <w:p>
      <w:pPr>
        <w:pStyle w:val="ListParagraph"/>
        <w:numPr>
          <w:ilvl w:val="0"/>
          <w:numId w:val="2"/>
        </w:numPr>
      </w:pPr>
      <w:r>
        <w:t xml:space="preserve">Northrop: $764M</w:t>
      </w:r>
    </w:p>
    <w:p>
      <w:pPr>
        <w:pStyle w:val="ListParagraph"/>
        <w:numPr>
          <w:ilvl w:val="0"/>
          <w:numId w:val="2"/>
        </w:numPr>
      </w:pPr>
      <w:r>
        <w:t xml:space="preserve">Each builds 18 SVs for FY29 launch</w:t>
      </w:r>
    </w:p>
    <w:p>
      <w:pPr>
        <w:pStyle w:val="Heading2"/>
      </w:pPr>
      <w:r>
        <w:t xml:space="preserve">Anduril: from scrappy challenger to prime</w:t>
      </w:r>
    </w:p>
    <w:p>
      <w:pPr>
        <w:pStyle w:val="ListParagraph"/>
        <w:numPr>
          <w:ilvl w:val="0"/>
          <w:numId w:val="2"/>
        </w:numPr>
      </w:pPr>
      <w:r>
        <w:t xml:space="preserve">YFQ-44A "Fury" CCA: production started at Arsenal-1 (Columbus) March 2026</w:t>
      </w:r>
    </w:p>
    <w:p>
      <w:pPr>
        <w:pStyle w:val="ListParagraph"/>
        <w:numPr>
          <w:ilvl w:val="0"/>
          <w:numId w:val="2"/>
        </w:numPr>
      </w:pPr>
      <w:r>
        <w:t xml:space="preserve">IVAS novation from Microsoft: $22B over 10 years, April 10, 2025</w:t>
      </w:r>
    </w:p>
    <w:p>
      <w:pPr>
        <w:pStyle w:val="ListParagraph"/>
        <w:numPr>
          <w:ilvl w:val="0"/>
          <w:numId w:val="2"/>
        </w:numPr>
      </w:pPr>
      <w:r>
        <w:t xml:space="preserve">Replicator Tranche 1 and 2, Roadrunner, Barracuda, Lattice</w:t>
      </w:r>
    </w:p>
    <w:p>
      <w:pPr>
        <w:pStyle w:val="ListParagraph"/>
        <w:numPr>
          <w:ilvl w:val="0"/>
          <w:numId w:val="2"/>
        </w:numPr>
      </w:pPr>
      <w:r>
        <w:t xml:space="preserve">$20B Army contract; Meta VR/AR partnership</w:t>
      </w:r>
    </w:p>
    <w:p>
      <w:pPr>
        <w:pStyle w:val="ListParagraph"/>
        <w:numPr>
          <w:ilvl w:val="0"/>
          <w:numId w:val="2"/>
        </w:numPr>
      </w:pPr>
      <w:r>
        <w:t xml:space="preserve">$250M counter-drone award (Dec 2025)</w:t>
      </w:r>
    </w:p>
    <w:p>
      <w:pPr>
        <w:spacing w:after="120"/>
      </w:pPr>
      <w:r>
        <w:t xml:space="preserve">2024 revenue ~$1B; </w:t>
      </w:r>
      <w:r>
        <w:rPr>
          <w:b/>
          <w:bCs/>
        </w:rPr>
        <w:t xml:space="preserve">$30.5B valuation at the 2025 $2.5B Series G</w:t>
      </w:r>
      <w:r>
        <w:t xml:space="preserve"> — largest single check from Founders Fund in its history.</w:t>
      </w:r>
    </w:p>
    <w:p>
      <w:pPr>
        <w:pStyle w:val="Heading2"/>
      </w:pPr>
      <w:r>
        <w:t xml:space="preserve">Rocket Lab (RKLB): vertical integration complete</w:t>
      </w:r>
    </w:p>
    <w:p>
      <w:pPr>
        <w:pStyle w:val="ListParagraph"/>
        <w:numPr>
          <w:ilvl w:val="0"/>
          <w:numId w:val="2"/>
        </w:numPr>
      </w:pPr>
      <w:r>
        <w:t xml:space="preserve">VICTUS HAZE: $32M (April 2024, DIU)</w:t>
      </w:r>
    </w:p>
    <w:p>
      <w:pPr>
        <w:pStyle w:val="ListParagraph"/>
        <w:numPr>
          <w:ilvl w:val="0"/>
          <w:numId w:val="2"/>
        </w:numPr>
      </w:pPr>
      <w:r>
        <w:t xml:space="preserve">SDA Tranche 2 Beta: $515M</w:t>
      </w:r>
    </w:p>
    <w:p>
      <w:pPr>
        <w:pStyle w:val="ListParagraph"/>
        <w:numPr>
          <w:ilvl w:val="0"/>
          <w:numId w:val="2"/>
        </w:numPr>
      </w:pPr>
      <w:r>
        <w:t xml:space="preserve">SDA Tranche 3 Tracking: $805M</w:t>
      </w:r>
    </w:p>
    <w:p>
      <w:pPr>
        <w:pStyle w:val="ListParagraph"/>
        <w:numPr>
          <w:ilvl w:val="0"/>
          <w:numId w:val="2"/>
        </w:numPr>
      </w:pPr>
      <w:r>
        <w:t xml:space="preserve">NSSL Phase 3 Lane 1 on-ramp (March 2025)</w:t>
      </w:r>
    </w:p>
    <w:p>
      <w:pPr>
        <w:pStyle w:val="ListParagraph"/>
        <w:numPr>
          <w:ilvl w:val="0"/>
          <w:numId w:val="2"/>
        </w:numPr>
      </w:pPr>
      <w:r>
        <w:t xml:space="preserve">STP-S30 and Neutron second-stage development</w:t>
      </w:r>
    </w:p>
    <w:p>
      <w:r>
        <w:br w:type="page"/>
      </w:r>
    </w:p>
    <w:p>
      <w:pPr>
        <w:pStyle w:val="Heading1"/>
      </w:pPr>
      <w:r>
        <w:t xml:space="preserve">4. Critical minerals: the equity-stake era</w:t>
      </w:r>
    </w:p>
    <w:p>
      <w:pPr>
        <w:spacing w:after="120"/>
      </w:pPr>
      <w:r>
        <w:rPr>
          <w:b/>
          <w:bCs/>
        </w:rPr>
        <w:t xml:space="preserve">July 10, 2025 marked a structural break. </w:t>
      </w:r>
      <w:r>
        <w:t xml:space="preserve">The Pentagon's $400M preferred-equity investment in MP Materials (MP) — convertible at $30.03 with warrants — gave the DoD a </w:t>
      </w:r>
      <w:r>
        <w:rPr>
          <w:b/>
          <w:bCs/>
        </w:rPr>
        <w:t xml:space="preserve">15% stake (largest shareholder), plus a $150M loan, a 10-year NdPr price floor of $110/kg, and a 7,000-ton/yr magnet offtake commitment</w:t>
      </w:r>
      <w:r>
        <w:t xml:space="preserve"> with DoD entitled to 30% of upside revenue from the forthcoming 10X magnet plant.</w:t>
      </w:r>
    </w:p>
    <w:p>
      <w:pPr>
        <w:spacing w:after="120"/>
      </w:pPr>
      <w:r>
        <w:t xml:space="preserve">MP shares climbed from $30 to $63 within two weeks. The template propagated rapidly.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Company</w:t>
            </w:r>
          </w:p>
        </w:tc>
        <w:tc>
          <w:tcPr>
            <w:tcW w:type="dxa" w:w="234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Ticker</w:t>
            </w:r>
          </w:p>
        </w:tc>
        <w:tc>
          <w:tcPr>
            <w:tcW w:type="dxa" w:w="234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Govt action</w:t>
            </w:r>
          </w:p>
        </w:tc>
        <w:tc>
          <w:tcPr>
            <w:tcW w:type="dxa" w:w="234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Date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MP Materials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MP</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$400M preferred equity (15% stake) + $150M loan + 10-yr NdPr floor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Jul 10, 2025</w:t>
            </w:r>
          </w:p>
        </w:tc>
      </w:tr>
      <w:tr>
        <w:tc>
          <w:tcPr>
            <w:tcW w:type="dxa" w:w="234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Intel</w:t>
            </w:r>
          </w:p>
        </w:tc>
        <w:tc>
          <w:tcPr>
            <w:tcW w:type="dxa" w:w="234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INTC</w:t>
            </w:r>
          </w:p>
        </w:tc>
        <w:tc>
          <w:tcPr>
            <w:tcW w:type="dxa" w:w="234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9.9% federal equity stake, $8.9B</w:t>
            </w:r>
          </w:p>
        </w:tc>
        <w:tc>
          <w:tcPr>
            <w:tcW w:type="dxa" w:w="234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Aug 22, 2025</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Lithium Americas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LAC</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 warrant-backed DOE equity + 5% of GM JV + $2.26B loan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Oct 2025</w:t>
            </w:r>
          </w:p>
        </w:tc>
      </w:tr>
      <w:tr>
        <w:tc>
          <w:tcPr>
            <w:tcW w:type="dxa" w:w="234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Trilogy Metals</w:t>
            </w:r>
          </w:p>
        </w:tc>
        <w:tc>
          <w:tcPr>
            <w:tcW w:type="dxa" w:w="234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TMQ</w:t>
            </w:r>
          </w:p>
        </w:tc>
        <w:tc>
          <w:tcPr>
            <w:tcW w:type="dxa" w:w="234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$35.6M for 10% + warrants for 7.5% more</w:t>
            </w:r>
          </w:p>
        </w:tc>
        <w:tc>
          <w:tcPr>
            <w:tcW w:type="dxa" w:w="234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Oct 2025</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Perpetua Resources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PPTA</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$80M+ cumulative DoD awards + $1.8B EXIM LOI</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2023–2025</w:t>
            </w:r>
          </w:p>
        </w:tc>
      </w:tr>
      <w:tr>
        <w:tc>
          <w:tcPr>
            <w:tcW w:type="dxa" w:w="234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Lynas Rare Earths</w:t>
            </w:r>
          </w:p>
        </w:tc>
        <w:tc>
          <w:tcPr>
            <w:tcW w:type="dxa" w:w="234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LYSCF</w:t>
            </w:r>
          </w:p>
        </w:tc>
        <w:tc>
          <w:tcPr>
            <w:tcW w:type="dxa" w:w="234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$258M+ DoD backing for Seadrift TX heavy-REE plant</w:t>
            </w:r>
          </w:p>
        </w:tc>
        <w:tc>
          <w:tcPr>
            <w:tcW w:type="dxa" w:w="234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2023–2024</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REalloys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ALOY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DLA contract Mar 2, 2026 — SmCo feedstock, Euclid OH</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Mar 2, 2026</w:t>
            </w:r>
          </w:p>
        </w:tc>
      </w:tr>
      <w:tr>
        <w:tc>
          <w:tcPr>
            <w:tcW w:type="dxa" w:w="234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Ucore Rare Metals</w:t>
            </w:r>
          </w:p>
        </w:tc>
        <w:tc>
          <w:tcPr>
            <w:tcW w:type="dxa" w:w="234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UURAF</w:t>
            </w:r>
          </w:p>
        </w:tc>
        <w:tc>
          <w:tcPr>
            <w:tcW w:type="dxa" w:w="234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$18.4M DPA — Louisiana separation facility</w:t>
            </w:r>
          </w:p>
        </w:tc>
        <w:tc>
          <w:tcPr>
            <w:tcW w:type="dxa" w:w="234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2024</w:t>
            </w:r>
          </w:p>
        </w:tc>
      </w:tr>
    </w:tbl>
    <w:p>
      <w:r>
        <w:br w:type="page"/>
      </w:r>
    </w:p>
    <w:p>
      <w:pPr>
        <w:pStyle w:val="Heading1"/>
      </w:pPr>
      <w:r>
        <w:t xml:space="preserve">5. Grid, fuel cells and energy contracting arc</w:t>
      </w:r>
    </w:p>
    <w:p>
      <w:pPr>
        <w:pStyle w:val="Heading2"/>
      </w:pPr>
      <w:r>
        <w:t xml:space="preserve">DOE Grid Resilience and Innovation Partnerships (GRIP)</w:t>
      </w:r>
    </w:p>
    <w:p>
      <w:pPr>
        <w:spacing w:after="120"/>
      </w:pPr>
      <w:r>
        <w:t xml:space="preserve">Obligated </w:t>
      </w:r>
      <w:r>
        <w:rPr>
          <w:b/>
          <w:bCs/>
        </w:rPr>
        <w:t xml:space="preserve">$7.6B across 105 projects in all 50 states</w:t>
      </w:r>
      <w:r>
        <w:t xml:space="preserve"> across first two rounds. Against $10.5B authorization and ~$50B in applications.</w:t>
      </w:r>
    </w:p>
    <w:p>
      <w:pPr>
        <w:pStyle w:val="ListParagraph"/>
        <w:numPr>
          <w:ilvl w:val="0"/>
          <w:numId w:val="2"/>
        </w:numPr>
      </w:pPr>
      <w:r>
        <w:t xml:space="preserve">Round 1 (Oct 2023): $3.46B / 58 projects</w:t>
      </w:r>
    </w:p>
    <w:p>
      <w:pPr>
        <w:pStyle w:val="ListParagraph"/>
        <w:numPr>
          <w:ilvl w:val="0"/>
          <w:numId w:val="2"/>
        </w:numPr>
      </w:pPr>
      <w:r>
        <w:t xml:space="preserve">Round 2a (Aug 2024): $2.2B / 8 projects</w:t>
      </w:r>
    </w:p>
    <w:p>
      <w:pPr>
        <w:pStyle w:val="ListParagraph"/>
        <w:numPr>
          <w:ilvl w:val="0"/>
          <w:numId w:val="2"/>
        </w:numPr>
      </w:pPr>
      <w:r>
        <w:t xml:space="preserve">Round 2b (Oct 2024): $2B / 38 projects</w:t>
      </w:r>
    </w:p>
    <w:p>
      <w:pPr>
        <w:pStyle w:val="ListParagraph"/>
        <w:numPr>
          <w:ilvl w:val="0"/>
          <w:numId w:val="2"/>
        </w:numPr>
      </w:pPr>
      <w:r>
        <w:t xml:space="preserve">Major recipients: Georgia Power ($160M DLR), Exelon ($100M DERMS), Hoosier Energy ($117M), Virginia DOE ($85M BESS)</w:t>
      </w:r>
    </w:p>
    <w:p>
      <w:pPr>
        <w:pStyle w:val="Heading2"/>
      </w:pPr>
      <w:r>
        <w:t xml:space="preserve">Transmission pipeline</w:t>
      </w:r>
    </w:p>
    <w:p>
      <w:pPr>
        <w:pStyle w:val="ListParagraph"/>
        <w:numPr>
          <w:ilvl w:val="0"/>
          <w:numId w:val="2"/>
        </w:numPr>
      </w:pPr>
      <w:r>
        <w:t xml:space="preserve">Pattern Energy SunZia: $11B financing closed Dec 2023; Quanta (PWR) turnkey EPC for 550-mile HVDC + 3.5-GW wind; Hitachi HVDC converters</w:t>
      </w:r>
    </w:p>
    <w:p>
      <w:pPr>
        <w:pStyle w:val="ListParagraph"/>
        <w:numPr>
          <w:ilvl w:val="0"/>
          <w:numId w:val="2"/>
        </w:numPr>
      </w:pPr>
      <w:r>
        <w:t xml:space="preserve">TransWest Express: broke ground May 2024, 732 miles Wyoming–Nevada, $3B Barnard/Wilson JV EPC</w:t>
      </w:r>
    </w:p>
    <w:p>
      <w:pPr>
        <w:pStyle w:val="ListParagraph"/>
        <w:numPr>
          <w:ilvl w:val="0"/>
          <w:numId w:val="2"/>
        </w:numPr>
      </w:pPr>
      <w:r>
        <w:t xml:space="preserve">Champlain Hudson Power Express: targets mid-2026 commercial operation</w:t>
      </w:r>
    </w:p>
    <w:p>
      <w:pPr>
        <w:pStyle w:val="Heading2"/>
      </w:pPr>
      <w:r>
        <w:t xml:space="preserve">Contractor cluster (your holdings)</w:t>
      </w:r>
    </w:p>
    <w:p>
      <w:pPr>
        <w:pStyle w:val="ListParagraph"/>
        <w:numPr>
          <w:ilvl w:val="0"/>
          <w:numId w:val="2"/>
        </w:numPr>
      </w:pPr>
      <w:r>
        <w:t xml:space="preserve">Quanta Services (PWR) — SunZia turnkey, Greenlink West/North, MISO Tranche 1</w:t>
      </w:r>
    </w:p>
    <w:p>
      <w:pPr>
        <w:pStyle w:val="ListParagraph"/>
        <w:numPr>
          <w:ilvl w:val="0"/>
          <w:numId w:val="2"/>
        </w:numPr>
      </w:pPr>
      <w:r>
        <w:t xml:space="preserve">Comfort Systems (FIX) — MEP on TSMC Arizona, Intel Ohio, Samsung Taylor, Micron Clay, major data-center builds</w:t>
      </w:r>
    </w:p>
    <w:p>
      <w:pPr>
        <w:pStyle w:val="ListParagraph"/>
        <w:numPr>
          <w:ilvl w:val="0"/>
          <w:numId w:val="2"/>
        </w:numPr>
      </w:pPr>
      <w:r>
        <w:t xml:space="preserve">EMCOR (EME) — same verticals</w:t>
      </w:r>
    </w:p>
    <w:p>
      <w:pPr>
        <w:pStyle w:val="ListParagraph"/>
        <w:numPr>
          <w:ilvl w:val="0"/>
          <w:numId w:val="2"/>
        </w:numPr>
      </w:pPr>
      <w:r>
        <w:t xml:space="preserve">MYR Group (MYRG) — transmission and utility T&amp;D</w:t>
      </w:r>
    </w:p>
    <w:p>
      <w:pPr>
        <w:pStyle w:val="Heading2"/>
      </w:pPr>
      <w:r>
        <w:t xml:space="preserve">Bloom Energy: fuel cells become data-center necessity</w:t>
      </w:r>
    </w:p>
    <w:p>
      <w:pPr>
        <w:pStyle w:val="ListParagraph"/>
        <w:numPr>
          <w:ilvl w:val="0"/>
          <w:numId w:val="2"/>
        </w:numPr>
      </w:pPr>
      <w:r>
        <w:t xml:space="preserve">80 MW SK Eternix Korea (2024)</w:t>
      </w:r>
    </w:p>
    <w:p>
      <w:pPr>
        <w:pStyle w:val="ListParagraph"/>
        <w:numPr>
          <w:ilvl w:val="0"/>
          <w:numId w:val="2"/>
        </w:numPr>
      </w:pPr>
      <w:r>
        <w:t xml:space="preserve">Quanta Computer California microgrids</w:t>
      </w:r>
    </w:p>
    <w:p>
      <w:pPr>
        <w:pStyle w:val="ListParagraph"/>
        <w:numPr>
          <w:ilvl w:val="0"/>
          <w:numId w:val="2"/>
        </w:numPr>
      </w:pPr>
      <w:r>
        <w:t xml:space="preserve">CoreWeave Illinois</w:t>
      </w:r>
    </w:p>
    <w:p>
      <w:pPr>
        <w:pStyle w:val="ListParagraph"/>
        <w:numPr>
          <w:ilvl w:val="0"/>
          <w:numId w:val="2"/>
        </w:numPr>
      </w:pPr>
      <w:r>
        <w:t xml:space="preserve">Nationwide AEP partnership (1 GW)</w:t>
      </w:r>
    </w:p>
    <w:p>
      <w:pPr>
        <w:pStyle w:val="ListParagraph"/>
        <w:numPr>
          <w:ilvl w:val="0"/>
          <w:numId w:val="2"/>
        </w:numPr>
      </w:pPr>
      <w:r>
        <w:t xml:space="preserve">Integration into Oracle gigawatt-scale data centers</w:t>
      </w:r>
    </w:p>
    <w:p>
      <w:pPr>
        <w:pStyle w:val="ListParagraph"/>
        <w:numPr>
          <w:ilvl w:val="0"/>
          <w:numId w:val="2"/>
        </w:numPr>
      </w:pPr>
      <w:r>
        <w:t xml:space="preserve">SoCalGas hydrogen pilot at Caltech</w:t>
      </w:r>
    </w:p>
    <w:p>
      <w:r>
        <w:br w:type="page"/>
      </w:r>
    </w:p>
    <w:p>
      <w:pPr>
        <w:pStyle w:val="Heading1"/>
      </w:pPr>
      <w:r>
        <w:t xml:space="preserve">6. Policy regime shift: the equity-stake doctrine</w:t>
      </w:r>
    </w:p>
    <w:p>
      <w:pPr>
        <w:pStyle w:val="Heading2"/>
      </w:pPr>
      <w:r>
        <w:t xml:space="preserve">Trump executive actions rewired the contracting system</w:t>
      </w:r>
    </w:p>
    <w:p>
      <w:pPr>
        <w:pStyle w:val="ListParagraph"/>
        <w:numPr>
          <w:ilvl w:val="0"/>
          <w:numId w:val="2"/>
        </w:numPr>
      </w:pPr>
      <w:r>
        <w:t xml:space="preserve">EO 14179 (Jan 23, 2025): rescinded Biden's AI EO 14110</w:t>
      </w:r>
    </w:p>
    <w:p>
      <w:pPr>
        <w:pStyle w:val="ListParagraph"/>
        <w:numPr>
          <w:ilvl w:val="0"/>
          <w:numId w:val="2"/>
        </w:numPr>
      </w:pPr>
      <w:r>
        <w:t xml:space="preserve">Jan 21, 2025: Stargate announcement committed federal permitting and land</w:t>
      </w:r>
    </w:p>
    <w:p>
      <w:pPr>
        <w:pStyle w:val="ListParagraph"/>
        <w:numPr>
          <w:ilvl w:val="0"/>
          <w:numId w:val="2"/>
        </w:numPr>
      </w:pPr>
      <w:r>
        <w:t xml:space="preserve">July 23, 2025: "Winning the AI Race" Action Plan + three EOs (AI export stack, data-center permitting, anti-woke AI procurement)</w:t>
      </w:r>
    </w:p>
    <w:p>
      <w:pPr>
        <w:pStyle w:val="ListParagraph"/>
        <w:numPr>
          <w:ilvl w:val="0"/>
          <w:numId w:val="2"/>
        </w:numPr>
      </w:pPr>
      <w:r>
        <w:t xml:space="preserve">May 2025: AI Diffusion Rule rescinded</w:t>
      </w:r>
    </w:p>
    <w:p>
      <w:pPr>
        <w:pStyle w:val="ListParagraph"/>
        <w:numPr>
          <w:ilvl w:val="0"/>
          <w:numId w:val="2"/>
        </w:numPr>
      </w:pPr>
      <w:r>
        <w:t xml:space="preserve">August 2025: Nvidia H20 / AMD MI308 China sales reauthorized in exchange for 15% Treasury revenue share</w:t>
      </w:r>
    </w:p>
    <w:p>
      <w:pPr>
        <w:pStyle w:val="ListParagraph"/>
        <w:numPr>
          <w:ilvl w:val="0"/>
          <w:numId w:val="2"/>
        </w:numPr>
      </w:pPr>
      <w:r>
        <w:t xml:space="preserve">July 4, 2025: OBBBA enacted — curtails IRA tax credits, adds FEOC rules effective Jan 1, 2026</w:t>
      </w:r>
    </w:p>
    <w:p>
      <w:pPr>
        <w:pStyle w:val="Heading2"/>
      </w:pPr>
      <w:r>
        <w:t xml:space="preserve">Foreign allied packages</w:t>
      </w:r>
    </w:p>
    <w:p>
      <w:pPr>
        <w:pStyle w:val="ListParagraph"/>
        <w:numPr>
          <w:ilvl w:val="0"/>
          <w:numId w:val="2"/>
        </w:numPr>
      </w:pPr>
      <w:r>
        <w:t xml:space="preserve">Saudi HUMAIN: $10B Nvidia deal (May 2025)</w:t>
      </w:r>
    </w:p>
    <w:p>
      <w:pPr>
        <w:pStyle w:val="ListParagraph"/>
        <w:numPr>
          <w:ilvl w:val="0"/>
          <w:numId w:val="2"/>
        </w:numPr>
      </w:pPr>
      <w:r>
        <w:t xml:space="preserve">UAE: 5-GW G42/Stargate UAE (May 2025)</w:t>
      </w:r>
    </w:p>
    <w:p>
      <w:pPr>
        <w:pStyle w:val="ListParagraph"/>
        <w:numPr>
          <w:ilvl w:val="0"/>
          <w:numId w:val="2"/>
        </w:numPr>
      </w:pPr>
      <w:r>
        <w:t xml:space="preserve">UK NHS: Palantir FDP expansion</w:t>
      </w:r>
    </w:p>
    <w:p>
      <w:pPr>
        <w:pStyle w:val="ListParagraph"/>
        <w:numPr>
          <w:ilvl w:val="0"/>
          <w:numId w:val="2"/>
        </w:numPr>
      </w:pPr>
      <w:r>
        <w:t xml:space="preserve">Japan: Microsoft $2.9B AI + Oracle sovereign cloud</w:t>
      </w:r>
    </w:p>
    <w:p>
      <w:pPr>
        <w:pStyle w:val="ListParagraph"/>
        <w:numPr>
          <w:ilvl w:val="0"/>
          <w:numId w:val="2"/>
        </w:numPr>
      </w:pPr>
      <w:r>
        <w:t xml:space="preserve">Korea KEPCO: $18B Czech nuclear</w:t>
      </w:r>
    </w:p>
    <w:p>
      <w:pPr>
        <w:pStyle w:val="ListParagraph"/>
        <w:numPr>
          <w:ilvl w:val="0"/>
          <w:numId w:val="2"/>
        </w:numPr>
      </w:pPr>
      <w:r>
        <w:t xml:space="preserve">AUKUS: submarine buildout driving GD Electric Boat / HII ramp</w:t>
      </w:r>
    </w:p>
    <w:p>
      <w:r>
        <w:br w:type="page"/>
      </w:r>
    </w:p>
    <w:p>
      <w:pPr>
        <w:pStyle w:val="Heading1"/>
      </w:pPr>
      <w:r>
        <w:t xml:space="preserve">7. Portfolio cross-reference — your 37 holdings</w:t>
      </w:r>
    </w:p>
    <w:p>
      <w:pPr>
        <w:spacing w:after="120"/>
      </w:pPr>
      <w:r>
        <w:t xml:space="preserve">Holdings explicitly named as federal contract winners or federal-program beneficiaries in the research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Ticker</w:t>
            </w:r>
          </w:p>
        </w:tc>
        <w:tc>
          <w:tcPr>
            <w:tcW w:type="dxa" w:w="28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Segment</w:t>
            </w:r>
          </w:p>
        </w:tc>
        <w:tc>
          <w:tcPr>
            <w:tcW w:type="dxa" w:w="516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Federal / state / allied contract exposure</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MU</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Semiconductor / Memory</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$6.165B CHIPS grant (Dec 2024); Clay NY fab slipped to 2029–2030</w:t>
            </w:r>
          </w:p>
        </w:tc>
      </w:tr>
      <w:tr>
        <w:tc>
          <w:tcPr>
            <w:tcW w:type="dxa" w:w="14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TSM</w:t>
            </w:r>
          </w:p>
        </w:tc>
        <w:tc>
          <w:tcPr>
            <w:tcW w:type="dxa" w:w="28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Foundry</w:t>
            </w:r>
          </w:p>
        </w:tc>
        <w:tc>
          <w:tcPr>
            <w:tcW w:type="dxa" w:w="51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$6.6B grant + $5B loan (Nov 2024); $165B Arizona campus after Lutnick renegotiation</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PWR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Transmission contractor</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SunZia turnkey EPC, Greenlink, MISO Tranche 1, GRIP-adjacent utility work</w:t>
            </w:r>
          </w:p>
        </w:tc>
      </w:tr>
      <w:tr>
        <w:tc>
          <w:tcPr>
            <w:tcW w:type="dxa" w:w="14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CEG</w:t>
            </w:r>
          </w:p>
        </w:tc>
        <w:tc>
          <w:tcPr>
            <w:tcW w:type="dxa" w:w="28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Nuclear</w:t>
            </w:r>
          </w:p>
        </w:tc>
        <w:tc>
          <w:tcPr>
            <w:tcW w:type="dxa" w:w="51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Microsoft Three Mile Island PPA; federal-permitted restart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GEV</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Turbines / Grid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AWS + Microsoft 4GW framework; beneficiary of GRIP and DOE LPO projects</w:t>
            </w:r>
          </w:p>
        </w:tc>
      </w:tr>
      <w:tr>
        <w:tc>
          <w:tcPr>
            <w:tcW w:type="dxa" w:w="14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AMZN</w:t>
            </w:r>
          </w:p>
        </w:tc>
        <w:tc>
          <w:tcPr>
            <w:tcW w:type="dxa" w:w="28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Hyperscaler</w:t>
            </w:r>
          </w:p>
        </w:tc>
        <w:tc>
          <w:tcPr>
            <w:tcW w:type="dxa" w:w="51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$50B gov AI commitment; Anthropic anchor; JWCC cloud contract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FIX</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MEP contractor</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MEP sub on TSMC Arizona, Intel Ohio, Samsung Taylor, Micron Clay</w:t>
            </w:r>
          </w:p>
        </w:tc>
      </w:tr>
      <w:tr>
        <w:tc>
          <w:tcPr>
            <w:tcW w:type="dxa" w:w="14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ETN</w:t>
            </w:r>
          </w:p>
        </w:tc>
        <w:tc>
          <w:tcPr>
            <w:tcW w:type="dxa" w:w="28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Power distribution</w:t>
            </w:r>
          </w:p>
        </w:tc>
        <w:tc>
          <w:tcPr>
            <w:tcW w:type="dxa" w:w="51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Grid-interactive data centers; AI factory power with Nvidia; GRIP-adjacent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META</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Hyperscaler</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$60B AMD + Nvidia deals; Meta-Vistra nuclear PPA; data center permitting EO</w:t>
            </w:r>
          </w:p>
        </w:tc>
      </w:tr>
      <w:tr>
        <w:tc>
          <w:tcPr>
            <w:tcW w:type="dxa" w:w="14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GOOGL</w:t>
            </w:r>
          </w:p>
        </w:tc>
        <w:tc>
          <w:tcPr>
            <w:tcW w:type="dxa" w:w="28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Hyperscaler / AI</w:t>
            </w:r>
          </w:p>
        </w:tc>
        <w:tc>
          <w:tcPr>
            <w:tcW w:type="dxa" w:w="51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$200M DoD CDAO prototype (July 2025); JWCC; TPU government cloud</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MSFT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Hyperscaler</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IVAS prior holder ($22B, novated to Anduril 4/10/2025); JWCC; Stargate partner</w:t>
            </w:r>
          </w:p>
        </w:tc>
      </w:tr>
      <w:tr>
        <w:tc>
          <w:tcPr>
            <w:tcW w:type="dxa" w:w="14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VST</w:t>
            </w:r>
          </w:p>
        </w:tc>
        <w:tc>
          <w:tcPr>
            <w:tcW w:type="dxa" w:w="28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Nuclear / Gas</w:t>
            </w:r>
          </w:p>
        </w:tc>
        <w:tc>
          <w:tcPr>
            <w:tcW w:type="dxa" w:w="51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2,600MW+ nuclear PPA with Meta; AWS long-term agreement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ORCL</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Cloud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Stargate anchor ($300B OpenAI contract); federal cloud; $40B Nvidia for OpenAI</w:t>
            </w:r>
          </w:p>
        </w:tc>
      </w:tr>
      <w:tr>
        <w:tc>
          <w:tcPr>
            <w:tcW w:type="dxa" w:w="14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AMD</w:t>
            </w:r>
          </w:p>
        </w:tc>
        <w:tc>
          <w:tcPr>
            <w:tcW w:type="dxa" w:w="28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Semiconductor</w:t>
            </w:r>
          </w:p>
        </w:tc>
        <w:tc>
          <w:tcPr>
            <w:tcW w:type="dxa" w:w="51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15% Treasury revenue share on MI308 China sales (Aug 2025)</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NVDA</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Semiconductor</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15% Treasury revenue share on H20 China sales; DOE Oracle supercomputer; Stargate GPU anchor</w:t>
            </w:r>
          </w:p>
        </w:tc>
      </w:tr>
      <w:tr>
        <w:tc>
          <w:tcPr>
            <w:tcW w:type="dxa" w:w="14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BE</w:t>
            </w:r>
          </w:p>
        </w:tc>
        <w:tc>
          <w:tcPr>
            <w:tcW w:type="dxa" w:w="28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Fuel cells</w:t>
            </w:r>
          </w:p>
        </w:tc>
        <w:tc>
          <w:tcPr>
            <w:tcW w:type="dxa" w:w="51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1GW AEP contract; Oracle data center integration; AFFECT DOE program adjacent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RKLB</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Aerospace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VICTUS HAZE $32M; SDA T2 Beta $515M; SDA T3 Tracking $805M; NSSL Lane 1 on-ramp</w:t>
            </w:r>
          </w:p>
        </w:tc>
      </w:tr>
      <w:tr>
        <w:tc>
          <w:tcPr>
            <w:tcW w:type="dxa" w:w="14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MCHP</w:t>
            </w:r>
          </w:p>
        </w:tc>
        <w:tc>
          <w:tcPr>
            <w:tcW w:type="dxa" w:w="28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Semiconductor</w:t>
            </w:r>
          </w:p>
        </w:tc>
        <w:tc>
          <w:tcPr>
            <w:tcW w:type="dxa" w:w="51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Withdrew $162M CHIPS application; no active federal award</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ALOY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Rare Earth</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DLA contract Mar 2, 2026: up to $1.7M design phase, path to 300 tpa Sm/Gd metal, Euclid OH</w:t>
            </w:r>
          </w:p>
        </w:tc>
      </w:tr>
    </w:tbl>
    <w:p>
      <w:pPr>
        <w:spacing w:after="120"/>
      </w:pPr>
      <w:r>
        <w:t xml:space="preserve"/>
      </w:r>
    </w:p>
    <w:p>
      <w:pPr>
        <w:spacing w:after="120"/>
      </w:pPr>
      <w:r>
        <w:rPr>
          <w:i/>
          <w:iCs/>
        </w:rPr>
        <w:t xml:space="preserve">Holdings without specific federal contract exposure in the researched period: </w:t>
      </w:r>
      <w:r>
        <w:rPr>
          <w:i/>
          <w:iCs/>
        </w:rPr>
        <w:t xml:space="preserve">LLY, ANET, SMCI, VRT, AVGO, NBIS, CRWV, MYRG, MOD, DELL, LITE, COHR, APH, EME, CRDO, MRVL, OWL</w:t>
      </w:r>
    </w:p>
    <w:p>
      <w:pPr>
        <w:spacing w:after="120"/>
      </w:pPr>
      <w:r>
        <w:rPr>
          <w:i/>
          <w:iCs/>
          <w:color w:val="6B7280"/>
        </w:rPr>
        <w:t xml:space="preserve">(Second-order exposure through hyperscaler data-center builds is substantial for VRT, ANET, SMCI, DELL, MRVL, AVGO, COHR, LITE, APH, CRDO, MOD — but direct contract awards were not the research focus.)</w:t>
      </w:r>
    </w:p>
    <w:p>
      <w:r>
        <w:br w:type="page"/>
      </w:r>
    </w:p>
    <w:p>
      <w:pPr>
        <w:pStyle w:val="Heading1"/>
      </w:pPr>
      <w:r>
        <w:t xml:space="preserve">8. Watchlist: names NOT in the portfolio worth examining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Ticker</w:t>
            </w:r>
          </w:p>
        </w:tc>
        <w:tc>
          <w:tcPr>
            <w:tcW w:type="dxa" w:w="280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Name</w:t>
            </w:r>
          </w:p>
        </w:tc>
        <w:tc>
          <w:tcPr>
            <w:tcW w:type="dxa" w:w="5160"/>
            <w:tcBorders>
              <w:top w:val="single" w:color="BFBFBF" w:sz="4"/>
              <w:left w:val="single" w:color="BFBFBF" w:sz="4"/>
              <w:bottom w:val="single" w:color="BFBFBF" w:sz="4"/>
              <w:right w:val="single" w:color="BFBFBF" w:sz="4"/>
            </w:tcBorders>
            <w:shd w:fill="1F2937" w:val="clear"/>
            <w:tcMar>
              <w:top w:type="dxa" w:w="80"/>
              <w:left w:type="dxa" w:w="120"/>
              <w:bottom w:type="dxa" w:w="80"/>
              <w:right w:type="dxa" w:w="120"/>
            </w:tcMar>
          </w:tcPr>
          <w:p>
            <w:r>
              <w:rPr>
                <w:b/>
                <w:bCs/>
                <w:color w:val="FFFFFF"/>
                <w:sz w:val="20"/>
                <w:szCs w:val="20"/>
              </w:rPr>
              <w:t xml:space="preserve">Rationale</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PLTR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Palantir</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$10B Army enterprise + $1.3B Maven + TITAN + NATO + NHS — most government-levered AI prime</w:t>
            </w:r>
          </w:p>
        </w:tc>
      </w:tr>
      <w:tr>
        <w:tc>
          <w:tcPr>
            <w:tcW w:type="dxa" w:w="14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ANDURIL</w:t>
            </w:r>
          </w:p>
        </w:tc>
        <w:tc>
          <w:tcPr>
            <w:tcW w:type="dxa" w:w="28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Anduril (private)</w:t>
            </w:r>
          </w:p>
        </w:tc>
        <w:tc>
          <w:tcPr>
            <w:tcW w:type="dxa" w:w="51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$30.5B valuation; $22B IVAS, CCA production, Replicator — pre-IPO</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MP</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MP Materials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DoD largest shareholder (15%); price floor; guaranteed offtake — sovereign-backed REE</w:t>
            </w:r>
          </w:p>
        </w:tc>
      </w:tr>
      <w:tr>
        <w:tc>
          <w:tcPr>
            <w:tcW w:type="dxa" w:w="14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LAC</w:t>
            </w:r>
          </w:p>
        </w:tc>
        <w:tc>
          <w:tcPr>
            <w:tcW w:type="dxa" w:w="28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Lithium Americas</w:t>
            </w:r>
          </w:p>
        </w:tc>
        <w:tc>
          <w:tcPr>
            <w:tcW w:type="dxa" w:w="51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DOE 5% warrant equity + $2.26B Thacker Pass loan</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TMQ</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Trilogy Metals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War Dept paid $35.6M for 10% + 7.5% warrants; Ambler Road unlocked</w:t>
            </w:r>
          </w:p>
        </w:tc>
      </w:tr>
      <w:tr>
        <w:tc>
          <w:tcPr>
            <w:tcW w:type="dxa" w:w="14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PPTA</w:t>
            </w:r>
          </w:p>
        </w:tc>
        <w:tc>
          <w:tcPr>
            <w:tcW w:type="dxa" w:w="28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Perpetua Resources</w:t>
            </w:r>
          </w:p>
        </w:tc>
        <w:tc>
          <w:tcPr>
            <w:tcW w:type="dxa" w:w="51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$80M+ DoD awards + $1.8B EXIM LOI; US antimony monopoly candidate</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INTC</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Intel</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9.9% federal equity stake; Ohio fab slipped to 2030–2031 — execution risk</w:t>
            </w:r>
          </w:p>
        </w:tc>
      </w:tr>
      <w:tr>
        <w:tc>
          <w:tcPr>
            <w:tcW w:type="dxa" w:w="14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OKLO</w:t>
            </w:r>
          </w:p>
        </w:tc>
        <w:tc>
          <w:tcPr>
            <w:tcW w:type="dxa" w:w="28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Oklo</w:t>
            </w:r>
          </w:p>
        </w:tc>
        <w:tc>
          <w:tcPr>
            <w:tcW w:type="dxa" w:w="51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SMR adjacent to DOE AI-for-Science and hyperscaler power demand</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SMR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NuScale Power</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SMR reference design; adjacent to nuclear revival policy</w:t>
            </w:r>
          </w:p>
        </w:tc>
      </w:tr>
      <w:tr>
        <w:tc>
          <w:tcPr>
            <w:tcW w:type="dxa" w:w="14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BWXT</w:t>
            </w:r>
          </w:p>
        </w:tc>
        <w:tc>
          <w:tcPr>
            <w:tcW w:type="dxa" w:w="28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BWX Technologies</w:t>
            </w:r>
          </w:p>
        </w:tc>
        <w:tc>
          <w:tcPr>
            <w:tcW w:type="dxa" w:w="51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Naval reactors + commercial SMR + DOE Hanford adjacency</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General Dynamics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Electric Boat — Columbia-class + Virginia-class submarine ramp driven by AUKUS</w:t>
            </w:r>
          </w:p>
        </w:tc>
      </w:tr>
      <w:tr>
        <w:tc>
          <w:tcPr>
            <w:tcW w:type="dxa" w:w="14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HII</w:t>
            </w:r>
          </w:p>
        </w:tc>
        <w:tc>
          <w:tcPr>
            <w:tcW w:type="dxa" w:w="28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Huntington Ingalls</w:t>
            </w:r>
          </w:p>
        </w:tc>
        <w:tc>
          <w:tcPr>
            <w:tcW w:type="dxa" w:w="51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Newport News — same submarine ramp; potential 15-sub buy</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LDOS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Leidos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Federal IT prime — adjacent to GSA AI toolbox rollout</w:t>
            </w:r>
          </w:p>
        </w:tc>
      </w:tr>
      <w:tr>
        <w:tc>
          <w:tcPr>
            <w:tcW w:type="dxa" w:w="14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PWR vs MYRG</w:t>
            </w:r>
          </w:p>
        </w:tc>
        <w:tc>
          <w:tcPr>
            <w:tcW w:type="dxa" w:w="280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Already held</w:t>
            </w:r>
          </w:p>
        </w:tc>
        <w:tc>
          <w:tcPr>
            <w:tcW w:type="dxa" w:w="5160"/>
            <w:tcBorders>
              <w:top w:val="single" w:color="BFBFBF" w:sz="4"/>
              <w:left w:val="single" w:color="BFBFBF" w:sz="4"/>
              <w:bottom w:val="single" w:color="BFBFBF" w:sz="4"/>
              <w:right w:val="single" w:color="BFBFBF" w:sz="4"/>
            </w:tcBorders>
            <w:shd w:fill="F3F4F6" w:val="clear"/>
            <w:tcMar>
              <w:top w:type="dxa" w:w="80"/>
              <w:left w:type="dxa" w:w="120"/>
              <w:bottom w:type="dxa" w:w="80"/>
              <w:right w:type="dxa" w:w="120"/>
            </w:tcMar>
          </w:tcPr>
          <w:p>
            <w:r>
              <w:rPr>
                <w:sz w:val="20"/>
                <w:szCs w:val="20"/>
              </w:rPr>
              <w:t xml:space="preserve">Consider adding J (Jacobs), FLR (Fluor), ACM (AECOM) for federal E&amp;C diversification</w:t>
            </w:r>
          </w:p>
        </w:tc>
      </w:tr>
    </w:tbl>
    <w:p>
      <w:r>
        <w:br w:type="page"/>
      </w:r>
    </w:p>
    <w:p>
      <w:pPr>
        <w:pStyle w:val="Heading1"/>
      </w:pPr>
      <w:r>
        <w:t xml:space="preserve">9. Synthesis and risk assessment</w:t>
      </w:r>
    </w:p>
    <w:p>
      <w:pPr>
        <w:pStyle w:val="Heading2"/>
      </w:pPr>
      <w:r>
        <w:t xml:space="preserve">What this means</w:t>
      </w:r>
    </w:p>
    <w:p>
      <w:pPr>
        <w:spacing w:after="120"/>
      </w:pPr>
      <w:r>
        <w:t xml:space="preserve">The cumulative effect is a federal demand shock of unprecedented scale and concentration. The same small set of companies — Palantir, Anduril, SpaceX, Lockheed, Rocket Lab, MP Materials, Bechtel, Quanta, Intel, TSMC, Nvidia, Oracle — now appears on the winning side of the semiconductor, AI, launch, satellite, critical-minerals, transmission and fab-construction awards simultaneously.</w:t>
      </w:r>
    </w:p>
    <w:p>
      <w:pPr>
        <w:pStyle w:val="Heading2"/>
      </w:pPr>
      <w:r>
        <w:t xml:space="preserve">Three unresolved risks</w:t>
      </w:r>
    </w:p>
    <w:p>
      <w:pPr>
        <w:pStyle w:val="ListParagraph"/>
        <w:numPr>
          <w:ilvl w:val="0"/>
          <w:numId w:val="2"/>
        </w:numPr>
      </w:pPr>
      <w:r>
        <w:t xml:space="preserve">Constitutional and fiscal durability of direct federal equity stakes — untested at this scale</w:t>
      </w:r>
    </w:p>
    <w:p>
      <w:pPr>
        <w:pStyle w:val="ListParagraph"/>
        <w:numPr>
          <w:ilvl w:val="0"/>
          <w:numId w:val="2"/>
        </w:numPr>
      </w:pPr>
      <w:r>
        <w:t xml:space="preserve">Execution risk across the fab build (Intel Ohio → 2030–2031, Micron Clay → 2029–2030) and Stargate capex curve (only ~$12B of "immediate" $100B had confirmed debt financing by mid-2025)</w:t>
      </w:r>
    </w:p>
    <w:p>
      <w:pPr>
        <w:pStyle w:val="ListParagraph"/>
        <w:numPr>
          <w:ilvl w:val="0"/>
          <w:numId w:val="2"/>
        </w:numPr>
      </w:pPr>
      <w:r>
        <w:t xml:space="preserve">Trump administration's willingness to withdraw or renegotiate awards — demonstrated with Wolfspeed, Microchip, Magdeburg (not US but illustrative), Plug Power, NSTC R&amp;D fund</w:t>
      </w:r>
    </w:p>
    <w:p>
      <w:pPr>
        <w:pStyle w:val="Heading2"/>
      </w:pPr>
      <w:r>
        <w:t xml:space="preserve">Operational takeaway for 2026 planning</w:t>
      </w:r>
    </w:p>
    <w:p>
      <w:pPr>
        <w:spacing w:after="120"/>
      </w:pPr>
      <w:r>
        <w:t xml:space="preserve">Federal contracts are no longer a rounding error in technology-sector revenue models. They are the </w:t>
      </w:r>
      <w:r>
        <w:rPr>
          <w:b/>
          <w:bCs/>
        </w:rPr>
        <w:t xml:space="preserve">scaffolding on which the AI, energy and critical-materials cycles will be built</w:t>
      </w:r>
      <w:r>
        <w:t xml:space="preserve">, and the government's migration from grant-maker to equity holder means taxpayer capital is now priced directly into equity narratives for Intel, MP Materials, Lithium Americas, Trilogy Metals, Palantir, Anduril, Rocket Lab and — via the 15% Nvidia/AMD revenue share — even the largest semiconductor franchises.</w:t>
      </w:r>
    </w:p>
    <w:p>
      <w:pPr>
        <w:spacing w:after="120"/>
      </w:pPr>
      <w:r>
        <w:t xml:space="preserve">The private market is real, but Washington has become its largest customer, its largest permit-giver, and — increasingly — its largest shareholder.</w:t>
      </w:r>
    </w:p>
    <w:p>
      <w:pPr>
        <w:pBdr>
          <w:top w:val="single" w:color="1F2937" w:sz="6" w:space="4"/>
        </w:pBdr>
        <w:spacing w:before="400"/>
        <w:jc w:val="center"/>
      </w:pPr>
      <w:r>
        <w:rPr>
          <w:i/>
          <w:iCs/>
          <w:color w:val="6B7280"/>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2937" w:sz="6" w:space="4"/>
      </w:pBdr>
      <w:spacing w:after="200" w:before="360"/>
      <w:outlineLvl w:val="0"/>
    </w:pPr>
    <w:rPr>
      <w:rFonts w:ascii="Calibri" w:cs="Calibri" w:eastAsia="Calibri" w:hAnsi="Calibri"/>
      <w:b/>
      <w:bCs/>
      <w:color w:val="1F2937"/>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374151"/>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Contracts Research — AI, Energy, Infrastructure 2023–2026</dc:title>
  <dc:creator>Jake Bishop</dc:creator>
  <cp:lastModifiedBy>Un-named</cp:lastModifiedBy>
  <cp:revision>1</cp:revision>
  <dcterms:created xsi:type="dcterms:W3CDTF">2026-04-17T17:39:14.687Z</dcterms:created>
  <dcterms:modified xsi:type="dcterms:W3CDTF">2026-04-17T17:39:14.688Z</dcterms:modified>
</cp:coreProperties>
</file>

<file path=docProps/custom.xml><?xml version="1.0" encoding="utf-8"?>
<Properties xmlns="http://schemas.openxmlformats.org/officeDocument/2006/custom-properties" xmlns:vt="http://schemas.openxmlformats.org/officeDocument/2006/docPropsVTypes"/>
</file>