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11111"/>
          <w:sz w:val="44"/>
          <w:szCs w:val="44"/>
        </w:rPr>
        <w:t xml:space="preserve">STRIPE SESSIONS 2026</w:t>
      </w:r>
    </w:p>
    <w:p>
      <w:pPr>
        <w:jc w:val="center"/>
      </w:pPr>
      <w:r>
        <w:rPr>
          <w:rFonts w:ascii="Arial" w:cs="Arial" w:eastAsia="Arial" w:hAnsi="Arial"/>
          <w:i/>
          <w:iCs/>
          <w:color w:val="555555"/>
          <w:sz w:val="26"/>
          <w:szCs w:val="26"/>
        </w:rPr>
        <w:t xml:space="preserve">x402 / Agent Settlement Thesis Confirmation Update</w:t>
      </w:r>
    </w:p>
    <w:p>
      <w:r>
        <w:t xml:space="preserve"/>
      </w:r>
    </w:p>
    <w:p>
      <w:pPr>
        <w:pBdr>
          <w:bottom w:val="single" w:color="1a5276" w:sz="6" w:space="1"/>
        </w:pBdr>
        <w:jc w:val="center"/>
      </w:pPr>
      <w:r>
        <w:t xml:space="preserve"/>
      </w:r>
    </w:p>
    <w:p>
      <w:r>
        <w:t xml:space="preserve"/>
      </w:r>
    </w:p>
    <w:p>
      <w:pPr>
        <w:jc w:val="center"/>
      </w:pPr>
      <w:r>
        <w:rPr>
          <w:color w:val="666666"/>
          <w:sz w:val="20"/>
          <w:szCs w:val="20"/>
        </w:rPr>
        <w:t xml:space="preserve">Jake Bishop  |  Independent Macro Research  |  Logged May 7, 2026</w:t>
      </w:r>
    </w:p>
    <w:p>
      <w:r>
        <w:t xml:space="preserve"/>
      </w:r>
    </w:p>
    <w:p>
      <w:r>
        <w:t xml:space="preserve"/>
      </w:r>
    </w:p>
    <w:p>
      <w:pPr>
        <w:pStyle w:val="Heading1"/>
      </w:pPr>
      <w:r>
        <w:t xml:space="preserve">Executive Summary</w:t>
      </w:r>
    </w:p>
    <w:p>
      <w:pPr>
        <w:pBdr>
          <w:bottom w:val="single" w:color="CCCCCC" w:sz="4" w:space="1"/>
        </w:pBdr>
      </w:pPr>
      <w:r>
        <w:t xml:space="preserve"/>
      </w:r>
    </w:p>
    <w:p>
      <w:r>
        <w:t xml:space="preserve"/>
      </w:r>
    </w:p>
    <w:p>
      <w:r>
        <w:t xml:space="preserve">On April 29, 2026, Stripe announced 288 new products at Sessions 2026 — the most aggressive single-day product launch in fintech history. The breadth of the launch operationalizes the entire agentic commerce settlement layer thesis previously mapped in Jake's x402 framework (April 2026 update). Stripe is no longer adjacent to the agent settlement infrastructure — they have built the merchant-facing implementation of it at production scale across 16,000 platforms and global coverage.</w:t>
      </w:r>
    </w:p>
    <w:p>
      <w:r>
        <w:t xml:space="preserve"/>
      </w:r>
    </w:p>
    <w:p>
      <w:r>
        <w:t xml:space="preserve">This document logs the specific announcements that confirm the x402 / agent settlement thesis, the competitive implications for Coinbase positioning, and the retail-exit pattern read on Stripe's pre-IPO positioning relative to the SpaceX consolidation logged separately on May 6.</w:t>
      </w:r>
    </w:p>
    <w:p>
      <w:r>
        <w:t xml:space="preserve"/>
      </w:r>
    </w:p>
    <w:p>
      <w:pPr>
        <w:pBdr>
          <w:top w:val="single" w:color="DDDDDD" w:sz="1"/>
          <w:bottom w:val="single" w:color="DDDDDD" w:sz="1"/>
          <w:left w:val="single" w:color="1a5276" w:sz="12"/>
          <w:right w:val="single" w:color="DDDDDD" w:sz="1"/>
        </w:pBdr>
        <w:shd w:fill="f4f7fa" w:val="clear"/>
      </w:pPr>
      <w:r>
        <w:rPr>
          <w:i/>
          <w:iCs/>
          <w:color w:val="333333"/>
        </w:rPr>
        <w:t xml:space="preserve">Net read: Stripe Sessions plus Anthropic enterprise finance plus FIS AML plus Coinbase efficiency framing equals the agentic commerce settlement layer becoming operationally real this week. The thesis Jake mapped on May 2 (verbatim prediction of Armstrong's agentic wallet architecture before he stated it publicly) is now executing at industry scale across multiple competing infrastructure layers simultaneously.</w:t>
      </w:r>
    </w:p>
    <w:p>
      <w:r>
        <w:t xml:space="preserve"/>
      </w:r>
    </w:p>
    <w:p>
      <w:r>
        <w:t xml:space="preserve"/>
      </w:r>
    </w:p>
    <w:p>
      <w:pPr>
        <w:pStyle w:val="Heading1"/>
      </w:pPr>
      <w:r>
        <w:t xml:space="preserve">Part One: Direct Thesis Confirmations</w:t>
      </w:r>
    </w:p>
    <w:p>
      <w:pPr>
        <w:pBdr>
          <w:bottom w:val="single" w:color="CCCCCC" w:sz="4" w:space="1"/>
        </w:pBdr>
      </w:pPr>
      <w:r>
        <w:t xml:space="preserve"/>
      </w:r>
    </w:p>
    <w:p>
      <w:r>
        <w:t xml:space="preserve"/>
      </w:r>
    </w:p>
    <w:p>
      <w:pPr>
        <w:pStyle w:val="Heading2"/>
      </w:pPr>
      <w:r>
        <w:t xml:space="preserve">Machine Payments Protocol (MPP)</w:t>
      </w:r>
    </w:p>
    <w:p>
      <w:r>
        <w:t xml:space="preserve">Stripe co-authored MPP with Tempo. This is a new payment protocol specifically designed for agent-to-agent transactions supporting microtransactions and recurring payments. MPP is the direct competitor — or potential complement — to x402.</w:t>
      </w:r>
    </w:p>
    <w:p>
      <w:r>
        <w:t xml:space="preserve"/>
      </w:r>
    </w:p>
    <w:p>
      <w:pPr>
        <w:pStyle w:val="ListParagraph"/>
        <w:numPr>
          <w:ilvl w:val="0"/>
          <w:numId w:val="2"/>
        </w:numPr>
      </w:pPr>
      <w:r>
        <w:t xml:space="preserve">Stripe brings the merchant network: 16,000 platforms, 11 million businesses accepting payments through Connect</w:t>
      </w:r>
    </w:p>
    <w:p>
      <w:pPr>
        <w:pStyle w:val="ListParagraph"/>
        <w:numPr>
          <w:ilvl w:val="0"/>
          <w:numId w:val="2"/>
        </w:numPr>
      </w:pPr>
      <w:r>
        <w:t xml:space="preserve">MPP launched alongside Shared Payment Tokens (SPTs) enabling agents to transact in stablecoins AND fiat through cards, Klarna, and Affirm via the Payment Intents API</w:t>
      </w:r>
    </w:p>
    <w:p>
      <w:pPr>
        <w:pStyle w:val="ListParagraph"/>
        <w:numPr>
          <w:ilvl w:val="0"/>
          <w:numId w:val="2"/>
        </w:numPr>
      </w:pPr>
      <w:r>
        <w:t xml:space="preserve">This is the universal settlement layer thesis built into Stripe's actual product, not roadmap</w:t>
      </w:r>
    </w:p>
    <w:p>
      <w:pPr>
        <w:pStyle w:val="ListParagraph"/>
        <w:numPr>
          <w:ilvl w:val="0"/>
          <w:numId w:val="2"/>
        </w:numPr>
      </w:pPr>
      <w:r>
        <w:t xml:space="preserve">Standards war implication: x402 (Coinbase/Cloudflare-backed) vs MPP (Stripe/Tempo-backed) — both could survive as different layers, or one could absorb the other</w:t>
      </w:r>
    </w:p>
    <w:p>
      <w:r>
        <w:t xml:space="preserve"/>
      </w:r>
    </w:p>
    <w:p>
      <w:pPr>
        <w:pStyle w:val="Heading2"/>
      </w:pPr>
      <w:r>
        <w:t xml:space="preserve">The Privy Integration — Agent Wallet Architecture Confirmed</w:t>
      </w:r>
    </w:p>
    <w:p>
      <w:r>
        <w:t xml:space="preserve">Stripe acquired and integrated Privy as the embedded wallet infrastructure layer. The product capabilities map directly to the agent wallet predictions Jake logged before Armstrong publicly stated them on May 2:</w:t>
      </w:r>
    </w:p>
    <w:p>
      <w:r>
        <w:t xml:space="preserve"/>
      </w:r>
    </w:p>
    <w:p>
      <w:pPr>
        <w:pStyle w:val="ListParagraph"/>
        <w:numPr>
          <w:ilvl w:val="0"/>
          <w:numId w:val="2"/>
        </w:numPr>
      </w:pPr>
      <w:r>
        <w:t xml:space="preserve">Programmable wallets for AI agents with trigger-based micropayments</w:t>
      </w:r>
    </w:p>
    <w:p>
      <w:pPr>
        <w:pStyle w:val="ListParagraph"/>
        <w:numPr>
          <w:ilvl w:val="0"/>
          <w:numId w:val="2"/>
        </w:numPr>
      </w:pPr>
      <w:r>
        <w:t xml:space="preserve">Spending policy enforcement at the wallet level</w:t>
      </w:r>
    </w:p>
    <w:p>
      <w:pPr>
        <w:pStyle w:val="ListParagraph"/>
        <w:numPr>
          <w:ilvl w:val="0"/>
          <w:numId w:val="2"/>
        </w:numPr>
      </w:pPr>
      <w:r>
        <w:t xml:space="preserve">Hierarchical approval structures reflecting organizational workflows</w:t>
      </w:r>
    </w:p>
    <w:p>
      <w:pPr>
        <w:pStyle w:val="ListParagraph"/>
        <w:numPr>
          <w:ilvl w:val="0"/>
          <w:numId w:val="2"/>
        </w:numPr>
      </w:pPr>
      <w:r>
        <w:t xml:space="preserve">Custodial and self-custodial wallet options on a wallet-by-wallet basis</w:t>
      </w:r>
    </w:p>
    <w:p>
      <w:pPr>
        <w:pStyle w:val="ListParagraph"/>
        <w:numPr>
          <w:ilvl w:val="0"/>
          <w:numId w:val="2"/>
        </w:numPr>
      </w:pPr>
      <w:r>
        <w:t xml:space="preserve">Buy/sell/hold crypto for investment use cases via agent wallets</w:t>
      </w:r>
    </w:p>
    <w:p>
      <w:pPr>
        <w:pStyle w:val="ListParagraph"/>
        <w:numPr>
          <w:ilvl w:val="0"/>
          <w:numId w:val="2"/>
        </w:numPr>
      </w:pPr>
      <w:r>
        <w:t xml:space="preserve">DeFi yield on idle balances connected to Morpho vaults</w:t>
      </w:r>
    </w:p>
    <w:p>
      <w:pPr>
        <w:pStyle w:val="ListParagraph"/>
        <w:numPr>
          <w:ilvl w:val="0"/>
          <w:numId w:val="2"/>
        </w:numPr>
      </w:pPr>
      <w:r>
        <w:t xml:space="preserve">Agent provisioning directly from command line with spending tracking dashboard</w:t>
      </w:r>
    </w:p>
    <w:p>
      <w:r>
        <w:t xml:space="preserve"/>
      </w:r>
    </w:p>
    <w:p>
      <w:pPr>
        <w:pBdr>
          <w:top w:val="single" w:color="DDDDDD" w:sz="1"/>
          <w:bottom w:val="single" w:color="DDDDDD" w:sz="1"/>
          <w:left w:val="single" w:color="1a5276" w:sz="12"/>
          <w:right w:val="single" w:color="DDDDDD" w:sz="1"/>
        </w:pBdr>
        <w:shd w:fill="f4f7fa" w:val="clear"/>
      </w:pPr>
      <w:r>
        <w:rPr>
          <w:i/>
          <w:iCs/>
          <w:color w:val="333333"/>
        </w:rPr>
        <w:t xml:space="preserve">This is the literal architecture Jake described: predetermined limits, timeframes, autonomous M2M payments, paywall use case. Now shipped as Stripe production infrastructure. The May 2 prediction is no longer prediction — it's industry standard.</w:t>
      </w:r>
    </w:p>
    <w:p>
      <w:r>
        <w:t xml:space="preserve"/>
      </w:r>
    </w:p>
    <w:p>
      <w:pPr>
        <w:pStyle w:val="Heading2"/>
      </w:pPr>
      <w:r>
        <w:t xml:space="preserve">The Bridge Expansion — Multi-Chain Settlement</w:t>
      </w:r>
    </w:p>
    <w:p>
      <w:r>
        <w:t xml:space="preserve">Bridge (Stripe's stablecoin infrastructure subsidiary) expanded coverage dramatically:</w:t>
      </w:r>
    </w:p>
    <w:p>
      <w:r>
        <w:t xml:space="preserve"/>
      </w:r>
    </w:p>
    <w:p>
      <w:pPr>
        <w:pStyle w:val="ListParagraph"/>
        <w:numPr>
          <w:ilvl w:val="0"/>
          <w:numId w:val="2"/>
        </w:numPr>
      </w:pPr>
      <w:r>
        <w:t xml:space="preserve">Stablecoins supported: USDT, USDG, USDC, EURC, CASH, USDSui, USDCBL, plus custom stablecoins via Open Issuance</w:t>
      </w:r>
    </w:p>
    <w:p>
      <w:pPr>
        <w:pStyle w:val="ListParagraph"/>
        <w:numPr>
          <w:ilvl w:val="0"/>
          <w:numId w:val="2"/>
        </w:numPr>
      </w:pPr>
      <w:r>
        <w:t xml:space="preserve">Blockchains supported: Tempo, Plasma, Celo, Sui, Stellar, Abstract, World, Linea, Base</w:t>
      </w:r>
    </w:p>
    <w:p>
      <w:pPr>
        <w:pStyle w:val="ListParagraph"/>
        <w:numPr>
          <w:ilvl w:val="0"/>
          <w:numId w:val="2"/>
        </w:numPr>
      </w:pPr>
      <w:r>
        <w:t xml:space="preserve">Open Issuance allows businesses to launch and manage their own stablecoins</w:t>
      </w:r>
    </w:p>
    <w:p>
      <w:pPr>
        <w:pStyle w:val="ListParagraph"/>
        <w:numPr>
          <w:ilvl w:val="0"/>
          <w:numId w:val="2"/>
        </w:numPr>
      </w:pPr>
      <w:r>
        <w:t xml:space="preserve">Onramp/offramp coverage in COP, GBP, USD, BRL, EUR, MXN with more added quarterly</w:t>
      </w:r>
    </w:p>
    <w:p>
      <w:pPr>
        <w:pStyle w:val="ListParagraph"/>
        <w:numPr>
          <w:ilvl w:val="0"/>
          <w:numId w:val="2"/>
        </w:numPr>
      </w:pPr>
      <w:r>
        <w:t xml:space="preserve">Stablecoin-backed cards available in 30 countries (60 by Q3) for spending balances locally or globally</w:t>
      </w:r>
    </w:p>
    <w:p>
      <w:r>
        <w:t xml:space="preserve"/>
      </w:r>
    </w:p>
    <w:p>
      <w:r>
        <w:t xml:space="preserve">This is the multi-chain multi-stablecoin agent settlement infrastructure becoming standardized through Stripe at industry scale.</w:t>
      </w:r>
    </w:p>
    <w:p>
      <w:r>
        <w:t xml:space="preserve"/>
      </w:r>
    </w:p>
    <w:p>
      <w:pPr>
        <w:pStyle w:val="Heading2"/>
      </w:pPr>
      <w:r>
        <w:t xml:space="preserve">Agentic Commerce Suite — Distribution Layer</w:t>
      </w:r>
    </w:p>
    <w:p>
      <w:r>
        <w:t xml:space="preserve">Stripe partnered with Meta and Google to embed agent commerce directly into consumer surfaces:</w:t>
      </w:r>
    </w:p>
    <w:p>
      <w:r>
        <w:t xml:space="preserve"/>
      </w:r>
    </w:p>
    <w:p>
      <w:pPr>
        <w:pStyle w:val="ListParagraph"/>
        <w:numPr>
          <w:ilvl w:val="0"/>
          <w:numId w:val="2"/>
        </w:numPr>
      </w:pPr>
      <w:r>
        <w:t xml:space="preserve">Native checkout inside Facebook ads — discovery and purchase in one flow</w:t>
      </w:r>
    </w:p>
    <w:p>
      <w:pPr>
        <w:pStyle w:val="ListParagraph"/>
        <w:numPr>
          <w:ilvl w:val="0"/>
          <w:numId w:val="2"/>
        </w:numPr>
      </w:pPr>
      <w:r>
        <w:t xml:space="preserve">Universal Commerce Protocol (UCP) integration with Google AI Mode and Gemini app</w:t>
      </w:r>
    </w:p>
    <w:p>
      <w:pPr>
        <w:pStyle w:val="ListParagraph"/>
        <w:numPr>
          <w:ilvl w:val="0"/>
          <w:numId w:val="2"/>
        </w:numPr>
      </w:pPr>
      <w:r>
        <w:t xml:space="preserve">Customers buy products via AI agents through Gemini and Facebook</w:t>
      </w:r>
    </w:p>
    <w:p>
      <w:pPr>
        <w:pStyle w:val="ListParagraph"/>
        <w:numPr>
          <w:ilvl w:val="0"/>
          <w:numId w:val="2"/>
        </w:numPr>
      </w:pPr>
      <w:r>
        <w:t xml:space="preserve">Link agent wallet for spending approvals and full purchase visibility</w:t>
      </w:r>
    </w:p>
    <w:p>
      <w:r>
        <w:t xml:space="preserve"/>
      </w:r>
    </w:p>
    <w:p>
      <w:r>
        <w:t xml:space="preserve">This is the consumer-facing agent commerce layer going live at the largest distribution surfaces on the internet — Meta and Google. Not a niche developer feature. Mass-market deployment.</w:t>
      </w:r>
    </w:p>
    <w:p>
      <w:r>
        <w:t xml:space="preserve"/>
      </w:r>
    </w:p>
    <w:p>
      <w:pPr>
        <w:pStyle w:val="Heading2"/>
      </w:pPr>
      <w:r>
        <w:t xml:space="preserve">Streaming Payments via Metronome and Tempo</w:t>
      </w:r>
    </w:p>
    <w:p>
      <w:r>
        <w:t xml:space="preserve">Stripe combined Metronome (acquired) with Tempo blockchain to enable streaming payments — getting paid the instant value is delivered. This is the metered compute thesis built into the payment infrastructure layer:</w:t>
      </w:r>
    </w:p>
    <w:p>
      <w:r>
        <w:t xml:space="preserve"/>
      </w:r>
    </w:p>
    <w:p>
      <w:pPr>
        <w:pStyle w:val="ListParagraph"/>
        <w:numPr>
          <w:ilvl w:val="0"/>
          <w:numId w:val="2"/>
        </w:numPr>
      </w:pPr>
      <w:r>
        <w:t xml:space="preserve">Sub-second latency real-time billing for usage-based pricing models</w:t>
      </w:r>
    </w:p>
    <w:p>
      <w:pPr>
        <w:pStyle w:val="ListParagraph"/>
        <w:numPr>
          <w:ilvl w:val="0"/>
          <w:numId w:val="2"/>
        </w:numPr>
      </w:pPr>
      <w:r>
        <w:t xml:space="preserve">Sub-minute customer alert evaluation windows</w:t>
      </w:r>
    </w:p>
    <w:p>
      <w:pPr>
        <w:pStyle w:val="ListParagraph"/>
        <w:numPr>
          <w:ilvl w:val="0"/>
          <w:numId w:val="2"/>
        </w:numPr>
      </w:pPr>
      <w:r>
        <w:t xml:space="preserve">Composite charges with minimums and nested subscriptions</w:t>
      </w:r>
    </w:p>
    <w:p>
      <w:pPr>
        <w:pStyle w:val="ListParagraph"/>
        <w:numPr>
          <w:ilvl w:val="0"/>
          <w:numId w:val="2"/>
        </w:numPr>
      </w:pPr>
      <w:r>
        <w:t xml:space="preserve">Real-time revenue visibility down to account, contract, and product level</w:t>
      </w:r>
    </w:p>
    <w:p>
      <w:r>
        <w:t xml:space="preserve"/>
      </w:r>
    </w:p>
    <w:p>
      <w:r>
        <w:t xml:space="preserve">This is the Anthropic/OpenAI/xAI metered compute architecture (token-credit monetization) made native to Stripe's revenue infrastructure. Every AI provider charging by token consumption now has Stripe-native infrastructure to bill for it in real time.</w:t>
      </w:r>
    </w:p>
    <w:p>
      <w:r>
        <w:t xml:space="preserve"/>
      </w:r>
    </w:p>
    <w:p>
      <w:r>
        <w:t xml:space="preserve"/>
      </w:r>
    </w:p>
    <w:p>
      <w:pPr>
        <w:pStyle w:val="Heading1"/>
      </w:pPr>
      <w:r>
        <w:t xml:space="preserve">Part Two: Competitive Implications for COIN</w:t>
      </w:r>
    </w:p>
    <w:p>
      <w:pPr>
        <w:pBdr>
          <w:bottom w:val="single" w:color="CCCCCC" w:sz="4" w:space="1"/>
        </w:pBdr>
      </w:pPr>
      <w:r>
        <w:t xml:space="preserve"/>
      </w:r>
    </w:p>
    <w:p>
      <w:r>
        <w:t xml:space="preserve"/>
      </w:r>
    </w:p>
    <w:p>
      <w:r>
        <w:t xml:space="preserve">The Stripe announcement complicates the COIN thesis at the margin but does not invalidate it. The two companies are competing in adjacent rather than overlapping layers, and there is room for both to win at the scale of the agentic economy projected by McKinsey ($3-5T agent-driven transactions by 2030).</w:t>
      </w:r>
    </w:p>
    <w:p>
      <w:r>
        <w:t xml:space="preserve"/>
      </w:r>
    </w:p>
    <w:p>
      <w:pPr>
        <w:pStyle w:val="Heading2"/>
      </w:pPr>
      <w:r>
        <w:t xml:space="preserve">Where Stripe Took Share</w:t>
      </w:r>
    </w:p>
    <w:p>
      <w:pPr>
        <w:pStyle w:val="ListParagraph"/>
        <w:numPr>
          <w:ilvl w:val="0"/>
          <w:numId w:val="2"/>
        </w:numPr>
      </w:pPr>
      <w:r>
        <w:t xml:space="preserve">Merchant-facing payment processing for AI agents — 16,000 platforms already integrated</w:t>
      </w:r>
    </w:p>
    <w:p>
      <w:pPr>
        <w:pStyle w:val="ListParagraph"/>
        <w:numPr>
          <w:ilvl w:val="0"/>
          <w:numId w:val="2"/>
        </w:numPr>
      </w:pPr>
      <w:r>
        <w:t xml:space="preserve">Multi-stablecoin orchestration via Bridge across 9+ blockchains</w:t>
      </w:r>
    </w:p>
    <w:p>
      <w:pPr>
        <w:pStyle w:val="ListParagraph"/>
        <w:numPr>
          <w:ilvl w:val="0"/>
          <w:numId w:val="2"/>
        </w:numPr>
      </w:pPr>
      <w:r>
        <w:t xml:space="preserve">Embedded wallet infrastructure via Privy with 150-country reach</w:t>
      </w:r>
    </w:p>
    <w:p>
      <w:pPr>
        <w:pStyle w:val="ListParagraph"/>
        <w:numPr>
          <w:ilvl w:val="0"/>
          <w:numId w:val="2"/>
        </w:numPr>
      </w:pPr>
      <w:r>
        <w:t xml:space="preserve">Streaming/usage-based billing for AI metered compute (Metronome + Tempo)</w:t>
      </w:r>
    </w:p>
    <w:p>
      <w:pPr>
        <w:pStyle w:val="ListParagraph"/>
        <w:numPr>
          <w:ilvl w:val="0"/>
          <w:numId w:val="2"/>
        </w:numPr>
      </w:pPr>
      <w:r>
        <w:t xml:space="preserve">Consumer agentic commerce via Meta and Google distribution partnerships</w:t>
      </w:r>
    </w:p>
    <w:p>
      <w:r>
        <w:t xml:space="preserve"/>
      </w:r>
    </w:p>
    <w:p>
      <w:pPr>
        <w:pStyle w:val="Heading2"/>
      </w:pPr>
      <w:r>
        <w:t xml:space="preserve">Where Coinbase Retains Structural Advantages</w:t>
      </w:r>
    </w:p>
    <w:p>
      <w:pPr>
        <w:pStyle w:val="ListParagraph"/>
        <w:numPr>
          <w:ilvl w:val="0"/>
          <w:numId w:val="2"/>
        </w:numPr>
      </w:pPr>
      <w:r>
        <w:t xml:space="preserve">Regulatory clarity post the May 2 Clarity Act stablecoin yield deal</w:t>
      </w:r>
    </w:p>
    <w:p>
      <w:pPr>
        <w:pStyle w:val="ListParagraph"/>
        <w:numPr>
          <w:ilvl w:val="0"/>
          <w:numId w:val="2"/>
        </w:numPr>
      </w:pPr>
      <w:r>
        <w:t xml:space="preserve">Institutional custody relationships at scale</w:t>
      </w:r>
    </w:p>
    <w:p>
      <w:pPr>
        <w:pStyle w:val="ListParagraph"/>
        <w:numPr>
          <w:ilvl w:val="0"/>
          <w:numId w:val="2"/>
        </w:numPr>
      </w:pPr>
      <w:r>
        <w:t xml:space="preserve">USDC reserve interest income as direct revenue stream that Bridge does not have</w:t>
      </w:r>
    </w:p>
    <w:p>
      <w:pPr>
        <w:pStyle w:val="ListParagraph"/>
        <w:numPr>
          <w:ilvl w:val="0"/>
          <w:numId w:val="2"/>
        </w:numPr>
      </w:pPr>
      <w:r>
        <w:t xml:space="preserve">Q1 stablecoin revenue of $1.35B already booked at scale</w:t>
      </w:r>
    </w:p>
    <w:p>
      <w:pPr>
        <w:pStyle w:val="ListParagraph"/>
        <w:numPr>
          <w:ilvl w:val="0"/>
          <w:numId w:val="2"/>
        </w:numPr>
      </w:pPr>
      <w:r>
        <w:t xml:space="preserve">On-chain custody and trading infrastructure not duplicated by Stripe</w:t>
      </w:r>
    </w:p>
    <w:p>
      <w:pPr>
        <w:pStyle w:val="ListParagraph"/>
        <w:numPr>
          <w:ilvl w:val="0"/>
          <w:numId w:val="2"/>
        </w:numPr>
      </w:pPr>
      <w:r>
        <w:t xml:space="preserve">Direct relationship with Circle for USDC issuance and distribution</w:t>
      </w:r>
    </w:p>
    <w:p>
      <w:r>
        <w:t xml:space="preserve"/>
      </w:r>
    </w:p>
    <w:p>
      <w:pPr>
        <w:pStyle w:val="Heading2"/>
      </w:pPr>
      <w:r>
        <w:t xml:space="preserve">The Earnings Call Question Today (May 7)</w:t>
      </w:r>
    </w:p>
    <w:p>
      <w:r>
        <w:t xml:space="preserve">Coinbase reports Q1 today. Analysts will ask Armstrong about Stripe's announcement. The right framing is that Stripe is the merchant-facing settlement layer and Coinbase is the on-chain custody and trading layer. They overlap less than headlines suggest. The May 2 Clarity Act deal preserved Coinbase's activity-based rewards economics specifically. The competitive question is real but the structural moats remain intact.</w:t>
      </w:r>
    </w:p>
    <w:p>
      <w:r>
        <w:t xml:space="preserve"/>
      </w:r>
    </w:p>
    <w:p>
      <w:pPr>
        <w:pBdr>
          <w:top w:val="single" w:color="DDDDDD" w:sz="1"/>
          <w:bottom w:val="single" w:color="DDDDDD" w:sz="1"/>
          <w:left w:val="single" w:color="1a5276" w:sz="12"/>
          <w:right w:val="single" w:color="DDDDDD" w:sz="1"/>
        </w:pBdr>
        <w:shd w:fill="f4f7fa" w:val="clear"/>
      </w:pPr>
      <w:r>
        <w:rPr>
          <w:i/>
          <w:iCs/>
          <w:color w:val="333333"/>
        </w:rPr>
        <w:t xml:space="preserve">Tier B COIN addition window is closing fast. The May 2 regulatory clarity plus the operational confirmation of the agentic settlement thesis plus the AI-driven efficiency framing on the layoffs creates a compressed window before Stripe IPO and SpaceX IPO absorb retail attention. Decision point is this week.</w:t>
      </w:r>
    </w:p>
    <w:p>
      <w:r>
        <w:t xml:space="preserve"/>
      </w:r>
    </w:p>
    <w:p>
      <w:r>
        <w:t xml:space="preserve"/>
      </w:r>
    </w:p>
    <w:p>
      <w:pPr>
        <w:pStyle w:val="Heading1"/>
      </w:pPr>
      <w:r>
        <w:t xml:space="preserve">Part Three: Retail Exit Pattern Read</w:t>
      </w:r>
    </w:p>
    <w:p>
      <w:pPr>
        <w:pBdr>
          <w:bottom w:val="single" w:color="CCCCCC" w:sz="4" w:space="1"/>
        </w:pBdr>
      </w:pPr>
      <w:r>
        <w:t xml:space="preserve"/>
      </w:r>
    </w:p>
    <w:p>
      <w:r>
        <w:t xml:space="preserve"/>
      </w:r>
    </w:p>
    <w:p>
      <w:pPr>
        <w:pStyle w:val="Heading2"/>
      </w:pPr>
      <w:r>
        <w:t xml:space="preserve">Stripe IPO As Companion Marker to SpaceX IPO</w:t>
      </w:r>
    </w:p>
    <w:p>
      <w:r>
        <w:t xml:space="preserve">Stripe is private. Last estimated valuation around $91.5B in early 2024. The breadth of the Sessions 2026 announcement — 288 products, complete agentic commerce stack, full money management, embedded finance for 16,000 platforms — reads as pre-IPO positioning at scale.</w:t>
      </w:r>
    </w:p>
    <w:p>
      <w:r>
        <w:t xml:space="preserve"/>
      </w:r>
    </w:p>
    <w:p>
      <w:r>
        <w:t xml:space="preserve">Stripe IPO has been speculated for years and the company has consistently delayed. The Sessions 2026 product announcement is the kind of comprehensive narrative consolidation that typically precedes an S-1 filing. If Stripe files in 2026 or 2027, the timing aligns with:</w:t>
      </w:r>
    </w:p>
    <w:p>
      <w:r>
        <w:t xml:space="preserve"/>
      </w:r>
    </w:p>
    <w:p>
      <w:pPr>
        <w:pStyle w:val="ListParagraph"/>
        <w:numPr>
          <w:ilvl w:val="0"/>
          <w:numId w:val="2"/>
        </w:numPr>
      </w:pPr>
      <w:r>
        <w:t xml:space="preserve">SpaceX IPO targeting June 2026 listing at $1.5T+</w:t>
      </w:r>
    </w:p>
    <w:p>
      <w:pPr>
        <w:pStyle w:val="ListParagraph"/>
        <w:numPr>
          <w:ilvl w:val="0"/>
          <w:numId w:val="2"/>
        </w:numPr>
      </w:pPr>
      <w:r>
        <w:t xml:space="preserve">xAI absorbed into SpaceX (largest M&amp;A in history)</w:t>
      </w:r>
    </w:p>
    <w:p>
      <w:pPr>
        <w:pStyle w:val="ListParagraph"/>
        <w:numPr>
          <w:ilvl w:val="0"/>
          <w:numId w:val="2"/>
        </w:numPr>
      </w:pPr>
      <w:r>
        <w:t xml:space="preserve">Robinhood Ventures Fund I bringing 150,000 retail investors into private tech (May 6)</w:t>
      </w:r>
    </w:p>
    <w:p>
      <w:pPr>
        <w:pStyle w:val="ListParagraph"/>
        <w:numPr>
          <w:ilvl w:val="0"/>
          <w:numId w:val="2"/>
        </w:numPr>
      </w:pPr>
      <w:r>
        <w:t xml:space="preserve">OpenAI and Anthropic at $850B and $900B private valuations preparing eventual public exits</w:t>
      </w:r>
    </w:p>
    <w:p>
      <w:pPr>
        <w:pStyle w:val="ListParagraph"/>
        <w:numPr>
          <w:ilvl w:val="0"/>
          <w:numId w:val="2"/>
        </w:numPr>
      </w:pPr>
      <w:r>
        <w:t xml:space="preserve">Cursor at $10B SpaceX deal with $60B acquisition option</w:t>
      </w:r>
    </w:p>
    <w:p>
      <w:r>
        <w:t xml:space="preserve"/>
      </w:r>
    </w:p>
    <w:p>
      <w:r>
        <w:t xml:space="preserve">Two trillion-dollar-plus private company IPOs (SpaceX confirmed, Stripe likely) plus the largest AI model IPOs in history (OpenAI, Anthropic eventually) targeting retail entry at peak valuation. The five retail-exit markers Jake mapped have now been joined by a sixth (Robinhood Ventures Fund I) and a seventh implied (Stripe pre-IPO positioning).</w:t>
      </w:r>
    </w:p>
    <w:p>
      <w:r>
        <w:t xml:space="preserve"/>
      </w:r>
    </w:p>
    <w:p>
      <w:pPr>
        <w:pStyle w:val="Heading2"/>
      </w:pPr>
      <w:r>
        <w:t xml:space="preserve">The Tempo Blockchain Reference</w:t>
      </w:r>
    </w:p>
    <w:p>
      <w:r>
        <w:t xml:space="preserve">Tempo appears multiple times in the Stripe announcement as the blockchain layer MPP is built on. Worth tracking who owns Tempo and whether it becomes investable as a separate vehicle. If Tempo emerges as a distinct entity, it could be the third trillion-dollar-adjacent IPO marketed to retail in the agentic settlement infrastructure category.</w:t>
      </w:r>
    </w:p>
    <w:p>
      <w:r>
        <w:t xml:space="preserve"/>
      </w:r>
    </w:p>
    <w:p>
      <w:r>
        <w:t xml:space="preserve"/>
      </w:r>
    </w:p>
    <w:p>
      <w:pPr>
        <w:pStyle w:val="Heading1"/>
      </w:pPr>
      <w:r>
        <w:t xml:space="preserve">Part Four: Portfolio Implications</w:t>
      </w:r>
    </w:p>
    <w:p>
      <w:pPr>
        <w:pBdr>
          <w:bottom w:val="single" w:color="CCCCCC" w:sz="4" w:space="1"/>
        </w:pBdr>
      </w:pPr>
      <w:r>
        <w:t xml:space="preserve"/>
      </w:r>
    </w:p>
    <w:p>
      <w:r>
        <w:t xml:space="preserve"/>
      </w:r>
    </w:p>
    <w:p>
      <w:r>
        <w:t xml:space="preserve">The Stripe announcement does not require restructure of existing positions but does sharpen several decisions:</w:t>
      </w:r>
    </w:p>
    <w:p>
      <w:r>
        <w:t xml:space="preserve"/>
      </w:r>
    </w:p>
    <w:p>
      <w:pPr>
        <w:pStyle w:val="ListParagraph"/>
        <w:numPr>
          <w:ilvl w:val="0"/>
          <w:numId w:val="2"/>
        </w:numPr>
      </w:pPr>
      <w:r>
        <w:t xml:space="preserve">COIN Tier B addition: window narrowing fast. May 7 earnings + competitive context from Stripe = decision point this week</w:t>
      </w:r>
    </w:p>
    <w:p>
      <w:pPr>
        <w:pStyle w:val="ListParagraph"/>
        <w:numPr>
          <w:ilvl w:val="0"/>
          <w:numId w:val="2"/>
        </w:numPr>
      </w:pPr>
      <w:r>
        <w:t xml:space="preserve">MU thesis intact: agentic compute volume scaling drives memory demand regardless of which settlement protocol wins</w:t>
      </w:r>
    </w:p>
    <w:p>
      <w:pPr>
        <w:pStyle w:val="ListParagraph"/>
        <w:numPr>
          <w:ilvl w:val="0"/>
          <w:numId w:val="2"/>
        </w:numPr>
      </w:pPr>
      <w:r>
        <w:t xml:space="preserve">AVGO undersized confirmation: every AI provider supporting Stripe metered compute generates AVGO custom silicon demand</w:t>
      </w:r>
    </w:p>
    <w:p>
      <w:pPr>
        <w:pStyle w:val="ListParagraph"/>
        <w:numPr>
          <w:ilvl w:val="0"/>
          <w:numId w:val="2"/>
        </w:numPr>
      </w:pPr>
      <w:r>
        <w:t xml:space="preserve">Power infrastructure positions (CEG, GEV, ETN, VRT): agentic compute volume increases data center power demand at the source layer Stripe cannot disintermediate</w:t>
      </w:r>
    </w:p>
    <w:p>
      <w:pPr>
        <w:pStyle w:val="ListParagraph"/>
        <w:numPr>
          <w:ilvl w:val="0"/>
          <w:numId w:val="2"/>
        </w:numPr>
      </w:pPr>
      <w:r>
        <w:t xml:space="preserve">The mechanical charge shuttle concept (logged May 4): becomes more strategically relevant if Stripe IPO valuation premium reflects agentic infrastructure thesis becoming consensus</w:t>
      </w:r>
    </w:p>
    <w:p>
      <w:r>
        <w:t xml:space="preserve"/>
      </w:r>
    </w:p>
    <w:p>
      <w:r>
        <w:t xml:space="preserve"/>
      </w:r>
    </w:p>
    <w:p>
      <w:pPr>
        <w:pStyle w:val="Heading1"/>
      </w:pPr>
      <w:r>
        <w:t xml:space="preserve">Part Five: What To Watch</w:t>
      </w:r>
    </w:p>
    <w:p>
      <w:pPr>
        <w:pBdr>
          <w:bottom w:val="single" w:color="CCCCCC" w:sz="4" w:space="1"/>
        </w:pBdr>
      </w:pPr>
      <w:r>
        <w:t xml:space="preserve"/>
      </w:r>
    </w:p>
    <w:p>
      <w:r>
        <w:t xml:space="preserve"/>
      </w:r>
    </w:p>
    <w:p>
      <w:pPr>
        <w:pStyle w:val="ListParagraph"/>
        <w:numPr>
          <w:ilvl w:val="0"/>
          <w:numId w:val="2"/>
        </w:numPr>
      </w:pPr>
      <w:r>
        <w:t xml:space="preserve">COIN Q1 earnings May 7 - revenue guidance and competitive framing on Stripe</w:t>
      </w:r>
    </w:p>
    <w:p>
      <w:pPr>
        <w:pStyle w:val="ListParagraph"/>
        <w:numPr>
          <w:ilvl w:val="0"/>
          <w:numId w:val="2"/>
        </w:numPr>
      </w:pPr>
      <w:r>
        <w:t xml:space="preserve">Tempo blockchain ownership and any separate funding announcements</w:t>
      </w:r>
    </w:p>
    <w:p>
      <w:pPr>
        <w:pStyle w:val="ListParagraph"/>
        <w:numPr>
          <w:ilvl w:val="0"/>
          <w:numId w:val="2"/>
        </w:numPr>
      </w:pPr>
      <w:r>
        <w:t xml:space="preserve">MPP vs x402 standards adoption - which protocol gets which use cases</w:t>
      </w:r>
    </w:p>
    <w:p>
      <w:pPr>
        <w:pStyle w:val="ListParagraph"/>
        <w:numPr>
          <w:ilvl w:val="0"/>
          <w:numId w:val="2"/>
        </w:numPr>
      </w:pPr>
      <w:r>
        <w:t xml:space="preserve">Stripe S-1 filing timing if it materializes in 2026</w:t>
      </w:r>
    </w:p>
    <w:p>
      <w:pPr>
        <w:pStyle w:val="ListParagraph"/>
        <w:numPr>
          <w:ilvl w:val="0"/>
          <w:numId w:val="2"/>
        </w:numPr>
      </w:pPr>
      <w:r>
        <w:t xml:space="preserve">Privy growth metrics as standalone wallet infrastructure layer</w:t>
      </w:r>
    </w:p>
    <w:p>
      <w:pPr>
        <w:pStyle w:val="ListParagraph"/>
        <w:numPr>
          <w:ilvl w:val="0"/>
          <w:numId w:val="2"/>
        </w:numPr>
      </w:pPr>
      <w:r>
        <w:t xml:space="preserve">Bridge stablecoin volume vs Coinbase USDC volume - direct competitive metric</w:t>
      </w:r>
    </w:p>
    <w:p>
      <w:pPr>
        <w:pStyle w:val="ListParagraph"/>
        <w:numPr>
          <w:ilvl w:val="0"/>
          <w:numId w:val="2"/>
        </w:numPr>
      </w:pPr>
      <w:r>
        <w:t xml:space="preserve">Anthropic FIS partnership deployment at BMO and Amalgamated Bank</w:t>
      </w:r>
    </w:p>
    <w:p>
      <w:pPr>
        <w:pStyle w:val="ListParagraph"/>
        <w:numPr>
          <w:ilvl w:val="0"/>
          <w:numId w:val="2"/>
        </w:numPr>
      </w:pPr>
      <w:r>
        <w:t xml:space="preserve">Q2 2026 earnings season - first quarter where AI metered compute revenue shows up in Stripe-customer SaaS reporting</w:t>
      </w:r>
    </w:p>
    <w:p>
      <w:r>
        <w:t xml:space="preserve"/>
      </w:r>
    </w:p>
    <w:p>
      <w:pPr>
        <w:pBdr>
          <w:bottom w:val="single" w:color="CCCCCC" w:sz="4" w:space="1"/>
        </w:pBdr>
      </w:pPr>
      <w:r>
        <w:t xml:space="preserve"/>
      </w:r>
    </w:p>
    <w:p>
      <w:r>
        <w:t xml:space="preserve"/>
      </w:r>
    </w:p>
    <w:p>
      <w:pPr>
        <w:jc w:val="center"/>
      </w:pPr>
      <w:r>
        <w:rPr>
          <w:i/>
          <w:iCs/>
          <w:color w:val="888888"/>
          <w:sz w:val="18"/>
          <w:szCs w:val="18"/>
        </w:rPr>
        <w:t xml:space="preserve">Jake Bishop  |  Independent Macro Research  |  May 7,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11111"/>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527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2026-05-07T20:36:13.339Z</dcterms:created>
  <dcterms:modified xsi:type="dcterms:W3CDTF">2026-05-07T20:36:13.355Z</dcterms:modified>
</cp:coreProperties>
</file>

<file path=docProps/custom.xml><?xml version="1.0" encoding="utf-8"?>
<Properties xmlns="http://schemas.openxmlformats.org/officeDocument/2006/custom-properties" xmlns:vt="http://schemas.openxmlformats.org/officeDocument/2006/docPropsVTypes"/>
</file>