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111111"/>
          <w:sz w:val="52"/>
          <w:szCs w:val="52"/>
        </w:rPr>
        <w:t xml:space="preserve">WHERE THE MONEY IS GOING</w:t>
      </w:r>
    </w:p>
    <w:p>
      <w:pPr>
        <w:jc w:val="center"/>
      </w:pPr>
      <w:r>
        <w:rPr>
          <w:rFonts w:ascii="Arial" w:cs="Arial" w:eastAsia="Arial" w:hAnsi="Arial"/>
          <w:i/>
          <w:iCs/>
          <w:color w:val="444444"/>
          <w:sz w:val="32"/>
          <w:szCs w:val="32"/>
        </w:rPr>
        <w:t xml:space="preserve">A 2026–2028 Investment Thesis</w:t>
      </w:r>
    </w:p>
    <w:p>
      <w:r>
        <w:t xml:space="preserve"/>
      </w:r>
    </w:p>
    <w:p>
      <w:pPr>
        <w:pBdr>
          <w:bottom w:val="single" w:color="1a5276" w:sz="6" w:space="1"/>
        </w:pBdr>
        <w:jc w:val="center"/>
      </w:pPr>
      <w:r>
        <w:t xml:space="preserve"/>
      </w:r>
    </w:p>
    <w:p>
      <w:r>
        <w:t xml:space="preserve"/>
      </w:r>
    </w:p>
    <w:p>
      <w:pPr>
        <w:jc w:val="center"/>
      </w:pPr>
      <w:r>
        <w:rPr>
          <w:rFonts w:ascii="Arial" w:cs="Arial" w:eastAsia="Arial" w:hAnsi="Arial"/>
          <w:b/>
          <w:bCs/>
          <w:sz w:val="28"/>
          <w:szCs w:val="28"/>
        </w:rPr>
        <w:t xml:space="preserve">Jake Bishop</w:t>
      </w:r>
    </w:p>
    <w:p>
      <w:pPr>
        <w:jc w:val="center"/>
      </w:pPr>
      <w:r>
        <w:rPr>
          <w:rFonts w:ascii="Arial" w:cs="Arial" w:eastAsia="Arial" w:hAnsi="Arial"/>
          <w:color w:val="666666"/>
          <w:sz w:val="22"/>
          <w:szCs w:val="22"/>
        </w:rPr>
        <w:t xml:space="preserve">Independent Macro Research  |  May 2026</w:t>
      </w:r>
    </w:p>
    <w:p>
      <w:r>
        <w:t xml:space="preserve"/>
      </w:r>
    </w:p>
    <w:p>
      <w:r>
        <w:t xml:space="preserve"/>
      </w:r>
    </w:p>
    <w:p>
      <w:pPr>
        <w:pBdr>
          <w:top w:val="single" w:color="DDDDDD" w:sz="1"/>
          <w:bottom w:val="single" w:color="DDDDDD" w:sz="1"/>
          <w:left w:val="single" w:color="1a5276" w:sz="12"/>
          <w:right w:val="single" w:color="DDDDDD" w:sz="1"/>
        </w:pBdr>
        <w:shd w:fill="f0f4f8" w:val="clear"/>
      </w:pPr>
      <w:r>
        <w:rPr>
          <w:i/>
          <w:iCs/>
          <w:color w:val="555555"/>
          <w:sz w:val="20"/>
          <w:szCs w:val="20"/>
        </w:rPr>
        <w:t xml:space="preserve">This is not financial advice. It is a framework for thinking about where capital is flowing over the next two to three years, written for a friend who asked how I think about markets. These are my personal views based on public information. Do your own research before investing anything.</w:t>
      </w:r>
    </w:p>
    <w:p>
      <w:r>
        <w:t xml:space="preserve"/>
      </w:r>
    </w:p>
    <w:p>
      <w:r>
        <w:t xml:space="preserve"/>
      </w:r>
    </w:p>
    <w:p>
      <w:pPr>
        <w:pStyle w:val="Heading1"/>
      </w:pPr>
      <w:r>
        <w:t xml:space="preserve">Part One: The Big Picture</w:t>
      </w:r>
    </w:p>
    <w:p>
      <w:pPr>
        <w:pBdr>
          <w:bottom w:val="single" w:color="CCCCCC" w:sz="4" w:space="1"/>
        </w:pBdr>
      </w:pPr>
      <w:r>
        <w:t xml:space="preserve"/>
      </w:r>
    </w:p>
    <w:p>
      <w:r>
        <w:t xml:space="preserve"/>
      </w:r>
    </w:p>
    <w:p>
      <w:pPr>
        <w:pStyle w:val="Heading2"/>
      </w:pPr>
      <w:r>
        <w:t xml:space="preserve">The World Has Two Economies Right Now</w:t>
      </w:r>
    </w:p>
    <w:p>
      <w:r>
        <w:t xml:space="preserve">Most people look at headlines and think the economy is either fine or broken depending on which news channel they watch. The honest answer is it is both, simultaneously, for different people.</w:t>
      </w:r>
    </w:p>
    <w:p>
      <w:r>
        <w:t xml:space="preserve"/>
      </w:r>
    </w:p>
    <w:p>
      <w:r>
        <w:t xml:space="preserve">The top twenty percent of earners own ninety-three percent of all stocks. Their spending on technology, travel, luxury goods and services is what makes GDP look healthy. Their asset values are rising.</w:t>
      </w:r>
    </w:p>
    <w:p>
      <w:r>
        <w:t xml:space="preserve"/>
      </w:r>
    </w:p>
    <w:p>
      <w:r>
        <w:t xml:space="preserve">The bottom eighty percent face effective inflation of five to eight percent on the things they actually buy — groceries, rent, utilities, insurance, gas — while wages grow at one to one-and-a-half percent annually. They are carrying record credit card debt at twenty-eight percent interest rates. For them the recovery never arrived.</w:t>
      </w:r>
    </w:p>
    <w:p>
      <w:r>
        <w:t xml:space="preserve"/>
      </w:r>
    </w:p>
    <w:p>
      <w:r>
        <w:t xml:space="preserve">I call this the Hollow Bottom. It is not a theory. It is arithmetic. And it has real investment implications because it tells you where capital flows and where it does not.</w:t>
      </w:r>
    </w:p>
    <w:p>
      <w:r>
        <w:t xml:space="preserve"/>
      </w:r>
    </w:p>
    <w:p>
      <w:r>
        <w:t xml:space="preserve">The key insight: rate cuts, when they eventually come, will land on the bottom eighty percent as modest relief. But the infrastructure boom being built right now — AI data centers, power generation, defense manufacturing — benefits the top quintile asset holders. The same economic event produces different outcomes depending on which layer of the economy you own.</w:t>
      </w:r>
    </w:p>
    <w:p>
      <w:r>
        <w:t xml:space="preserve"/>
      </w:r>
    </w:p>
    <w:p>
      <w:pPr>
        <w:pStyle w:val="Heading2"/>
      </w:pPr>
      <w:r>
        <w:t xml:space="preserve">The War in the Middle East Changes Everything</w:t>
      </w:r>
    </w:p>
    <w:p>
      <w:r>
        <w:t xml:space="preserve">As of May 2026, the United States and Israel launched military strikes against Iran on February 28. Iran responded by blockading the Strait of Hormuz, which carries twenty percent of the world's oil and gas supply. The U.S. imposed a counter-blockade on Iranian ports.</w:t>
      </w:r>
    </w:p>
    <w:p>
      <w:r>
        <w:t xml:space="preserve"/>
      </w:r>
    </w:p>
    <w:p>
      <w:r>
        <w:t xml:space="preserve">This is not a tariff. It cannot be paused with a social media post. The Strait has been functionally closed for over two months. Oil is at four-year highs. Gas prices jumped thirty-three cents in a single week in early May — the fastest nine-week price surge since the early 1990s.</w:t>
      </w:r>
    </w:p>
    <w:p>
      <w:r>
        <w:t xml:space="preserve"/>
      </w:r>
    </w:p>
    <w:p>
      <w:r>
        <w:t xml:space="preserve">Iran is running out of oil storage. Analysts estimate they have days to weeks of capacity remaining before they must cut production by up to fifty percent. That creates enormous economic pressure on Tehran but it also means the conflict has a self-resolving pressure point that the market has not fully priced.</w:t>
      </w:r>
    </w:p>
    <w:p>
      <w:r>
        <w:t xml:space="preserve"/>
      </w:r>
    </w:p>
    <w:p>
      <w:r>
        <w:t xml:space="preserve">Whether this ends in a deal or escalates further, energy remains the most direct transmission mechanism to the real economy. Every dollar per barrel increase in crude is a tax on the bottom eighty percent. It also makes U.S. domestic energy producers more valuable every day the Strait stays closed.</w:t>
      </w:r>
    </w:p>
    <w:p>
      <w:r>
        <w:t xml:space="preserve"/>
      </w:r>
    </w:p>
    <w:p>
      <w:pPr>
        <w:pStyle w:val="Heading2"/>
      </w:pPr>
      <w:r>
        <w:t xml:space="preserve">AI Is the Biggest Capital Deployment in History</w:t>
      </w:r>
    </w:p>
    <w:p>
      <w:r>
        <w:t xml:space="preserve">The four largest cloud providers — Microsoft, Amazon, Alphabet, and Meta — will collectively spend somewhere between four hundred billion and six hundred billion dollars on AI infrastructure in 2025 and 2026 combined. Goldman Sachs recently warned that this spending will likely exceed one hundred percent of their operating cash flow this year.</w:t>
      </w:r>
    </w:p>
    <w:p>
      <w:r>
        <w:t xml:space="preserve"/>
      </w:r>
    </w:p>
    <w:p>
      <w:r>
        <w:t xml:space="preserve">To put that in context: they are spending more building AI infrastructure than their businesses generate in cash. That has never happened before at this scale.</w:t>
      </w:r>
    </w:p>
    <w:p>
      <w:r>
        <w:t xml:space="preserve"/>
      </w:r>
    </w:p>
    <w:p>
      <w:r>
        <w:t xml:space="preserve">The question is not whether AI is real. It clearly is. The question is who captures the value of that spending. And the answer is not necessarily the companies doing the spending.</w:t>
      </w:r>
    </w:p>
    <w:p>
      <w:r>
        <w:t xml:space="preserve"/>
      </w:r>
    </w:p>
    <w:p>
      <w:r>
        <w:t xml:space="preserve">Think of it like the Gold Rush. The people who got rich were not primarily the gold miners. They were the people selling picks, shovels, jeans, and whiskey to the miners. The companies selling the tools and components that make AI infrastructure possible are collecting the capital expenditure of the largest technology companies in the world, with contracted revenue, regardless of whether any individual AI product succeeds.</w:t>
      </w:r>
    </w:p>
    <w:p>
      <w:r>
        <w:t xml:space="preserve"/>
      </w:r>
    </w:p>
    <w:p>
      <w:r>
        <w:t xml:space="preserve"/>
      </w:r>
    </w:p>
    <w:p>
      <w:pPr>
        <w:pStyle w:val="Heading1"/>
      </w:pPr>
      <w:r>
        <w:t xml:space="preserve">Part Two: The Three Thesis Threads</w:t>
      </w:r>
    </w:p>
    <w:p>
      <w:pPr>
        <w:pBdr>
          <w:bottom w:val="single" w:color="CCCCCC" w:sz="4" w:space="1"/>
        </w:pBdr>
      </w:pPr>
      <w:r>
        <w:t xml:space="preserve"/>
      </w:r>
    </w:p>
    <w:p>
      <w:r>
        <w:t xml:space="preserve"/>
      </w:r>
    </w:p>
    <w:p>
      <w:pPr>
        <w:pStyle w:val="Heading2"/>
      </w:pPr>
      <w:r>
        <w:t xml:space="preserve">Thread One: The Picks and Shovels Cycle</w:t>
      </w:r>
    </w:p>
    <w:p>
      <w:r>
        <w:t xml:space="preserve">The most reliable way to invest in a gold rush is to sell the tools. Right now the tools being sold to the AI gold rush are semiconductor chips, optical networking components, power management systems, cooling infrastructure, and specialized manufacturing capacity.</w:t>
      </w:r>
    </w:p>
    <w:p>
      <w:r>
        <w:t xml:space="preserve"/>
      </w:r>
    </w:p>
    <w:p>
      <w:r>
        <w:t xml:space="preserve">The companies I find most interesting in this category share a few characteristics. They have contracted revenue from multiple hyperscaler customers, meaning their income does not depend on any single AI product succeeding. They have backlogs extending years into the future. And they are often not the obvious names everyone is already talking about.</w:t>
      </w:r>
    </w:p>
    <w:p>
      <w:r>
        <w:t xml:space="preserve"/>
      </w:r>
    </w:p>
    <w:p>
      <w:pPr>
        <w:pStyle w:val="Heading3"/>
      </w:pPr>
      <w:r>
        <w:t xml:space="preserve">Memory: The Overlooked Bottleneck</w:t>
      </w:r>
    </w:p>
    <w:p>
      <w:r>
        <w:t xml:space="preserve">Every AI chip needs high-bandwidth memory to function. The supply of this memory is constrained and sold out through 2026 and committed through 2027. Meta recently had to extend the useful life of their servers because they could not get enough memory chips. Microsoft attributed twenty-five billion dollars of capital expenditure to higher component pricing — most of that is memory.</w:t>
      </w:r>
    </w:p>
    <w:p>
      <w:r>
        <w:t xml:space="preserve"/>
      </w:r>
    </w:p>
    <w:p>
      <w:r>
        <w:t xml:space="preserve">Micron Technology is the primary U.S. producer of this memory. Its forward valuation is among the lowest in the semiconductor space despite being the most directly leveraged to a supply-constrained commodity that every AI data center requires. The market has not fully connected those dots.</w:t>
      </w:r>
    </w:p>
    <w:p>
      <w:r>
        <w:t xml:space="preserve"/>
      </w:r>
    </w:p>
    <w:p>
      <w:pPr>
        <w:pStyle w:val="Heading3"/>
      </w:pPr>
      <w:r>
        <w:t xml:space="preserve">Optical Networking: Moving Data at the Speed of Light</w:t>
      </w:r>
    </w:p>
    <w:p>
      <w:r>
        <w:t xml:space="preserve">As data centers get larger and more powerful, the connections between chips and between servers become a bottleneck. Copper cables cannot carry data fast enough at the speeds AI workloads require over meaningful distances. The solution is optical — laser-based data transmission through fiber.</w:t>
      </w:r>
    </w:p>
    <w:p>
      <w:r>
        <w:t xml:space="preserve"/>
      </w:r>
    </w:p>
    <w:p>
      <w:r>
        <w:t xml:space="preserve">Two companies, Coherent and Lumentum, are the dominant suppliers of these optical components. Coherent reported four times more orders than they can currently ship. Both 2026 and 2027 production are largely already booked. Nvidia invested two billion dollars in each company earlier this year specifically to secure their supply. That is a signal worth paying attention to.</w:t>
      </w:r>
    </w:p>
    <w:p>
      <w:r>
        <w:t xml:space="preserve"/>
      </w:r>
    </w:p>
    <w:p>
      <w:pPr>
        <w:pStyle w:val="Heading3"/>
      </w:pPr>
      <w:r>
        <w:t xml:space="preserve">Power and Cooling: The Physical Constraint Nobody Talks About</w:t>
      </w:r>
    </w:p>
    <w:p>
      <w:r>
        <w:t xml:space="preserve">AI chips generate extraordinary heat and require extraordinary amounts of electricity. A single AI data center can require as much power as a small city. The companies that manage power delivery and thermal systems for these facilities are effectively toll roads — every watt consumed by an AI chip passes through their infrastructure.</w:t>
      </w:r>
    </w:p>
    <w:p>
      <w:r>
        <w:t xml:space="preserve"/>
      </w:r>
    </w:p>
    <w:p>
      <w:r>
        <w:t xml:space="preserve">Vertiv and Eaton are the two dominant players in this space. Both have backlog visibility extending years forward. Both have pricing power because there is no substitute for what they provide. Their revenue is locked by contracts that were signed before the AI buildout fully accelerated, meaning they are delivering on commitments made at prices negotiated before inflation and demand surged.</w:t>
      </w:r>
    </w:p>
    <w:p>
      <w:r>
        <w:t xml:space="preserve"/>
      </w:r>
    </w:p>
    <w:p>
      <w:pPr>
        <w:pStyle w:val="Heading2"/>
      </w:pPr>
      <w:r>
        <w:t xml:space="preserve">Thread Two: Energy as the Binding Constraint</w:t>
      </w:r>
    </w:p>
    <w:p>
      <w:r>
        <w:t xml:space="preserve">Computing power is ultimately limited by energy. You can build as many chips as you want, but if you cannot power them you cannot run them. The AI industry has collectively realized this over the past eighteen months and it is driving a massive wave of long-term power purchase agreements with energy producers.</w:t>
      </w:r>
    </w:p>
    <w:p>
      <w:r>
        <w:t xml:space="preserve"/>
      </w:r>
    </w:p>
    <w:p>
      <w:r>
        <w:t xml:space="preserve">Nuclear energy is the preferred solution for hyperscalers because it provides carbon-free baseload power that runs continuously regardless of weather. Constellation Energy is the largest nuclear fleet operator in the United States and has signed twenty-year power purchase agreements with major technology companies. Those agreements are not cancelable. The revenue is locked regardless of what happens to AI hype cycles or stock markets.</w:t>
      </w:r>
    </w:p>
    <w:p>
      <w:r>
        <w:t xml:space="preserve"/>
      </w:r>
    </w:p>
    <w:p>
      <w:r>
        <w:t xml:space="preserve">General Electric Vernova makes the turbines, generators and grid equipment that connects power generation to the data centers consuming it. Their backlog is measured in years. Every new data center, every new nuclear restart, every new natural gas peaker plant that gets built to support AI infrastructure requires their equipment.</w:t>
      </w:r>
    </w:p>
    <w:p>
      <w:r>
        <w:t xml:space="preserve"/>
      </w:r>
    </w:p>
    <w:p>
      <w:r>
        <w:t xml:space="preserve">The energy constraint is also what makes the Iran conflict directly relevant to technology investors. Every barrel of oil that stays bottled up in the Persian Gulf is upward pressure on energy prices globally, which increases the operating cost of data centers and accelerates the economic case for domestic nuclear and other carbon-free baseload solutions.</w:t>
      </w:r>
    </w:p>
    <w:p>
      <w:r>
        <w:t xml:space="preserve"/>
      </w:r>
    </w:p>
    <w:p>
      <w:pPr>
        <w:pStyle w:val="Heading2"/>
      </w:pPr>
      <w:r>
        <w:t xml:space="preserve">Thread Three: Defense and the Budget Tailwind</w:t>
      </w:r>
    </w:p>
    <w:p>
      <w:r>
        <w:t xml:space="preserve">The 2027 federal budget proposal increases defense spending by four hundred forty billion dollars and Department of Energy nuclear spending by nearly five billion dollars. That is not a rounding error. That is the largest proposed defense expansion in a generation.</w:t>
      </w:r>
    </w:p>
    <w:p>
      <w:r>
        <w:t xml:space="preserve"/>
      </w:r>
    </w:p>
    <w:p>
      <w:r>
        <w:t xml:space="preserve">The beneficiaries are not primarily the traditional defense primes building fighter jets. The most interesting opportunities are in the companies providing technology-enabled defense services, AI-powered logistics and intelligence, and the critical minerals required for next-generation weapons systems.</w:t>
      </w:r>
    </w:p>
    <w:p>
      <w:r>
        <w:t xml:space="preserve"/>
      </w:r>
    </w:p>
    <w:p>
      <w:r>
        <w:t xml:space="preserve">MP Materials controls the only rare earth mining and processing operation at scale in the United States. Apple recently committed five hundred million dollars to purchase U.S.-made rare earth magnets from them. The defense budget expansion requires rare earth elements for missiles, drones, and advanced electronics. MP is the only domestic source at meaningful scale.</w:t>
      </w:r>
    </w:p>
    <w:p>
      <w:r>
        <w:t xml:space="preserve"/>
      </w:r>
    </w:p>
    <w:p>
      <w:r>
        <w:t xml:space="preserve">Palantir builds the AI systems that the U.S. military and intelligence community uses to process information and make decisions. Their government contract base is essentially unassailable given the classified nature of the work. The defense budget expansion is a direct revenue tailwind.</w:t>
      </w:r>
    </w:p>
    <w:p>
      <w:r>
        <w:t xml:space="preserve"/>
      </w:r>
    </w:p>
    <w:p>
      <w:r>
        <w:t xml:space="preserve"/>
      </w:r>
    </w:p>
    <w:p>
      <w:pPr>
        <w:pStyle w:val="Heading1"/>
      </w:pPr>
      <w:r>
        <w:t xml:space="preserve">Part Three: What I Watch For</w:t>
      </w:r>
    </w:p>
    <w:p>
      <w:pPr>
        <w:pBdr>
          <w:bottom w:val="single" w:color="CCCCCC" w:sz="4" w:space="1"/>
        </w:pBdr>
      </w:pPr>
      <w:r>
        <w:t xml:space="preserve"/>
      </w:r>
    </w:p>
    <w:p>
      <w:r>
        <w:t xml:space="preserve"/>
      </w:r>
    </w:p>
    <w:p>
      <w:pPr>
        <w:pStyle w:val="Heading2"/>
      </w:pPr>
      <w:r>
        <w:t xml:space="preserve">The Retail Exit Pattern</w:t>
      </w:r>
    </w:p>
    <w:p>
      <w:r>
        <w:t xml:space="preserve">One of the most reliable signals that a market cycle is approaching its top is when retail investors start getting access to assets that were previously only available to institutions. When your neighbor is talking about investing in an AI startup, when celebrity-endorsed investment funds are marketing on social media, when companies are leasing office space sixty percent larger than their headcount because they expect explosive growth — these are signals that smart money is selling to retail buyers.</w:t>
      </w:r>
    </w:p>
    <w:p>
      <w:r>
        <w:t xml:space="preserve"/>
      </w:r>
    </w:p>
    <w:p>
      <w:r>
        <w:t xml:space="preserve">In early 2026 I identified several of these signals appearing simultaneously: a major hedge fund launching a U.S. retail vehicle after a poor debut performance, venture capital funds marketing to retail investors, rare earth IPOs, AI robotics IPOs. When these signals cluster, history suggests the speculative premium in obvious AI plays starts compressing.</w:t>
      </w:r>
    </w:p>
    <w:p>
      <w:r>
        <w:t xml:space="preserve"/>
      </w:r>
    </w:p>
    <w:p>
      <w:r>
        <w:t xml:space="preserve">This does not mean the underlying technology is failing. It means the easy money has already been made in the obvious names and the next phase of returns will come from less obvious places — the infrastructure layer, the physical enablers, the contracted revenue that does not depend on AI hype sustaining itself.</w:t>
      </w:r>
    </w:p>
    <w:p>
      <w:r>
        <w:t xml:space="preserve"/>
      </w:r>
    </w:p>
    <w:p>
      <w:pPr>
        <w:pStyle w:val="Heading2"/>
      </w:pPr>
      <w:r>
        <w:t xml:space="preserve">The Conversion Ratio</w:t>
      </w:r>
    </w:p>
    <w:p>
      <w:r>
        <w:t xml:space="preserve">The most important question for any company spending heavily on capital investment is whether that spending converts into earnings on schedule. I track this through what I call the conversion ratio — how much incremental earnings are generated per dollar of capital invested, compared to the same company's historical pattern.</w:t>
      </w:r>
    </w:p>
    <w:p>
      <w:r>
        <w:t xml:space="preserve"/>
      </w:r>
    </w:p>
    <w:p>
      <w:r>
        <w:t xml:space="preserve">Right now the major cloud providers are investing at historic rates but converting that investment into earnings more slowly than they did in prior investment cycles. That gap — strong spending, weak conversion — is the setup for multiple compression when the market finally prices the gap rather than the spending.</w:t>
      </w:r>
    </w:p>
    <w:p>
      <w:r>
        <w:t xml:space="preserve"/>
      </w:r>
    </w:p>
    <w:p>
      <w:r>
        <w:t xml:space="preserve">The companies converting most efficiently are the ones I want to own: Nvidia on the chip side, Eli Lilly on the pharmaceutical side, and the physical infrastructure names where contracted backlog means the conversion is already locked in by signed agreements.</w:t>
      </w:r>
    </w:p>
    <w:p>
      <w:r>
        <w:t xml:space="preserve"/>
      </w:r>
    </w:p>
    <w:p>
      <w:pPr>
        <w:pStyle w:val="Heading2"/>
      </w:pPr>
      <w:r>
        <w:t xml:space="preserve">The Stablecoin and Digital Payment Layer</w:t>
      </w:r>
    </w:p>
    <w:p>
      <w:r>
        <w:t xml:space="preserve">This one is less obvious but potentially very significant over the next two to three years. AI agents — software that can take actions autonomously on behalf of humans and businesses — are going to need a way to pay for things. They cannot fill out credit card forms. They need programmable money that can be transferred instantly between machines without human approval for each transaction.</w:t>
      </w:r>
    </w:p>
    <w:p>
      <w:r>
        <w:t xml:space="preserve"/>
      </w:r>
    </w:p>
    <w:p>
      <w:r>
        <w:t xml:space="preserve">The emerging standard for this is stablecoin-based micropayments. A stablecoin is a digital currency pegged to the dollar — one stablecoin equals one dollar, always. It can be transferred in fractions of a cent, instantly, between any two parties with a digital wallet, with no bank in the middle.</w:t>
      </w:r>
    </w:p>
    <w:p>
      <w:r>
        <w:t xml:space="preserve"/>
      </w:r>
    </w:p>
    <w:p>
      <w:r>
        <w:t xml:space="preserve">In May 2026 the U.S. Senate reached a bipartisan deal on stablecoin legislation that preserves the ability of crypto platforms to offer rewards for platform usage. This removes the primary regulatory overhang on the largest U.S. crypto exchange, Coinbase, which processes the majority of stablecoin transactions and is positioned to be the infrastructure layer for the agentic payment economy.</w:t>
      </w:r>
    </w:p>
    <w:p>
      <w:r>
        <w:t xml:space="preserve"/>
      </w:r>
    </w:p>
    <w:p>
      <w:r>
        <w:t xml:space="preserve">McKinsey projects three to five trillion dollars of agent-driven transactions by 2030. Coinbase is the settlement infrastructure those transactions run through. I think most investors have not connected those dots yet.</w:t>
      </w:r>
    </w:p>
    <w:p>
      <w:r>
        <w:t xml:space="preserve"/>
      </w:r>
    </w:p>
    <w:p>
      <w:r>
        <w:t xml:space="preserve"/>
      </w:r>
    </w:p>
    <w:p>
      <w:pPr>
        <w:pStyle w:val="Heading1"/>
      </w:pPr>
      <w:r>
        <w:t xml:space="preserve">Part Four: The Honest Risks</w:t>
      </w:r>
    </w:p>
    <w:p>
      <w:pPr>
        <w:pBdr>
          <w:bottom w:val="single" w:color="CCCCCC" w:sz="4" w:space="1"/>
        </w:pBdr>
      </w:pPr>
      <w:r>
        <w:t xml:space="preserve"/>
      </w:r>
    </w:p>
    <w:p>
      <w:r>
        <w:t xml:space="preserve"/>
      </w:r>
    </w:p>
    <w:p>
      <w:r>
        <w:t xml:space="preserve">No thesis survives contact with reality perfectly. Here is where I think the main risks are.</w:t>
      </w:r>
    </w:p>
    <w:p>
      <w:r>
        <w:t xml:space="preserve"/>
      </w:r>
    </w:p>
    <w:p>
      <w:pPr>
        <w:pStyle w:val="ListParagraph"/>
        <w:numPr>
          <w:ilvl w:val="0"/>
          <w:numId w:val="2"/>
        </w:numPr>
      </w:pPr>
      <w:r>
        <w:t xml:space="preserve">The AI buildout could hit a conversion cliff. If the major cloud providers cannot show that their infrastructure spending is generating revenue on schedule, capital expenditure will decelerate sharply. Companies whose revenue depends on that spending — the picks and shovels names — will feel it fast. This is not my base case but it is the primary risk to monitor through quarterly earnings.</w:t>
      </w:r>
    </w:p>
    <w:p>
      <w:pPr>
        <w:pStyle w:val="ListParagraph"/>
        <w:numPr>
          <w:ilvl w:val="0"/>
          <w:numId w:val="2"/>
        </w:numPr>
      </w:pPr>
      <w:r>
        <w:t xml:space="preserve">The Iran conflict could resolve faster than expected. A deal brokered through China or Pakistan could reopen Hormuz and collapse the energy price premium. My XOM thesis has specific exit conditions: Hormuz verifiably open for thirty or more days, a ceasefire with verified terms, or crude oil below seventy dollars sustained. None of those are close to triggering right now.</w:t>
      </w:r>
    </w:p>
    <w:p>
      <w:pPr>
        <w:pStyle w:val="ListParagraph"/>
        <w:numPr>
          <w:ilvl w:val="0"/>
          <w:numId w:val="2"/>
        </w:numPr>
      </w:pPr>
      <w:r>
        <w:t xml:space="preserve">Regulatory risk on crypto and stablecoins remains. The legislation passed is progress but implementation takes years. Coinbase is a regulated entity in a still-evolving framework.</w:t>
      </w:r>
    </w:p>
    <w:p>
      <w:pPr>
        <w:pStyle w:val="ListParagraph"/>
        <w:numPr>
          <w:ilvl w:val="0"/>
          <w:numId w:val="2"/>
        </w:numPr>
      </w:pPr>
      <w:r>
        <w:t xml:space="preserve">The Hollow Bottom pressure on consumer spending could trigger a credit crisis in regional banking. Commercial real estate delinquencies are at record highs. Consumer credit card delinquencies are rising. If regional banks take significant losses it creates broader economic pressure that affects all risk assets.</w:t>
      </w:r>
    </w:p>
    <w:p>
      <w:pPr>
        <w:pStyle w:val="ListParagraph"/>
        <w:numPr>
          <w:ilvl w:val="0"/>
          <w:numId w:val="2"/>
        </w:numPr>
      </w:pPr>
      <w:r>
        <w:t xml:space="preserve">Mag-7 multiple compression. The largest technology companies trade at elevated valuations that assume continued rapid earnings growth. If conversion ratios deteriorate and Goldman Sachs-style warnings about cash flow become consensus, the multiple these companies trade at could compress significantly, dragging index-level returns even if the underlying infrastructure thesis is correct.</w:t>
      </w:r>
    </w:p>
    <w:p>
      <w:r>
        <w:t xml:space="preserve"/>
      </w:r>
    </w:p>
    <w:p>
      <w:r>
        <w:t xml:space="preserve"/>
      </w:r>
    </w:p>
    <w:p>
      <w:pPr>
        <w:pStyle w:val="Heading1"/>
      </w:pPr>
      <w:r>
        <w:t xml:space="preserve">Part Five: How I Think About This</w:t>
      </w:r>
    </w:p>
    <w:p>
      <w:pPr>
        <w:pBdr>
          <w:bottom w:val="single" w:color="CCCCCC" w:sz="4" w:space="1"/>
        </w:pBdr>
      </w:pPr>
      <w:r>
        <w:t xml:space="preserve"/>
      </w:r>
    </w:p>
    <w:p>
      <w:r>
        <w:t xml:space="preserve"/>
      </w:r>
    </w:p>
    <w:p>
      <w:r>
        <w:t xml:space="preserve">I am not a trader. I do not try to time markets or pick exact entry and exit points based on price movements. I build a framework for understanding where capital is going, identify the companies best positioned to capture that capital, and accumulate positions systematically through automatic monthly purchases that average my cost over time.</w:t>
      </w:r>
    </w:p>
    <w:p>
      <w:r>
        <w:t xml:space="preserve"/>
      </w:r>
    </w:p>
    <w:p>
      <w:r>
        <w:t xml:space="preserve">The framework has four operating mechanisms running simultaneously.</w:t>
      </w:r>
    </w:p>
    <w:p>
      <w:r>
        <w:t xml:space="preserve"/>
      </w:r>
    </w:p>
    <w:p>
      <w:pPr>
        <w:pStyle w:val="ListParagraph"/>
        <w:numPr>
          <w:ilvl w:val="0"/>
          <w:numId w:val="2"/>
        </w:numPr>
      </w:pPr>
      <w:r>
        <w:t xml:space="preserve">Locked revenue — companies with signed contracts, long-term power purchase agreements, fixed-price backlogs, and committed customer spending that does not depend on market sentiment. These positions I do not sell on price weakness. I follow the thesis not the price.</w:t>
      </w:r>
    </w:p>
    <w:p>
      <w:pPr>
        <w:pStyle w:val="ListParagraph"/>
        <w:numPr>
          <w:ilvl w:val="0"/>
          <w:numId w:val="2"/>
        </w:numPr>
      </w:pPr>
      <w:r>
        <w:t xml:space="preserve">Earnings re-evaluation — companies where the thesis is strong but execution needs to be confirmed each quarter. I watch their conversion ratios and adjust if the data changes.</w:t>
      </w:r>
    </w:p>
    <w:p>
      <w:pPr>
        <w:pStyle w:val="ListParagraph"/>
        <w:numPr>
          <w:ilvl w:val="0"/>
          <w:numId w:val="2"/>
        </w:numPr>
      </w:pPr>
      <w:r>
        <w:t xml:space="preserve">Speculative optionality — smaller positions in early-stage companies where the upside is large if the thesis is right but position sizing reflects the uncertainty.</w:t>
      </w:r>
    </w:p>
    <w:p>
      <w:pPr>
        <w:pStyle w:val="ListParagraph"/>
        <w:numPr>
          <w:ilvl w:val="0"/>
          <w:numId w:val="2"/>
        </w:numPr>
      </w:pPr>
      <w:r>
        <w:t xml:space="preserve">Tactical watchlist — companies I want to own but am waiting for a better price, often triggered by a market-wide selloff that creates entry points in fundamentally strong businesses.</w:t>
      </w:r>
    </w:p>
    <w:p>
      <w:r>
        <w:t xml:space="preserve"/>
      </w:r>
    </w:p>
    <w:p>
      <w:r>
        <w:t xml:space="preserve">The most important principle I follow is that exits should be based on thesis conditions, not price movements. I learned this the hard way. A stop-loss that triggers on a false headline turns a long-term thesis into a day trade of your own conviction. Define the conditions under which the thesis is wrong, and only exit when those conditions are actually met.</w:t>
      </w:r>
    </w:p>
    <w:p>
      <w:r>
        <w:t xml:space="preserve"/>
      </w:r>
    </w:p>
    <w:p>
      <w:r>
        <w:t xml:space="preserve">The second most important principle: own something. The era of labor as the primary path to wealth is over for most people. Automation and globalization have permanently shifted the production function toward capital. The returns from the AI infrastructure buildout will accrue to the owners of that infrastructure, not primarily to the workers it will eventually replace. This is not a political statement. It is the current production function accurately described. Participate in the ownership layer or accept that wages will compress toward subsistence over time.</w:t>
      </w:r>
    </w:p>
    <w:p>
      <w:r>
        <w:t xml:space="preserve"/>
      </w:r>
    </w:p>
    <w:p>
      <w:r>
        <w:t xml:space="preserve"/>
      </w:r>
    </w:p>
    <w:p>
      <w:pPr>
        <w:pStyle w:val="Heading1"/>
      </w:pPr>
      <w:r>
        <w:t xml:space="preserve">One Last Thing</w:t>
      </w:r>
    </w:p>
    <w:p>
      <w:pPr>
        <w:pBdr>
          <w:bottom w:val="single" w:color="CCCCCC" w:sz="4" w:space="1"/>
        </w:pBdr>
      </w:pPr>
      <w:r>
        <w:t xml:space="preserve"/>
      </w:r>
    </w:p>
    <w:p>
      <w:r>
        <w:t xml:space="preserve"/>
      </w:r>
    </w:p>
    <w:p>
      <w:r>
        <w:t xml:space="preserve">Everything in this document is a framework, not a guarantee. Markets are humbling. People who sound certain are either selling something or haven't been doing this long enough. The best you can do is understand the mechanisms, size positions to the conviction level you actually have, and remain willing to update when the facts change.</w:t>
      </w:r>
    </w:p>
    <w:p>
      <w:r>
        <w:t xml:space="preserve"/>
      </w:r>
    </w:p>
    <w:p>
      <w:r>
        <w:t xml:space="preserve">The facts right now point to a world where AI infrastructure is real and being built at unprecedented scale, energy is the binding constraint on that buildout, the companies with contracted revenue from that buildout are better positioned than the companies spending the money, a war in the Middle East has made energy the most directly relevant geopolitical variable for domestic investors in a generation, and the bottom eighty percent of American households are under financial stress that will eventually force a political and economic reckoning.</w:t>
      </w:r>
    </w:p>
    <w:p>
      <w:r>
        <w:t xml:space="preserve"/>
      </w:r>
    </w:p>
    <w:p>
      <w:r>
        <w:t xml:space="preserve">None of that is priced perfectly by the market. That is where the opportunity lives.</w:t>
      </w:r>
    </w:p>
    <w:p>
      <w:r>
        <w:t xml:space="preserve"/>
      </w:r>
    </w:p>
    <w:p>
      <w:r>
        <w:t xml:space="preserve"/>
      </w:r>
    </w:p>
    <w:p>
      <w:pPr>
        <w:pBdr>
          <w:bottom w:val="single" w:color="CCCCCC" w:sz="4" w:space="1"/>
        </w:pBdr>
      </w:pPr>
      <w:r>
        <w:t xml:space="preserve"/>
      </w:r>
    </w:p>
    <w:p>
      <w:r>
        <w:t xml:space="preserve"/>
      </w:r>
    </w:p>
    <w:p>
      <w:pPr>
        <w:jc w:val="center"/>
      </w:pPr>
      <w:r>
        <w:rPr>
          <w:i/>
          <w:iCs/>
          <w:color w:val="888888"/>
          <w:sz w:val="20"/>
          <w:szCs w:val="20"/>
        </w:rPr>
        <w:t xml:space="preserve">Jake Bishop  |  Independent Macro Research  |  May 2026</w:t>
      </w:r>
    </w:p>
    <w:p>
      <w:pPr>
        <w:jc w:val="center"/>
      </w:pPr>
      <w:r>
        <w:rPr>
          <w:i/>
          <w:iCs/>
          <w:color w:val="aaaaaa"/>
          <w:sz w:val="18"/>
          <w:szCs w:val="18"/>
        </w:rPr>
        <w:t xml:space="preserve">This document is for informational purposes only and does not constitute investment advice.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111"/>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a527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2026-05-06T01:53:46.467Z</dcterms:created>
  <dcterms:modified xsi:type="dcterms:W3CDTF">2026-05-06T01:53:46.483Z</dcterms:modified>
</cp:coreProperties>
</file>

<file path=docProps/custom.xml><?xml version="1.0" encoding="utf-8"?>
<Properties xmlns="http://schemas.openxmlformats.org/officeDocument/2006/custom-properties" xmlns:vt="http://schemas.openxmlformats.org/officeDocument/2006/docPropsVTypes"/>
</file>