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Arial" w:cs="Arial" w:eastAsia="Arial" w:hAnsi="Arial"/>
          <w:b/>
          <w:bCs/>
          <w:color w:val="1F4E79"/>
          <w:sz w:val="44"/>
          <w:szCs w:val="44"/>
        </w:rPr>
        <w:t xml:space="preserve">x402 Agent-to-Agent Payments,</w:t>
      </w:r>
    </w:p>
    <w:p>
      <w:pPr>
        <w:spacing w:after="120" w:before="0"/>
        <w:jc w:val="center"/>
      </w:pPr>
      <w:r>
        <w:rPr>
          <w:rFonts w:ascii="Arial" w:cs="Arial" w:eastAsia="Arial" w:hAnsi="Arial"/>
          <w:b/>
          <w:bCs/>
          <w:color w:val="1F4E79"/>
          <w:sz w:val="44"/>
          <w:szCs w:val="44"/>
        </w:rPr>
        <w:t xml:space="preserve">AI Adoption &amp; Metered Compute</w:t>
      </w:r>
    </w:p>
    <w:p>
      <w:pPr>
        <w:spacing w:after="60" w:before="60"/>
        <w:jc w:val="center"/>
      </w:pPr>
      <w:r>
        <w:rPr>
          <w:rFonts w:ascii="Arial" w:cs="Arial" w:eastAsia="Arial" w:hAnsi="Arial"/>
          <w:i/>
          <w:iCs/>
          <w:color w:val="666666"/>
          <w:sz w:val="24"/>
          <w:szCs w:val="24"/>
        </w:rPr>
        <w:t xml:space="preserve">Updated Report — April 2026</w:t>
      </w:r>
    </w:p>
    <w:p>
      <w:pPr>
        <w:spacing w:after="360" w:before="60"/>
        <w:jc w:val="center"/>
      </w:pPr>
      <w:r>
        <w:rPr>
          <w:rFonts w:ascii="Arial" w:cs="Arial" w:eastAsia="Arial" w:hAnsi="Arial"/>
          <w:color w:val="666666"/>
          <w:sz w:val="22"/>
          <w:szCs w:val="22"/>
        </w:rPr>
        <w:t xml:space="preserve">Jake Bishop | Independent Macro Research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20"/>
              <w:left w:type="dxa" w:w="160"/>
              <w:bottom w:type="dxa" w:w="120"/>
              <w:right w:type="dxa" w:w="160"/>
            </w:tcMar>
          </w:tcPr>
          <w:p>
            <w:r>
              <w:rPr>
                <w:rFonts w:ascii="Arial" w:cs="Arial" w:eastAsia="Arial" w:hAnsi="Arial"/>
                <w:b/>
                <w:bCs/>
                <w:i/>
                <w:iCs/>
                <w:sz w:val="22"/>
                <w:szCs w:val="22"/>
              </w:rPr>
              <w:t xml:space="preserve">🆕 April 2026 Update: This report has been updated to incorporate live market confirmations of the metered compute thesis, including WSJ coverage of the AI compute crunch, xAI Grok Build credits system, Anthropic revenue acceleration to $30B ARR, OpenAI API token velocity data, and industry convergence on token-credit monetization architecture.</w:t>
            </w:r>
          </w:p>
        </w:tc>
      </w:tr>
    </w:tbl>
    <w:p>
      <w:pPr>
        <w:spacing w:after="60" w:before="60"/>
      </w:pPr>
    </w:p>
    <w:p>
      <w:pPr>
        <w:pStyle w:val="Heading1"/>
        <w:spacing w:after="180" w:before="360"/>
      </w:pPr>
      <w:r>
        <w:rPr>
          <w:rFonts w:ascii="Arial" w:cs="Arial" w:eastAsia="Arial" w:hAnsi="Arial"/>
          <w:b/>
          <w:bCs/>
          <w:sz w:val="32"/>
          <w:szCs w:val="32"/>
        </w:rPr>
        <w:t xml:space="preserve">1. Current State of the x402 Protocol (as of March 28, 2026)</w:t>
      </w:r>
    </w:p>
    <w:p>
      <w:pPr>
        <w:pStyle w:val="Heading2"/>
        <w:spacing w:after="120" w:before="240"/>
      </w:pPr>
      <w:r>
        <w:rPr>
          <w:rFonts w:ascii="Arial" w:cs="Arial" w:eastAsia="Arial" w:hAnsi="Arial"/>
          <w:b/>
          <w:bCs/>
          <w:color w:val="1F4E79"/>
          <w:sz w:val="26"/>
          <w:szCs w:val="26"/>
        </w:rPr>
        <w:t xml:space="preserve">Background and Purpose</w:t>
      </w:r>
    </w:p>
    <w:p>
      <w:pPr>
        <w:spacing w:after="100" w:before="100"/>
      </w:pPr>
      <w:r>
        <w:rPr>
          <w:rFonts w:ascii="Arial" w:cs="Arial" w:eastAsia="Arial" w:hAnsi="Arial"/>
          <w:sz w:val="22"/>
          <w:szCs w:val="22"/>
        </w:rPr>
        <w:t xml:space="preserve">x402 is an open payment standard that revives the unused HTTP 402 status code ("Payment Required") and attaches machine-readable payment terms — amount, currency, address, network, nonce — to a normal HTTP response. An AI agent (client) requests a resource; the server responds with a 402 header specifying price and payment details. The client pays with a signed stablecoin transaction via a facilitator (Coinbase, PayAI or another service) and the server verifies payment before delivering the response. By using stablecoins (e.g., USDC) and blockchain settlement, x402 enables instant micro-payments without accounts or API keys. The protocol is blockchain-agnostic; V2 supports multi-chain settlement and session tokens.</w:t>
      </w:r>
    </w:p>
    <w:p>
      <w:pPr>
        <w:spacing w:after="60" w:before="60"/>
      </w:pPr>
    </w:p>
    <w:p>
      <w:pPr>
        <w:pStyle w:val="Heading2"/>
        <w:spacing w:after="120" w:before="240"/>
      </w:pPr>
      <w:r>
        <w:rPr>
          <w:rFonts w:ascii="Arial" w:cs="Arial" w:eastAsia="Arial" w:hAnsi="Arial"/>
          <w:b/>
          <w:bCs/>
          <w:color w:val="1F4E79"/>
          <w:sz w:val="26"/>
          <w:szCs w:val="26"/>
        </w:rPr>
        <w:t xml:space="preserve">Adoption Metrics</w:t>
      </w:r>
    </w:p>
    <w:p>
      <w:pPr>
        <w:pStyle w:val="ListParagraph"/>
        <w:numPr>
          <w:ilvl w:val="0"/>
          <w:numId w:val="2"/>
        </w:numPr>
        <w:spacing w:after="60" w:before="60"/>
      </w:pPr>
      <w:r>
        <w:rPr>
          <w:rFonts w:ascii="Arial" w:cs="Arial" w:eastAsia="Arial" w:hAnsi="Arial"/>
          <w:sz w:val="22"/>
          <w:szCs w:val="22"/>
        </w:rPr>
        <w:t xml:space="preserve">Since launch in May 2025, x402 has processed tens of millions of payments</w:t>
      </w:r>
    </w:p>
    <w:p>
      <w:pPr>
        <w:pStyle w:val="ListParagraph"/>
        <w:numPr>
          <w:ilvl w:val="0"/>
          <w:numId w:val="2"/>
        </w:numPr>
        <w:spacing w:after="60" w:before="60"/>
      </w:pPr>
      <w:r>
        <w:rPr>
          <w:rFonts w:ascii="Arial" w:cs="Arial" w:eastAsia="Arial" w:hAnsi="Arial"/>
          <w:sz w:val="22"/>
          <w:szCs w:val="22"/>
        </w:rPr>
        <w:t xml:space="preserve">35 million transactions on Solana alone with annualized volume ~$600M</w:t>
      </w:r>
    </w:p>
    <w:p>
      <w:pPr>
        <w:pStyle w:val="ListParagraph"/>
        <w:numPr>
          <w:ilvl w:val="0"/>
          <w:numId w:val="2"/>
        </w:numPr>
        <w:spacing w:after="60" w:before="60"/>
      </w:pPr>
      <w:r>
        <w:rPr>
          <w:rFonts w:ascii="Arial" w:cs="Arial" w:eastAsia="Arial" w:hAnsi="Arial"/>
          <w:sz w:val="22"/>
          <w:szCs w:val="22"/>
        </w:rPr>
        <w:t xml:space="preserve">Late 2025 daily transactions averaged ~280,000 with volume ~$246,000 — double the prior month</w:t>
      </w:r>
    </w:p>
    <w:p>
      <w:pPr>
        <w:pStyle w:val="ListParagraph"/>
        <w:numPr>
          <w:ilvl w:val="0"/>
          <w:numId w:val="2"/>
        </w:numPr>
        <w:spacing w:after="60" w:before="60"/>
      </w:pPr>
      <w:r>
        <w:rPr>
          <w:rFonts w:ascii="Arial" w:cs="Arial" w:eastAsia="Arial" w:hAnsi="Arial"/>
          <w:sz w:val="22"/>
          <w:szCs w:val="22"/>
        </w:rPr>
        <w:t xml:space="preserve">Cumulative x402 transaction volume exceeding $10M across chains; 15 million transactions in a 30-day window</w:t>
      </w:r>
    </w:p>
    <w:p>
      <w:pPr>
        <w:pStyle w:val="ListParagraph"/>
        <w:numPr>
          <w:ilvl w:val="0"/>
          <w:numId w:val="2"/>
        </w:numPr>
        <w:spacing w:after="60" w:before="60"/>
      </w:pPr>
      <w:r>
        <w:rPr>
          <w:rFonts w:ascii="Arial" w:cs="Arial" w:eastAsia="Arial" w:hAnsi="Arial"/>
          <w:sz w:val="22"/>
          <w:szCs w:val="22"/>
        </w:rPr>
        <w:t xml:space="preserve">x402 ecosystem market capitalisation crossed $928M by November 2025 and continues to grow</w:t>
      </w:r>
    </w:p>
    <w:p>
      <w:pPr>
        <w:spacing w:after="60" w:before="60"/>
      </w:pPr>
    </w:p>
    <w:p>
      <w:pPr>
        <w:pStyle w:val="Heading2"/>
        <w:spacing w:after="120" w:before="240"/>
      </w:pPr>
      <w:r>
        <w:rPr>
          <w:rFonts w:ascii="Arial" w:cs="Arial" w:eastAsia="Arial" w:hAnsi="Arial"/>
          <w:b/>
          <w:bCs/>
          <w:color w:val="1F4E79"/>
          <w:sz w:val="26"/>
          <w:szCs w:val="26"/>
        </w:rPr>
        <w:t xml:space="preserve">Architecture and Advantages</w:t>
      </w:r>
    </w:p>
    <w:p>
      <w:pPr>
        <w:pStyle w:val="ListParagraph"/>
        <w:numPr>
          <w:ilvl w:val="0"/>
          <w:numId w:val="2"/>
        </w:numPr>
        <w:spacing w:after="60" w:before="60"/>
      </w:pPr>
      <w:r>
        <w:rPr>
          <w:rFonts w:ascii="Arial" w:cs="Arial" w:eastAsia="Arial" w:hAnsi="Arial"/>
          <w:sz w:val="22"/>
          <w:szCs w:val="22"/>
        </w:rPr>
        <w:t xml:space="preserve">Transactions settle within seconds at fractions of a cent using stablecoins on Base and Solana</w:t>
      </w:r>
    </w:p>
    <w:p>
      <w:pPr>
        <w:pStyle w:val="ListParagraph"/>
        <w:numPr>
          <w:ilvl w:val="0"/>
          <w:numId w:val="2"/>
        </w:numPr>
        <w:spacing w:after="60" w:before="60"/>
      </w:pPr>
      <w:r>
        <w:rPr>
          <w:rFonts w:ascii="Arial" w:cs="Arial" w:eastAsia="Arial" w:hAnsi="Arial"/>
          <w:sz w:val="22"/>
          <w:szCs w:val="22"/>
        </w:rPr>
        <w:t xml:space="preserve">Facilitators abstract wallet management, gas fees and cross-chain routing via simple HTTP responses and SDK calls</w:t>
      </w:r>
    </w:p>
    <w:p>
      <w:pPr>
        <w:pStyle w:val="ListParagraph"/>
        <w:numPr>
          <w:ilvl w:val="0"/>
          <w:numId w:val="2"/>
        </w:numPr>
        <w:spacing w:after="60" w:before="60"/>
      </w:pPr>
      <w:r>
        <w:rPr>
          <w:rFonts w:ascii="Arial" w:cs="Arial" w:eastAsia="Arial" w:hAnsi="Arial"/>
          <w:sz w:val="22"/>
          <w:szCs w:val="22"/>
        </w:rPr>
        <w:t xml:space="preserve">V2 introduces reusable sessions, standardized headers and chain-agnostic support</w:t>
      </w:r>
    </w:p>
    <w:p>
      <w:pPr>
        <w:pStyle w:val="ListParagraph"/>
        <w:numPr>
          <w:ilvl w:val="0"/>
          <w:numId w:val="2"/>
        </w:numPr>
        <w:spacing w:after="60" w:before="60"/>
      </w:pPr>
      <w:r>
        <w:rPr>
          <w:rFonts w:ascii="Arial" w:cs="Arial" w:eastAsia="Arial" w:hAnsi="Arial"/>
          <w:sz w:val="22"/>
          <w:szCs w:val="22"/>
        </w:rPr>
        <w:t xml:space="preserve">Major backers include Coinbase, Cloudflare, Google, Visa and AWS</w:t>
      </w:r>
    </w:p>
    <w:p>
      <w:pPr>
        <w:spacing w:after="60" w:before="60"/>
      </w:pPr>
    </w:p>
    <w:p>
      <w:pPr>
        <w:pStyle w:val="Heading2"/>
        <w:spacing w:after="120" w:before="240"/>
      </w:pPr>
      <w:r>
        <w:rPr>
          <w:rFonts w:ascii="Arial" w:cs="Arial" w:eastAsia="Arial" w:hAnsi="Arial"/>
          <w:b/>
          <w:bCs/>
          <w:color w:val="1F4E79"/>
          <w:sz w:val="26"/>
          <w:szCs w:val="26"/>
        </w:rPr>
        <w:t xml:space="preserve">Use Cases</w:t>
      </w:r>
    </w:p>
    <w:p>
      <w:pPr>
        <w:pStyle w:val="ListParagraph"/>
        <w:numPr>
          <w:ilvl w:val="0"/>
          <w:numId w:val="2"/>
        </w:numPr>
        <w:spacing w:after="60" w:before="60"/>
      </w:pPr>
      <w:r>
        <w:rPr>
          <w:rFonts w:ascii="Arial" w:cs="Arial" w:eastAsia="Arial" w:hAnsi="Arial"/>
          <w:sz w:val="22"/>
          <w:szCs w:val="22"/>
        </w:rPr>
        <w:t xml:space="preserve">Cloudflare's pay-per-crawl service and Nous Research's pay-per-inference model access</w:t>
      </w:r>
    </w:p>
    <w:p>
      <w:pPr>
        <w:pStyle w:val="ListParagraph"/>
        <w:numPr>
          <w:ilvl w:val="0"/>
          <w:numId w:val="2"/>
        </w:numPr>
        <w:spacing w:after="60" w:before="60"/>
      </w:pPr>
      <w:r>
        <w:rPr>
          <w:rFonts w:ascii="Arial" w:cs="Arial" w:eastAsia="Arial" w:hAnsi="Arial"/>
          <w:sz w:val="22"/>
          <w:szCs w:val="22"/>
        </w:rPr>
        <w:t xml:space="preserve">RelAI's Metered API: developers deposit USDC, set spending limits, proxy automatically pays x402 invoices per API call</w:t>
      </w:r>
    </w:p>
    <w:p>
      <w:pPr>
        <w:pStyle w:val="ListParagraph"/>
        <w:numPr>
          <w:ilvl w:val="0"/>
          <w:numId w:val="2"/>
        </w:numPr>
        <w:spacing w:after="60" w:before="60"/>
      </w:pPr>
      <w:r>
        <w:rPr>
          <w:rFonts w:ascii="Arial" w:cs="Arial" w:eastAsia="Arial" w:hAnsi="Arial"/>
          <w:sz w:val="22"/>
          <w:szCs w:val="22"/>
        </w:rPr>
        <w:t xml:space="preserve">Robots and edge devices paying for map data or maintenance in real time</w:t>
      </w:r>
    </w:p>
    <w:p>
      <w:pPr>
        <w:pStyle w:val="ListParagraph"/>
        <w:numPr>
          <w:ilvl w:val="0"/>
          <w:numId w:val="2"/>
        </w:numPr>
        <w:spacing w:after="60" w:before="60"/>
      </w:pPr>
      <w:r>
        <w:rPr>
          <w:rFonts w:ascii="Arial" w:cs="Arial" w:eastAsia="Arial" w:hAnsi="Arial"/>
          <w:sz w:val="22"/>
          <w:szCs w:val="22"/>
        </w:rPr>
        <w:t xml:space="preserve">Pay-per-query APIs, content creator tipping, on-demand compute, IPFS uploads, micro-subscriptions</w:t>
      </w:r>
    </w:p>
    <w:p>
      <w:pPr>
        <w:spacing w:after="60" w:before="60"/>
      </w:pPr>
    </w:p>
    <w:p>
      <w:pPr>
        <w:pStyle w:val="Heading2"/>
        <w:spacing w:after="120" w:before="240"/>
      </w:pPr>
      <w:r>
        <w:rPr>
          <w:rFonts w:ascii="Arial" w:cs="Arial" w:eastAsia="Arial" w:hAnsi="Arial"/>
          <w:b/>
          <w:bCs/>
          <w:color w:val="1F4E79"/>
          <w:sz w:val="26"/>
          <w:szCs w:val="26"/>
        </w:rPr>
        <w:t xml:space="preserve">Challenges and Roadmap</w:t>
      </w:r>
    </w:p>
    <w:p>
      <w:pPr>
        <w:pStyle w:val="ListParagraph"/>
        <w:numPr>
          <w:ilvl w:val="0"/>
          <w:numId w:val="2"/>
        </w:numPr>
        <w:spacing w:after="60" w:before="60"/>
      </w:pPr>
      <w:r>
        <w:rPr>
          <w:rFonts w:ascii="Arial" w:cs="Arial" w:eastAsia="Arial" w:hAnsi="Arial"/>
          <w:sz w:val="22"/>
          <w:szCs w:val="22"/>
        </w:rPr>
        <w:t xml:space="preserve">~93% of x402 activity occurs on Base — centralization and regulatory concentration risk</w:t>
      </w:r>
    </w:p>
    <w:p>
      <w:pPr>
        <w:pStyle w:val="ListParagraph"/>
        <w:numPr>
          <w:ilvl w:val="0"/>
          <w:numId w:val="2"/>
        </w:numPr>
        <w:spacing w:after="60" w:before="60"/>
      </w:pPr>
      <w:r>
        <w:rPr>
          <w:rFonts w:ascii="Arial" w:cs="Arial" w:eastAsia="Arial" w:hAnsi="Arial"/>
          <w:sz w:val="22"/>
          <w:szCs w:val="22"/>
        </w:rPr>
        <w:t xml:space="preserve">Small-cap token prices are volatile; regulators drafting AI/crypto frameworks</w:t>
      </w:r>
    </w:p>
    <w:p>
      <w:pPr>
        <w:pStyle w:val="ListParagraph"/>
        <w:numPr>
          <w:ilvl w:val="0"/>
          <w:numId w:val="2"/>
        </w:numPr>
        <w:spacing w:after="60" w:before="60"/>
      </w:pPr>
      <w:r>
        <w:rPr>
          <w:rFonts w:ascii="Arial" w:cs="Arial" w:eastAsia="Arial" w:hAnsi="Arial"/>
          <w:sz w:val="22"/>
          <w:szCs w:val="22"/>
        </w:rPr>
        <w:t xml:space="preserve">2026 roadmap: multi-chain facilitators, decentralized governance, privacy features, arbitration systems</w:t>
      </w:r>
    </w:p>
    <w:p>
      <w:pPr>
        <w:spacing w:after="60" w:before="60"/>
      </w:pPr>
    </w:p>
    <w:p>
      <w:pPr>
        <w:pStyle w:val="Heading1"/>
        <w:spacing w:after="180" w:before="360"/>
      </w:pPr>
      <w:r>
        <w:rPr>
          <w:rFonts w:ascii="Arial" w:cs="Arial" w:eastAsia="Arial" w:hAnsi="Arial"/>
          <w:b/>
          <w:bCs/>
          <w:sz w:val="32"/>
          <w:szCs w:val="32"/>
        </w:rPr>
        <w:t xml:space="preserve">2. Enterprise AI Adoption &amp; Metered Compute (Updated April 2026)</w:t>
      </w:r>
    </w:p>
    <w:p>
      <w:pPr>
        <w:pStyle w:val="Heading2"/>
        <w:spacing w:after="120" w:before="240"/>
      </w:pPr>
      <w:r>
        <w:rPr>
          <w:rFonts w:ascii="Arial" w:cs="Arial" w:eastAsia="Arial" w:hAnsi="Arial"/>
          <w:b/>
          <w:bCs/>
          <w:color w:val="1F4E79"/>
          <w:sz w:val="26"/>
          <w:szCs w:val="26"/>
        </w:rPr>
        <w:t xml:space="preserve">Rapid Adoption and Scaling</w:t>
      </w:r>
    </w:p>
    <w:p>
      <w:pPr>
        <w:pStyle w:val="ListParagraph"/>
        <w:numPr>
          <w:ilvl w:val="0"/>
          <w:numId w:val="2"/>
        </w:numPr>
        <w:spacing w:after="60" w:before="60"/>
      </w:pPr>
      <w:r>
        <w:rPr>
          <w:rFonts w:ascii="Arial" w:cs="Arial" w:eastAsia="Arial" w:hAnsi="Arial"/>
          <w:sz w:val="22"/>
          <w:szCs w:val="22"/>
        </w:rPr>
        <w:t xml:space="preserve">88% of organizations use AI in at least one business function; 79% have adopted AI agents (late 2025 surveys)</w:t>
      </w:r>
    </w:p>
    <w:p>
      <w:pPr>
        <w:pStyle w:val="ListParagraph"/>
        <w:numPr>
          <w:ilvl w:val="0"/>
          <w:numId w:val="2"/>
        </w:numPr>
        <w:spacing w:after="60" w:before="60"/>
      </w:pPr>
      <w:r>
        <w:rPr>
          <w:rFonts w:ascii="Arial" w:cs="Arial" w:eastAsia="Arial" w:hAnsi="Arial"/>
          <w:sz w:val="22"/>
          <w:szCs w:val="22"/>
        </w:rPr>
        <w:t xml:space="preserve">Gartner projects 40% of enterprise applications will embed task-specific AI agents by 2026</w:t>
      </w:r>
    </w:p>
    <w:p>
      <w:pPr>
        <w:pStyle w:val="ListParagraph"/>
        <w:numPr>
          <w:ilvl w:val="0"/>
          <w:numId w:val="2"/>
        </w:numPr>
        <w:spacing w:after="60" w:before="60"/>
      </w:pPr>
      <w:r>
        <w:rPr>
          <w:rFonts w:ascii="Arial" w:cs="Arial" w:eastAsia="Arial" w:hAnsi="Arial"/>
          <w:sz w:val="22"/>
          <w:szCs w:val="22"/>
        </w:rPr>
        <w:t xml:space="preserve">72% of Global 2000 companies have moved from pilot to operational AI-agent deployments by March 2026</w:t>
      </w:r>
    </w:p>
    <w:p>
      <w:pPr>
        <w:pStyle w:val="ListParagraph"/>
        <w:numPr>
          <w:ilvl w:val="0"/>
          <w:numId w:val="2"/>
        </w:numPr>
        <w:spacing w:after="60" w:before="60"/>
      </w:pPr>
      <w:r>
        <w:rPr>
          <w:rFonts w:ascii="Arial" w:cs="Arial" w:eastAsia="Arial" w:hAnsi="Arial"/>
          <w:sz w:val="22"/>
          <w:szCs w:val="22"/>
        </w:rPr>
        <w:t xml:space="preserve">66% of companies using AI agents see productivity gains; 57% report cost savings</w:t>
      </w:r>
    </w:p>
    <w:p>
      <w:pPr>
        <w:spacing w:after="60" w:before="60"/>
      </w:pPr>
    </w:p>
    <w:p>
      <w:pPr>
        <w:pStyle w:val="Heading2"/>
        <w:spacing w:after="120" w:before="240"/>
      </w:pPr>
      <w:r>
        <w:rPr>
          <w:rFonts w:ascii="Arial" w:cs="Arial" w:eastAsia="Arial" w:hAnsi="Arial"/>
          <w:b/>
          <w:bCs/>
          <w:color w:val="1F4E79"/>
          <w:sz w:val="26"/>
          <w:szCs w:val="26"/>
        </w:rPr>
        <w:t xml:space="preserve">Metered AI as a Utility — Now Industry Standard</w:t>
      </w:r>
    </w:p>
    <w:p>
      <w:pPr>
        <w:spacing w:after="100" w:before="100"/>
      </w:pPr>
      <w:r>
        <w:rPr>
          <w:rFonts w:ascii="Arial" w:cs="Arial" w:eastAsia="Arial" w:hAnsi="Arial"/>
          <w:sz w:val="22"/>
          <w:szCs w:val="22"/>
        </w:rPr>
        <w:t xml:space="preserve">At a BlackRock infrastructure summit in March 2026, OpenAI CEO Sam Altman predicted AI would be delivered on demand like electricity or water, with users paying by consumption rather than flat subscription. As of April 2026, this prediction has become operational reality across all three leading AI providers.</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20"/>
              <w:left w:type="dxa" w:w="160"/>
              <w:bottom w:type="dxa" w:w="120"/>
              <w:right w:type="dxa" w:w="160"/>
            </w:tcMar>
          </w:tcPr>
          <w:p>
            <w:r>
              <w:rPr>
                <w:rFonts w:ascii="Arial" w:cs="Arial" w:eastAsia="Arial" w:hAnsi="Arial"/>
                <w:b/>
                <w:bCs/>
                <w:i/>
                <w:iCs/>
                <w:sz w:val="22"/>
                <w:szCs w:val="22"/>
              </w:rPr>
              <w:t xml:space="preserve">APRIL 2026 UPDATE — Industry Convergence on Credit/Token Monetization: Anthropic (Claude Code), OpenAI (Codex), and xAI (Grok Build) have all independently converged on an identical monetization architecture: monthly credit allotment bundled with subscription tier, plus on-demand overage purchasing. This convergence is not coincidence — it is the market discovering the only viable pricing model for agentic compute consumption. Each provider has implemented metering, throttling, and credit balance monitoring. The industry has moved from thesis to standard.</w:t>
            </w:r>
          </w:p>
        </w:tc>
      </w:tr>
    </w:tbl>
    <w:p>
      <w:pPr>
        <w:spacing w:after="60" w:before="60"/>
      </w:pPr>
    </w:p>
    <w:p>
      <w:pPr>
        <w:spacing w:after="100" w:before="200"/>
      </w:pPr>
      <w:r>
        <w:rPr>
          <w:rFonts w:ascii="Arial" w:cs="Arial" w:eastAsia="Arial" w:hAnsi="Arial"/>
          <w:b/>
          <w:bCs/>
          <w:color w:val="2E75B6"/>
          <w:sz w:val="24"/>
          <w:szCs w:val="24"/>
        </w:rPr>
        <w:t xml:space="preserve">Live Data Points: The Compute Crunch (WSJ, April 12, 2026)</w:t>
      </w:r>
    </w:p>
    <w:p>
      <w:pPr>
        <w:pStyle w:val="ListParagraph"/>
        <w:numPr>
          <w:ilvl w:val="0"/>
          <w:numId w:val="2"/>
        </w:numPr>
        <w:spacing w:after="60" w:before="60"/>
      </w:pPr>
      <w:r>
        <w:rPr>
          <w:rFonts w:ascii="Arial" w:cs="Arial" w:eastAsia="Arial" w:hAnsi="Arial"/>
          <w:sz w:val="22"/>
          <w:szCs w:val="22"/>
        </w:rPr>
        <w:t xml:space="preserve">OpenAI API token consumption: 6 billion tokens/minute in October 2025 → 15 billion tokens/minute in late March 2026 (+150% in 5 months)</w:t>
      </w:r>
    </w:p>
    <w:p>
      <w:pPr>
        <w:pStyle w:val="ListParagraph"/>
        <w:numPr>
          <w:ilvl w:val="0"/>
          <w:numId w:val="2"/>
        </w:numPr>
        <w:spacing w:after="60" w:before="60"/>
      </w:pPr>
      <w:r>
        <w:rPr>
          <w:rFonts w:ascii="Arial" w:cs="Arial" w:eastAsia="Arial" w:hAnsi="Arial"/>
          <w:sz w:val="22"/>
          <w:szCs w:val="22"/>
        </w:rPr>
        <w:t xml:space="preserve">CoreWeave raised GPU rental prices 20%+ and began requiring contracts committing customers through 2029</w:t>
      </w:r>
    </w:p>
    <w:p>
      <w:pPr>
        <w:pStyle w:val="ListParagraph"/>
        <w:numPr>
          <w:ilvl w:val="0"/>
          <w:numId w:val="2"/>
        </w:numPr>
        <w:spacing w:after="60" w:before="60"/>
      </w:pPr>
      <w:r>
        <w:rPr>
          <w:rFonts w:ascii="Arial" w:cs="Arial" w:eastAsia="Arial" w:hAnsi="Arial"/>
          <w:sz w:val="22"/>
          <w:szCs w:val="22"/>
        </w:rPr>
        <w:t xml:space="preserve">Nvidia Blackwell GPU hourly rental: $4.08 in April 2026, up 48% from $2.75 two months prior (Ornn Compute Price Index)</w:t>
      </w:r>
    </w:p>
    <w:p>
      <w:pPr>
        <w:pStyle w:val="ListParagraph"/>
        <w:numPr>
          <w:ilvl w:val="0"/>
          <w:numId w:val="2"/>
        </w:numPr>
        <w:spacing w:after="60" w:before="60"/>
      </w:pPr>
      <w:r>
        <w:rPr>
          <w:rFonts w:ascii="Arial" w:cs="Arial" w:eastAsia="Arial" w:hAnsi="Arial"/>
          <w:sz w:val="22"/>
          <w:szCs w:val="22"/>
        </w:rPr>
        <w:t xml:space="preserve">Anthropic API uptime degradation: 99.82% (Oct) → 99.73% (Nov) → 99.81% (Dec) → 99.53% (Jan) → 99.24% (Feb) → 98.32% (Mar) — demand exceeding physical infrastructure capacity</w:t>
      </w:r>
    </w:p>
    <w:p>
      <w:pPr>
        <w:pStyle w:val="ListParagraph"/>
        <w:numPr>
          <w:ilvl w:val="0"/>
          <w:numId w:val="2"/>
        </w:numPr>
        <w:spacing w:after="60" w:before="60"/>
      </w:pPr>
      <w:r>
        <w:rPr>
          <w:rFonts w:ascii="Arial" w:cs="Arial" w:eastAsia="Arial" w:hAnsi="Arial"/>
          <w:sz w:val="22"/>
          <w:szCs w:val="22"/>
        </w:rPr>
        <w:t xml:space="preserve">Anthropic revenue acceleration: $9B ARR (end 2025) → $14B ARR (February 2026) → $30B ARR (April 2026) — 3.3x in four months</w:t>
      </w:r>
    </w:p>
    <w:p>
      <w:pPr>
        <w:pStyle w:val="ListParagraph"/>
        <w:numPr>
          <w:ilvl w:val="0"/>
          <w:numId w:val="2"/>
        </w:numPr>
        <w:spacing w:after="60" w:before="60"/>
      </w:pPr>
      <w:r>
        <w:rPr>
          <w:rFonts w:ascii="Arial" w:cs="Arial" w:eastAsia="Arial" w:hAnsi="Arial"/>
          <w:sz w:val="22"/>
          <w:szCs w:val="22"/>
        </w:rPr>
        <w:t xml:space="preserve">xAI Grok Build: credit balance monitoring and on-demand purchase infrastructure under active development; Model Arena feature runs multiple agents in parallel — a structural token multiplier</w:t>
      </w:r>
    </w:p>
    <w:p>
      <w:pPr>
        <w:spacing w:after="60" w:before="60"/>
      </w:pPr>
    </w:p>
    <w:p>
      <w:pPr>
        <w:spacing w:after="100" w:before="200"/>
      </w:pPr>
      <w:r>
        <w:rPr>
          <w:rFonts w:ascii="Arial" w:cs="Arial" w:eastAsia="Arial" w:hAnsi="Arial"/>
          <w:b/>
          <w:bCs/>
          <w:color w:val="2E75B6"/>
          <w:sz w:val="24"/>
          <w:szCs w:val="24"/>
        </w:rPr>
        <w:t xml:space="preserve">Why the Token Crunch Is Structural, Not Cyclical</w:t>
      </w:r>
    </w:p>
    <w:p>
      <w:pPr>
        <w:spacing w:after="100" w:before="100"/>
      </w:pPr>
      <w:r>
        <w:rPr>
          <w:rFonts w:ascii="Arial" w:cs="Arial" w:eastAsia="Arial" w:hAnsi="Arial"/>
          <w:sz w:val="22"/>
          <w:szCs w:val="22"/>
        </w:rPr>
        <w:t xml:space="preserve">The mainstream narrative frames the compute crunch as a supply-demand lag that capex will eventually resolve. This misreads the mechanism. Retail LLM usage (consumer chat sessions) is relatively token-efficient — a human asks a question, gets an answer, the session closes. The demand explosion is coming from the agentic production layer:</w:t>
      </w:r>
    </w:p>
    <w:p>
      <w:pPr>
        <w:spacing w:after="60" w:before="60"/>
      </w:pPr>
    </w:p>
    <w:p>
      <w:pPr>
        <w:pStyle w:val="ListParagraph"/>
        <w:numPr>
          <w:ilvl w:val="0"/>
          <w:numId w:val="2"/>
        </w:numPr>
        <w:spacing w:after="60" w:before="60"/>
      </w:pPr>
      <w:r>
        <w:rPr>
          <w:rFonts w:ascii="Arial" w:cs="Arial" w:eastAsia="Arial" w:hAnsi="Arial"/>
          <w:sz w:val="22"/>
          <w:szCs w:val="22"/>
        </w:rPr>
        <w:t xml:space="preserve">An agentic workflow spawns sub-agents, each sub-agent makes tool calls, each tool call generates output that feeds the next prompt — token consumption is geometric, not linear</w:t>
      </w:r>
    </w:p>
    <w:p>
      <w:pPr>
        <w:pStyle w:val="ListParagraph"/>
        <w:numPr>
          <w:ilvl w:val="0"/>
          <w:numId w:val="2"/>
        </w:numPr>
        <w:spacing w:after="60" w:before="60"/>
      </w:pPr>
      <w:r>
        <w:rPr>
          <w:rFonts w:ascii="Arial" w:cs="Arial" w:eastAsia="Arial" w:hAnsi="Arial"/>
          <w:sz w:val="22"/>
          <w:szCs w:val="22"/>
        </w:rPr>
        <w:t xml:space="preserve">xAI's Model Arena feature (multiple agents running the same task in parallel) is explicitly designed to multiply token consumption per session</w:t>
      </w:r>
    </w:p>
    <w:p>
      <w:pPr>
        <w:pStyle w:val="ListParagraph"/>
        <w:numPr>
          <w:ilvl w:val="0"/>
          <w:numId w:val="2"/>
        </w:numPr>
        <w:spacing w:after="60" w:before="60"/>
      </w:pPr>
      <w:r>
        <w:rPr>
          <w:rFonts w:ascii="Arial" w:cs="Arial" w:eastAsia="Arial" w:hAnsi="Arial"/>
          <w:sz w:val="22"/>
          <w:szCs w:val="22"/>
        </w:rPr>
        <w:t xml:space="preserve">Enterprise automation workflows run continuously, 24/7, unlike human sessions</w:t>
      </w:r>
    </w:p>
    <w:p>
      <w:pPr>
        <w:pStyle w:val="ListParagraph"/>
        <w:numPr>
          <w:ilvl w:val="0"/>
          <w:numId w:val="2"/>
        </w:numPr>
        <w:spacing w:after="60" w:before="60"/>
      </w:pPr>
      <w:r>
        <w:rPr>
          <w:rFonts w:ascii="Arial" w:cs="Arial" w:eastAsia="Arial" w:hAnsi="Arial"/>
          <w:sz w:val="22"/>
          <w:szCs w:val="22"/>
        </w:rPr>
        <w:t xml:space="preserve">72% of Global 2000 companies in operational deployment means this is now load-bearing production infrastructure — it does not turn off when hype cools</w:t>
      </w:r>
    </w:p>
    <w:p>
      <w:pPr>
        <w:spacing w:after="60" w:before="60"/>
      </w:pPr>
    </w:p>
    <w:p>
      <w:pPr>
        <w:spacing w:after="100" w:before="100"/>
      </w:pPr>
      <w:r>
        <w:rPr>
          <w:rFonts w:ascii="Arial" w:cs="Arial" w:eastAsia="Arial" w:hAnsi="Arial"/>
          <w:sz w:val="22"/>
          <w:szCs w:val="22"/>
        </w:rPr>
        <w:t xml:space="preserve">The railroad analogy applied correctly: the speculative build phase creates the infrastructure; the freight running on it daily is the durable demand. AI infrastructure capex ($700B+ planned 2026-2027) is being built for the production-layer agentic economy already consuming 15B tokens/minute and doubling every few months.</w:t>
      </w:r>
    </w:p>
    <w:p>
      <w:pPr>
        <w:spacing w:after="60" w:before="60"/>
      </w:pPr>
    </w:p>
    <w:p>
      <w:pPr>
        <w:pStyle w:val="Heading2"/>
        <w:spacing w:after="120" w:before="240"/>
      </w:pPr>
      <w:r>
        <w:rPr>
          <w:rFonts w:ascii="Arial" w:cs="Arial" w:eastAsia="Arial" w:hAnsi="Arial"/>
          <w:b/>
          <w:bCs/>
          <w:color w:val="1F4E79"/>
          <w:sz w:val="26"/>
          <w:szCs w:val="26"/>
        </w:rPr>
        <w:t xml:space="preserve">FinOps and Corporate Governance of AI Spend</w:t>
      </w:r>
    </w:p>
    <w:p>
      <w:pPr>
        <w:pStyle w:val="ListParagraph"/>
        <w:numPr>
          <w:ilvl w:val="0"/>
          <w:numId w:val="2"/>
        </w:numPr>
        <w:spacing w:after="60" w:before="60"/>
      </w:pPr>
      <w:r>
        <w:rPr>
          <w:rFonts w:ascii="Arial" w:cs="Arial" w:eastAsia="Arial" w:hAnsi="Arial"/>
          <w:sz w:val="22"/>
          <w:szCs w:val="22"/>
        </w:rPr>
        <w:t xml:space="preserve">FinOps Foundation 2026 report: 98% of practitioners now manage AI spend, up from 31% in 2024</w:t>
      </w:r>
    </w:p>
    <w:p>
      <w:pPr>
        <w:pStyle w:val="ListParagraph"/>
        <w:numPr>
          <w:ilvl w:val="0"/>
          <w:numId w:val="2"/>
        </w:numPr>
        <w:spacing w:after="60" w:before="60"/>
      </w:pPr>
      <w:r>
        <w:rPr>
          <w:rFonts w:ascii="Arial" w:cs="Arial" w:eastAsia="Arial" w:hAnsi="Arial"/>
          <w:sz w:val="22"/>
          <w:szCs w:val="22"/>
        </w:rPr>
        <w:t xml:space="preserve">Tiered architectures routing routine tasks to cheaper models, premium models for complex queries</w:t>
      </w:r>
    </w:p>
    <w:p>
      <w:pPr>
        <w:pStyle w:val="ListParagraph"/>
        <w:numPr>
          <w:ilvl w:val="0"/>
          <w:numId w:val="2"/>
        </w:numPr>
        <w:spacing w:after="60" w:before="60"/>
      </w:pPr>
      <w:r>
        <w:rPr>
          <w:rFonts w:ascii="Arial" w:cs="Arial" w:eastAsia="Arial" w:hAnsi="Arial"/>
          <w:sz w:val="22"/>
          <w:szCs w:val="22"/>
        </w:rPr>
        <w:t xml:space="preserve">Inference observability and granular cost attribution becoming core enterprise requirements</w:t>
      </w:r>
    </w:p>
    <w:p>
      <w:pPr>
        <w:pStyle w:val="ListParagraph"/>
        <w:numPr>
          <w:ilvl w:val="0"/>
          <w:numId w:val="2"/>
        </w:numPr>
        <w:spacing w:after="60" w:before="60"/>
      </w:pPr>
      <w:r>
        <w:rPr>
          <w:rFonts w:ascii="Arial" w:cs="Arial" w:eastAsia="Arial" w:hAnsi="Arial"/>
          <w:sz w:val="22"/>
          <w:szCs w:val="22"/>
        </w:rPr>
        <w:t xml:space="preserve">Human-in-the-loop approval frameworks and agent spending caps now standard governance</w:t>
      </w:r>
    </w:p>
    <w:p>
      <w:pPr>
        <w:spacing w:after="60" w:before="60"/>
      </w:pPr>
    </w:p>
    <w:p>
      <w:pPr>
        <w:pStyle w:val="Heading1"/>
        <w:spacing w:after="180" w:before="360"/>
      </w:pPr>
      <w:r>
        <w:rPr>
          <w:rFonts w:ascii="Arial" w:cs="Arial" w:eastAsia="Arial" w:hAnsi="Arial"/>
          <w:b/>
          <w:bCs/>
          <w:sz w:val="32"/>
          <w:szCs w:val="32"/>
        </w:rPr>
        <w:t xml:space="preserve">3. Convergence: AI Agents with Digital Wallets</w:t>
      </w:r>
    </w:p>
    <w:p>
      <w:pPr>
        <w:spacing w:after="100" w:before="100"/>
      </w:pPr>
      <w:r>
        <w:rPr>
          <w:rFonts w:ascii="Arial" w:cs="Arial" w:eastAsia="Arial" w:hAnsi="Arial"/>
          <w:sz w:val="22"/>
          <w:szCs w:val="22"/>
        </w:rPr>
        <w:t xml:space="preserve">The combination of metered AI and x402-style micropayments points toward a future where AI agents carry dedicated digital wallets. Humans or corporate controllers load wallets with stablecoins, set spending limits, and let agents pay for data, compute or services autonomously. Because x402 payments settle almost instantly with negligible fees, an agent can request a dataset, pay, and receive results within seconds.</w:t>
      </w:r>
    </w:p>
    <w:p>
      <w:pPr>
        <w:spacing w:after="60" w:before="60"/>
      </w:pPr>
    </w:p>
    <w:p>
      <w:pPr>
        <w:spacing w:after="100" w:before="100"/>
      </w:pPr>
      <w:r>
        <w:rPr>
          <w:rFonts w:ascii="Arial" w:cs="Arial" w:eastAsia="Arial" w:hAnsi="Arial"/>
          <w:sz w:val="22"/>
          <w:szCs w:val="22"/>
        </w:rPr>
        <w:t xml:space="preserve">Products like RelAI's Metered API already demonstrate this pattern: developers deposit USDC into a custodial wallet, set budgets, and the proxy automatically pays x402 invoices per API call. This aligns with FinOps expectations for cost control and transparent accounting.</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0F0" w:val="clear"/>
            <w:tcMar>
              <w:top w:type="dxa" w:w="120"/>
              <w:left w:type="dxa" w:w="160"/>
              <w:bottom w:type="dxa" w:w="120"/>
              <w:right w:type="dxa" w:w="160"/>
            </w:tcMar>
          </w:tcPr>
          <w:p>
            <w:r>
              <w:rPr>
                <w:rFonts w:ascii="Arial" w:cs="Arial" w:eastAsia="Arial" w:hAnsi="Arial"/>
                <w:b/>
                <w:bCs/>
                <w:i/>
                <w:iCs/>
                <w:sz w:val="22"/>
                <w:szCs w:val="22"/>
              </w:rPr>
              <w:t xml:space="preserve">THE SETTLEMENT INFRASTRUCTURE GAP — The Critical Investment Thesis: As of April 2026, every major AI provider operates a siloed proprietary credit system. Anthropic credits do not talk to OpenAI credits. xAI credits will not talk to either. As agentic workflows begin spanning multiple providers — an orchestrator on Claude calling a specialized model on Grok calling a retrieval service on OpenAI — real-time cross-platform settlement becomes acute. Each siloed credit system that launches is another argument for a universal settlement layer. This is the x402 handshake. This is COIN's custody play. The industry is building the demand case for universal settlement infrastructure one credit system at a time. This is the NVDA-in-2013 moment for settlement rails.</w:t>
            </w:r>
          </w:p>
        </w:tc>
      </w:tr>
    </w:tbl>
    <w:p>
      <w:pPr>
        <w:spacing w:after="60" w:before="60"/>
      </w:pPr>
    </w:p>
    <w:p>
      <w:pPr>
        <w:pStyle w:val="Heading2"/>
        <w:spacing w:after="120" w:before="240"/>
      </w:pPr>
      <w:r>
        <w:rPr>
          <w:rFonts w:ascii="Arial" w:cs="Arial" w:eastAsia="Arial" w:hAnsi="Arial"/>
          <w:b/>
          <w:bCs/>
          <w:color w:val="1F4E79"/>
          <w:sz w:val="26"/>
          <w:szCs w:val="26"/>
        </w:rPr>
        <w:t xml:space="preserve">Challenges Remaining</w:t>
      </w:r>
    </w:p>
    <w:p>
      <w:pPr>
        <w:pStyle w:val="ListParagraph"/>
        <w:numPr>
          <w:ilvl w:val="0"/>
          <w:numId w:val="2"/>
        </w:numPr>
        <w:spacing w:after="60" w:before="60"/>
      </w:pPr>
      <w:r>
        <w:rPr>
          <w:rFonts w:ascii="Arial" w:cs="Arial" w:eastAsia="Arial" w:hAnsi="Arial"/>
          <w:sz w:val="22"/>
          <w:szCs w:val="22"/>
        </w:rPr>
        <w:t xml:space="preserve">Wallet security, fraud prevention and KYC/AML compliance at enterprise scale</w:t>
      </w:r>
    </w:p>
    <w:p>
      <w:pPr>
        <w:pStyle w:val="ListParagraph"/>
        <w:numPr>
          <w:ilvl w:val="0"/>
          <w:numId w:val="2"/>
        </w:numPr>
        <w:spacing w:after="60" w:before="60"/>
      </w:pPr>
      <w:r>
        <w:rPr>
          <w:rFonts w:ascii="Arial" w:cs="Arial" w:eastAsia="Arial" w:hAnsi="Arial"/>
          <w:sz w:val="22"/>
          <w:szCs w:val="22"/>
        </w:rPr>
        <w:t xml:space="preserve">x402 reliance on centralized facilitators and USDC — concentration risk on Base (93% of activity)</w:t>
      </w:r>
    </w:p>
    <w:p>
      <w:pPr>
        <w:pStyle w:val="ListParagraph"/>
        <w:numPr>
          <w:ilvl w:val="0"/>
          <w:numId w:val="2"/>
        </w:numPr>
        <w:spacing w:after="60" w:before="60"/>
      </w:pPr>
      <w:r>
        <w:rPr>
          <w:rFonts w:ascii="Arial" w:cs="Arial" w:eastAsia="Arial" w:hAnsi="Arial"/>
          <w:sz w:val="22"/>
          <w:szCs w:val="22"/>
        </w:rPr>
        <w:t xml:space="preserve">Regulatory uncertainty around AI-linked tokens</w:t>
      </w:r>
    </w:p>
    <w:p>
      <w:pPr>
        <w:pStyle w:val="ListParagraph"/>
        <w:numPr>
          <w:ilvl w:val="0"/>
          <w:numId w:val="2"/>
        </w:numPr>
        <w:spacing w:after="60" w:before="60"/>
      </w:pPr>
      <w:r>
        <w:rPr>
          <w:rFonts w:ascii="Arial" w:cs="Arial" w:eastAsia="Arial" w:hAnsi="Arial"/>
          <w:sz w:val="22"/>
          <w:szCs w:val="22"/>
        </w:rPr>
        <w:t xml:space="preserve">Cross-platform identity and credentialing for agents transacting across providers</w:t>
      </w:r>
    </w:p>
    <w:p>
      <w:pPr>
        <w:spacing w:after="60" w:before="60"/>
      </w:pPr>
    </w:p>
    <w:p>
      <w:pPr>
        <w:pStyle w:val="Heading1"/>
        <w:spacing w:after="180" w:before="360"/>
      </w:pPr>
      <w:r>
        <w:rPr>
          <w:rFonts w:ascii="Arial" w:cs="Arial" w:eastAsia="Arial" w:hAnsi="Arial"/>
          <w:b/>
          <w:bCs/>
          <w:sz w:val="32"/>
          <w:szCs w:val="32"/>
        </w:rPr>
        <w:t xml:space="preserve">4. x402 Ecosystem Tokens (Ranked by Relevance)</w:t>
      </w:r>
    </w:p>
    <w:p>
      <w:pPr>
        <w:spacing w:after="100" w:before="100"/>
      </w:pPr>
      <w:r>
        <w:rPr>
          <w:rFonts w:ascii="Arial" w:cs="Arial" w:eastAsia="Arial" w:hAnsi="Arial"/>
          <w:sz w:val="22"/>
          <w:szCs w:val="22"/>
        </w:rPr>
        <w:t xml:space="preserve">The table below provides a high-level overview of notable tokens in the x402 ecosystem. Ranking reflects relative relevance based on utility, transaction share and adoption — not financial advice. Many tokens exhibit high volatility; exercise caution.</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3560"/>
        <w:gridCol w:w="2400"/>
      </w:tblGrid>
      <w:tr>
        <w:trPr>
          <w:tblHeader/>
        </w:trPr>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Rank</w:t>
            </w:r>
          </w:p>
        </w:tc>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Token / Ticker</w:t>
            </w:r>
          </w:p>
        </w:tc>
        <w:tc>
          <w:tcPr>
            <w:tcW w:type="dxa" w:w="3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Role / Utility</w:t>
            </w:r>
          </w:p>
        </w:tc>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1</w:t>
            </w:r>
          </w:p>
        </w:tc>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PayAI Network ($PAYAI)</w:t>
            </w:r>
          </w:p>
        </w:tc>
        <w:tc>
          <w:tcPr>
            <w:tcW w:type="dxa" w:w="3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Facilitator token processing x402 payments and reducing platform fees. Handles 14%+ of x402 volume — second-largest facilitator after Coinbase. Market cap surged $50-76M in late 2025.</w:t>
            </w:r>
          </w:p>
        </w:tc>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HIGH RELEVANCE — Leading utility token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PING ($PING)</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First token minted via x402. Proof-of-concept for micropayments. Market cap peaked $20-30M. Most recognisable x402 meme token.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Popular memecoin; limited functional value</w:t>
            </w:r>
          </w:p>
        </w:tc>
      </w:tr>
      <w:tr>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3</w:t>
            </w:r>
          </w:p>
        </w:tc>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Daydreams ($DREAMS)</w:t>
            </w:r>
          </w:p>
        </w:tc>
        <w:tc>
          <w:tcPr>
            <w:tcW w:type="dxa" w:w="3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Token for AI-driven productivity tools and agentic workflows. Market cap ~$6.4M in late 2025.</w:t>
            </w:r>
          </w:p>
        </w:tc>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Utility token; moderate adoption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MrDN Finance ($MRDN)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Facilitator enabling gasless USDC payments across multiple chains. Serves 1,000+ merchants. Decentralises facilitator layer.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Infrastructure-focused; addresses centralisation risk</w:t>
            </w:r>
          </w:p>
        </w:tc>
      </w:tr>
      <w:tr>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5</w:t>
            </w:r>
          </w:p>
        </w:tc>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Santa ($SANTA)</w:t>
            </w:r>
          </w:p>
        </w:tc>
        <w:tc>
          <w:tcPr>
            <w:tcW w:type="dxa" w:w="3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Holiday-themed meme token from the early x402 wave. No substantive utility.</w:t>
            </w:r>
          </w:p>
        </w:tc>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Low-utility memecoin; high volatility</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AurraCloud ($AURA)</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Privacy-preserving payments with zero-knowledge proofs and agent identity management. Niche adoption.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Niche privacy token; compliance-focused potential</w:t>
            </w:r>
          </w:p>
        </w:tc>
      </w:tr>
      <w:tr>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7</w:t>
            </w:r>
          </w:p>
        </w:tc>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Gloria ($GLORIA)</w:t>
            </w:r>
          </w:p>
        </w:tc>
        <w:tc>
          <w:tcPr>
            <w:tcW w:type="dxa" w:w="3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Niche ecosystem token. Little public information. Thin trading volumes.</w:t>
            </w:r>
          </w:p>
        </w:tc>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Minor token; not widely adopted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8</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AOE / BANG ($AOE, $BANG)</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Newer tokens for agentic marketplaces and cross-chain payment gateways. Triple-digit weekly moves and large corrections.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Highly volatile; largely speculative</w:t>
            </w:r>
          </w:p>
        </w:tc>
      </w:tr>
    </w:tbl>
    <w:p>
      <w:pPr>
        <w:spacing w:after="60" w:before="60"/>
      </w:pPr>
    </w:p>
    <w:p>
      <w:pPr>
        <w:spacing w:after="100" w:before="100"/>
      </w:pPr>
      <w:r>
        <w:rPr>
          <w:rFonts w:ascii="Arial" w:cs="Arial" w:eastAsia="Arial" w:hAnsi="Arial"/>
          <w:i/>
          <w:iCs/>
          <w:color w:val="666666"/>
          <w:sz w:val="22"/>
          <w:szCs w:val="22"/>
        </w:rPr>
        <w:t xml:space="preserve">Note: Experimental tokens (HEU, RADAR, VPAY) are mentioned in community discussions but reliable data is scarce. All tokens should be evaluated for utility, liquidity and regulatory risk before investment.</w:t>
      </w:r>
    </w:p>
    <w:p>
      <w:pPr>
        <w:spacing w:after="60" w:before="60"/>
      </w:pPr>
    </w:p>
    <w:p>
      <w:pPr>
        <w:pStyle w:val="Heading1"/>
        <w:spacing w:after="180" w:before="360"/>
      </w:pPr>
      <w:r>
        <w:rPr>
          <w:rFonts w:ascii="Arial" w:cs="Arial" w:eastAsia="Arial" w:hAnsi="Arial"/>
          <w:b/>
          <w:bCs/>
          <w:sz w:val="32"/>
          <w:szCs w:val="32"/>
        </w:rPr>
        <w:t xml:space="preserve">5. Investment Implications — The Second-Order Play</w:t>
      </w:r>
    </w:p>
    <w:p>
      <w:pPr>
        <w:pStyle w:val="Heading2"/>
        <w:spacing w:after="120" w:before="240"/>
      </w:pPr>
      <w:r>
        <w:rPr>
          <w:rFonts w:ascii="Arial" w:cs="Arial" w:eastAsia="Arial" w:hAnsi="Arial"/>
          <w:b/>
          <w:bCs/>
          <w:color w:val="1F4E79"/>
          <w:sz w:val="26"/>
          <w:szCs w:val="26"/>
        </w:rPr>
        <w:t xml:space="preserve">Public Market Vehicles for the Settlement Infrastructure Thesis</w:t>
      </w:r>
    </w:p>
    <w:p>
      <w:pPr>
        <w:spacing w:after="100" w:before="100"/>
      </w:pPr>
      <w:r>
        <w:rPr>
          <w:rFonts w:ascii="Arial" w:cs="Arial" w:eastAsia="Arial" w:hAnsi="Arial"/>
          <w:sz w:val="22"/>
          <w:szCs w:val="22"/>
        </w:rPr>
        <w:t xml:space="preserve">Direct investment in x402 ecosystem tokens carries high speculative risk. The more durable investment thesis targets the public market infrastructure layer that benefits regardless of which specific protocol or token wins:</w:t>
      </w:r>
    </w:p>
    <w:p>
      <w:pPr>
        <w:spacing w:after="60" w:before="60"/>
      </w:pPr>
    </w:p>
    <w:p>
      <w:pPr>
        <w:spacing w:after="100" w:before="200"/>
      </w:pPr>
      <w:r>
        <w:rPr>
          <w:rFonts w:ascii="Arial" w:cs="Arial" w:eastAsia="Arial" w:hAnsi="Arial"/>
          <w:b/>
          <w:bCs/>
          <w:color w:val="2E75B6"/>
          <w:sz w:val="24"/>
          <w:szCs w:val="24"/>
        </w:rPr>
        <w:t xml:space="preserve">COIN (Coinbase) — The Primary Settlement Infrastructure Play</w:t>
      </w:r>
    </w:p>
    <w:p>
      <w:pPr>
        <w:pStyle w:val="ListParagraph"/>
        <w:numPr>
          <w:ilvl w:val="0"/>
          <w:numId w:val="2"/>
        </w:numPr>
        <w:spacing w:after="60" w:before="60"/>
      </w:pPr>
      <w:r>
        <w:rPr>
          <w:rFonts w:ascii="Arial" w:cs="Arial" w:eastAsia="Arial" w:hAnsi="Arial"/>
          <w:sz w:val="22"/>
          <w:szCs w:val="22"/>
        </w:rPr>
        <w:t xml:space="preserve">Coinbase is the largest facilitator on x402, processing the majority of transactions</w:t>
      </w:r>
    </w:p>
    <w:p>
      <w:pPr>
        <w:pStyle w:val="ListParagraph"/>
        <w:numPr>
          <w:ilvl w:val="0"/>
          <w:numId w:val="2"/>
        </w:numPr>
        <w:spacing w:after="60" w:before="60"/>
      </w:pPr>
      <w:r>
        <w:rPr>
          <w:rFonts w:ascii="Arial" w:cs="Arial" w:eastAsia="Arial" w:hAnsi="Arial"/>
          <w:sz w:val="22"/>
          <w:szCs w:val="22"/>
        </w:rPr>
        <w:t xml:space="preserve">As agent wallets scale, custody and settlement volume flows through Coinbase's infrastructure</w:t>
      </w:r>
    </w:p>
    <w:p>
      <w:pPr>
        <w:pStyle w:val="ListParagraph"/>
        <w:numPr>
          <w:ilvl w:val="0"/>
          <w:numId w:val="2"/>
        </w:numPr>
        <w:spacing w:after="60" w:before="60"/>
      </w:pPr>
      <w:r>
        <w:rPr>
          <w:rFonts w:ascii="Arial" w:cs="Arial" w:eastAsia="Arial" w:hAnsi="Arial"/>
          <w:sz w:val="22"/>
          <w:szCs w:val="22"/>
        </w:rPr>
        <w:t xml:space="preserve">Regulatory clarity (FIT21, stablecoin legislation) removes the primary overhang</w:t>
      </w:r>
    </w:p>
    <w:p>
      <w:pPr>
        <w:pStyle w:val="ListParagraph"/>
        <w:numPr>
          <w:ilvl w:val="0"/>
          <w:numId w:val="2"/>
        </w:numPr>
        <w:spacing w:after="60" w:before="60"/>
      </w:pPr>
      <w:r>
        <w:rPr>
          <w:rFonts w:ascii="Arial" w:cs="Arial" w:eastAsia="Arial" w:hAnsi="Arial"/>
          <w:sz w:val="22"/>
          <w:szCs w:val="22"/>
        </w:rPr>
        <w:t xml:space="preserve">USDC issuer (Circle) relationship gives Coinbase direct exposure to stablecoin volume growth</w:t>
      </w:r>
    </w:p>
    <w:p>
      <w:pPr>
        <w:pStyle w:val="ListParagraph"/>
        <w:numPr>
          <w:ilvl w:val="0"/>
          <w:numId w:val="2"/>
        </w:numPr>
        <w:spacing w:after="60" w:before="60"/>
      </w:pPr>
      <w:r>
        <w:rPr>
          <w:rFonts w:ascii="Arial" w:cs="Arial" w:eastAsia="Arial" w:hAnsi="Arial"/>
          <w:sz w:val="22"/>
          <w:szCs w:val="22"/>
        </w:rPr>
        <w:t xml:space="preserve">The thesis: follow the money — every x402 transaction touches Coinbase infrastructure</w:t>
      </w:r>
    </w:p>
    <w:p>
      <w:pPr>
        <w:spacing w:after="60" w:before="60"/>
      </w:pPr>
    </w:p>
    <w:p>
      <w:pPr>
        <w:spacing w:after="100" w:before="200"/>
      </w:pPr>
      <w:r>
        <w:rPr>
          <w:rFonts w:ascii="Arial" w:cs="Arial" w:eastAsia="Arial" w:hAnsi="Arial"/>
          <w:b/>
          <w:bCs/>
          <w:color w:val="2E75B6"/>
          <w:sz w:val="24"/>
          <w:szCs w:val="24"/>
        </w:rPr>
        <w:t xml:space="preserve">PYPL (PayPal) — Early Agentic Settlement Adjacent</w:t>
      </w:r>
    </w:p>
    <w:p>
      <w:pPr>
        <w:pStyle w:val="ListParagraph"/>
        <w:numPr>
          <w:ilvl w:val="0"/>
          <w:numId w:val="2"/>
        </w:numPr>
        <w:spacing w:after="60" w:before="60"/>
      </w:pPr>
      <w:r>
        <w:rPr>
          <w:rFonts w:ascii="Arial" w:cs="Arial" w:eastAsia="Arial" w:hAnsi="Arial"/>
          <w:sz w:val="22"/>
          <w:szCs w:val="22"/>
        </w:rPr>
        <w:t xml:space="preserve">Existing merchant network and compliance infrastructure positions PayPal as potential early beneficiary</w:t>
      </w:r>
    </w:p>
    <w:p>
      <w:pPr>
        <w:pStyle w:val="ListParagraph"/>
        <w:numPr>
          <w:ilvl w:val="0"/>
          <w:numId w:val="2"/>
        </w:numPr>
        <w:spacing w:after="60" w:before="60"/>
      </w:pPr>
      <w:r>
        <w:rPr>
          <w:rFonts w:ascii="Arial" w:cs="Arial" w:eastAsia="Arial" w:hAnsi="Arial"/>
          <w:sz w:val="22"/>
          <w:szCs w:val="22"/>
        </w:rPr>
        <w:t xml:space="preserve">PayPal's stablecoin (PYUSD) is a direct competitor to USDC in the settlement layer</w:t>
      </w:r>
    </w:p>
    <w:p>
      <w:pPr>
        <w:pStyle w:val="ListParagraph"/>
        <w:numPr>
          <w:ilvl w:val="0"/>
          <w:numId w:val="2"/>
        </w:numPr>
        <w:spacing w:after="60" w:before="60"/>
      </w:pPr>
      <w:r>
        <w:rPr>
          <w:rFonts w:ascii="Arial" w:cs="Arial" w:eastAsia="Arial" w:hAnsi="Arial"/>
          <w:sz w:val="22"/>
          <w:szCs w:val="22"/>
        </w:rPr>
        <w:t xml:space="preserve">Enterprise relationships and KYC/AML compliance capabilities address the governance gap x402 currently lacks</w:t>
      </w:r>
    </w:p>
    <w:p>
      <w:pPr>
        <w:pStyle w:val="ListParagraph"/>
        <w:numPr>
          <w:ilvl w:val="0"/>
          <w:numId w:val="2"/>
        </w:numPr>
        <w:spacing w:after="60" w:before="60"/>
      </w:pPr>
      <w:r>
        <w:rPr>
          <w:rFonts w:ascii="Arial" w:cs="Arial" w:eastAsia="Arial" w:hAnsi="Arial"/>
          <w:sz w:val="22"/>
          <w:szCs w:val="22"/>
        </w:rPr>
        <w:t xml:space="preserve">Risk: PayPal is a legacy player adapting rather than a native builder — execution risk is higher</w:t>
      </w:r>
    </w:p>
    <w:p>
      <w:pPr>
        <w:spacing w:after="60" w:before="60"/>
      </w:pPr>
    </w:p>
    <w:p>
      <w:pPr>
        <w:pStyle w:val="Heading2"/>
        <w:spacing w:after="120" w:before="240"/>
      </w:pPr>
      <w:r>
        <w:rPr>
          <w:rFonts w:ascii="Arial" w:cs="Arial" w:eastAsia="Arial" w:hAnsi="Arial"/>
          <w:b/>
          <w:bCs/>
          <w:color w:val="1F4E79"/>
          <w:sz w:val="26"/>
          <w:szCs w:val="26"/>
        </w:rPr>
        <w:t xml:space="preserve">The Physical Infrastructure Stack — Where the Thesis Is Already Playing Out</w:t>
      </w:r>
    </w:p>
    <w:p>
      <w:pPr>
        <w:spacing w:after="100" w:before="100"/>
      </w:pPr>
      <w:r>
        <w:rPr>
          <w:rFonts w:ascii="Arial" w:cs="Arial" w:eastAsia="Arial" w:hAnsi="Arial"/>
          <w:sz w:val="22"/>
          <w:szCs w:val="22"/>
        </w:rPr>
        <w:t xml:space="preserve">The compute crunch documented in Section 2 is the demand side of the same thesis. The supply side — the companies building the physical infrastructure to serve 15B tokens/minute and beyond — represents the clearest near-term investment opportunity:</w:t>
      </w:r>
    </w:p>
    <w:p>
      <w:pPr>
        <w:spacing w:after="60" w:before="60"/>
      </w:pPr>
    </w:p>
    <w:p>
      <w:pPr>
        <w:pStyle w:val="ListParagraph"/>
        <w:numPr>
          <w:ilvl w:val="0"/>
          <w:numId w:val="2"/>
        </w:numPr>
        <w:spacing w:after="60" w:before="60"/>
      </w:pPr>
      <w:r>
        <w:rPr>
          <w:rFonts w:ascii="Arial" w:cs="Arial" w:eastAsia="Arial" w:hAnsi="Arial"/>
          <w:sz w:val="22"/>
          <w:szCs w:val="22"/>
        </w:rPr>
        <w:t xml:space="preserve">NVDA: GPU spot prices up 48% in two months; Jensen Huang cited $1 trillion in Blackwell + Vera Rubin orders through 2027</w:t>
      </w:r>
    </w:p>
    <w:p>
      <w:pPr>
        <w:pStyle w:val="ListParagraph"/>
        <w:numPr>
          <w:ilvl w:val="0"/>
          <w:numId w:val="2"/>
        </w:numPr>
        <w:spacing w:after="60" w:before="60"/>
      </w:pPr>
      <w:r>
        <w:rPr>
          <w:rFonts w:ascii="Arial" w:cs="Arial" w:eastAsia="Arial" w:hAnsi="Arial"/>
          <w:sz w:val="22"/>
          <w:szCs w:val="22"/>
        </w:rPr>
        <w:t xml:space="preserve">MU: HBM4 in high-volume production for Nvidia Vera Rubin; supply sold out through 2026, committed through 2027; forward P/E ~5-7x</w:t>
      </w:r>
    </w:p>
    <w:p>
      <w:pPr>
        <w:pStyle w:val="ListParagraph"/>
        <w:numPr>
          <w:ilvl w:val="0"/>
          <w:numId w:val="2"/>
        </w:numPr>
        <w:spacing w:after="60" w:before="60"/>
      </w:pPr>
      <w:r>
        <w:rPr>
          <w:rFonts w:ascii="Arial" w:cs="Arial" w:eastAsia="Arial" w:hAnsi="Arial"/>
          <w:sz w:val="22"/>
          <w:szCs w:val="22"/>
        </w:rPr>
        <w:t xml:space="preserve">AVGO: Custom silicon + networking; 3.5GW Google TPU deal for Anthropic; 10GW OpenAI accelerator program</w:t>
      </w:r>
    </w:p>
    <w:p>
      <w:pPr>
        <w:pStyle w:val="ListParagraph"/>
        <w:numPr>
          <w:ilvl w:val="0"/>
          <w:numId w:val="2"/>
        </w:numPr>
        <w:spacing w:after="60" w:before="60"/>
      </w:pPr>
      <w:r>
        <w:rPr>
          <w:rFonts w:ascii="Arial" w:cs="Arial" w:eastAsia="Arial" w:hAnsi="Arial"/>
          <w:sz w:val="22"/>
          <w:szCs w:val="22"/>
        </w:rPr>
        <w:t xml:space="preserve">TSM: World foundry; every chip in the AI stack runs through TSMC; Q1 2026 revenue +35% YoY; 2nm mass production launched</w:t>
      </w:r>
    </w:p>
    <w:p>
      <w:pPr>
        <w:pStyle w:val="ListParagraph"/>
        <w:numPr>
          <w:ilvl w:val="0"/>
          <w:numId w:val="2"/>
        </w:numPr>
        <w:spacing w:after="60" w:before="60"/>
      </w:pPr>
      <w:r>
        <w:rPr>
          <w:rFonts w:ascii="Arial" w:cs="Arial" w:eastAsia="Arial" w:hAnsi="Arial"/>
          <w:sz w:val="22"/>
          <w:szCs w:val="22"/>
        </w:rPr>
        <w:t xml:space="preserve">COHR: 4x book-to-bill on 800G/1.6T optical transceivers; 2026 and 2027 largely booked; direct optical interconnect beneficiary of token volume growth</w:t>
      </w:r>
    </w:p>
    <w:p>
      <w:pPr>
        <w:spacing w:after="60" w:before="60"/>
      </w:pPr>
    </w:p>
    <w:p>
      <w:pPr>
        <w:pStyle w:val="Heading1"/>
        <w:spacing w:after="180" w:before="360"/>
      </w:pPr>
      <w:r>
        <w:rPr>
          <w:rFonts w:ascii="Arial" w:cs="Arial" w:eastAsia="Arial" w:hAnsi="Arial"/>
          <w:b/>
          <w:bCs/>
          <w:sz w:val="32"/>
          <w:szCs w:val="32"/>
        </w:rPr>
        <w:t xml:space="preserve">6. Conclusion</w:t>
      </w:r>
    </w:p>
    <w:p>
      <w:pPr>
        <w:spacing w:after="100" w:before="100"/>
      </w:pPr>
      <w:r>
        <w:rPr>
          <w:rFonts w:ascii="Arial" w:cs="Arial" w:eastAsia="Arial" w:hAnsi="Arial"/>
          <w:sz w:val="22"/>
          <w:szCs w:val="22"/>
        </w:rPr>
        <w:t xml:space="preserve">The x402 protocol represents a significant step toward machine-to-machine commerce. But as of April 2026, the thesis has moved substantially from prediction to confirmation. The WSJ compute crunch coverage, xAI Grok Build credits architecture, Anthropic's $30B ARR acceleration, and industry-wide convergence on token-credit monetization all validate the original framework.</w:t>
      </w:r>
    </w:p>
    <w:p>
      <w:pPr>
        <w:spacing w:after="60" w:before="60"/>
      </w:pPr>
    </w:p>
    <w:p>
      <w:pPr>
        <w:spacing w:after="100" w:before="100"/>
      </w:pPr>
      <w:r>
        <w:rPr>
          <w:rFonts w:ascii="Arial" w:cs="Arial" w:eastAsia="Arial" w:hAnsi="Arial"/>
          <w:sz w:val="22"/>
          <w:szCs w:val="22"/>
        </w:rPr>
        <w:t xml:space="preserve">Three interconnected forces are now simultaneously active:</w:t>
      </w:r>
    </w:p>
    <w:p>
      <w:pPr>
        <w:spacing w:after="60" w:before="60"/>
      </w:pPr>
    </w:p>
    <w:p>
      <w:pPr>
        <w:pStyle w:val="ListParagraph"/>
        <w:numPr>
          <w:ilvl w:val="0"/>
          <w:numId w:val="2"/>
        </w:numPr>
        <w:spacing w:after="60" w:before="60"/>
      </w:pPr>
      <w:r>
        <w:rPr>
          <w:rFonts w:ascii="Arial" w:cs="Arial" w:eastAsia="Arial" w:hAnsi="Arial"/>
          <w:sz w:val="22"/>
          <w:szCs w:val="22"/>
        </w:rPr>
        <w:t xml:space="preserve">Metered compute is the new utility model — token consumption is the unit of economic activity in the agentic economy</w:t>
      </w:r>
    </w:p>
    <w:p>
      <w:pPr>
        <w:pStyle w:val="ListParagraph"/>
        <w:numPr>
          <w:ilvl w:val="0"/>
          <w:numId w:val="2"/>
        </w:numPr>
        <w:spacing w:after="60" w:before="60"/>
      </w:pPr>
      <w:r>
        <w:rPr>
          <w:rFonts w:ascii="Arial" w:cs="Arial" w:eastAsia="Arial" w:hAnsi="Arial"/>
          <w:sz w:val="22"/>
          <w:szCs w:val="22"/>
        </w:rPr>
        <w:t xml:space="preserve">Physical infrastructure is the binding constraint — GPU spot prices, data center power, and optical interconnects are all supply-constrained against exponential demand growth</w:t>
      </w:r>
    </w:p>
    <w:p>
      <w:pPr>
        <w:pStyle w:val="ListParagraph"/>
        <w:numPr>
          <w:ilvl w:val="0"/>
          <w:numId w:val="2"/>
        </w:numPr>
        <w:spacing w:after="60" w:before="60"/>
      </w:pPr>
      <w:r>
        <w:rPr>
          <w:rFonts w:ascii="Arial" w:cs="Arial" w:eastAsia="Arial" w:hAnsi="Arial"/>
          <w:sz w:val="22"/>
          <w:szCs w:val="22"/>
        </w:rPr>
        <w:t xml:space="preserve">Settlement infrastructure is the coming constraint — siloed credit systems from Anthropic, OpenAI, and xAI will create acute reconciliation problems as cross-platform agent workflows scale</w:t>
      </w:r>
    </w:p>
    <w:p>
      <w:pPr>
        <w:spacing w:after="60" w:before="60"/>
      </w:pPr>
    </w:p>
    <w:p>
      <w:pPr>
        <w:spacing w:after="100" w:before="100"/>
      </w:pPr>
      <w:r>
        <w:rPr>
          <w:rFonts w:ascii="Arial" w:cs="Arial" w:eastAsia="Arial" w:hAnsi="Arial"/>
          <w:sz w:val="22"/>
          <w:szCs w:val="22"/>
        </w:rPr>
        <w:t xml:space="preserve">The investment thesis is sequential: own the physical bottlenecks now (NVDA, MU, AVGO, TSM, COHR), position in settlement infrastructure as the cross-platform agent economy develops (COIN, PYPL), and monitor x402 ecosystem tokens for the speculative expression of the protocol layer (PAYAI as the highest-utility token, with appropriate position sizing given volatility).</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2FF" w:val="clear"/>
            <w:tcMar>
              <w:top w:type="dxa" w:w="120"/>
              <w:left w:type="dxa" w:w="160"/>
              <w:bottom w:type="dxa" w:w="120"/>
              <w:right w:type="dxa" w:w="160"/>
            </w:tcMar>
          </w:tcPr>
          <w:p>
            <w:r>
              <w:rPr>
                <w:rFonts w:ascii="Arial" w:cs="Arial" w:eastAsia="Arial" w:hAnsi="Arial"/>
                <w:b/>
                <w:bCs/>
                <w:i/>
                <w:iCs/>
                <w:sz w:val="22"/>
                <w:szCs w:val="22"/>
              </w:rPr>
              <w:t xml:space="preserve">Core Governing Principle: Follow the money, even when it is circular. Every token consumed by an AI agent is a compute event, a billing event, and eventually a settlement event. The companies owning each of those three layers are the compounding beneficiaries of the agentic economy — regardless of which specific AI model, which specific agent framework, or which specific payment protocol wins the standards war.</w:t>
            </w:r>
          </w:p>
        </w:tc>
      </w:tr>
    </w:tbl>
    <w:p>
      <w:pPr>
        <w:spacing w:after="60" w:before="60"/>
      </w:pPr>
    </w:p>
    <w:p>
      <w:pPr>
        <w:spacing w:after="120" w:before="360"/>
        <w:jc w:val="center"/>
      </w:pPr>
      <w:r>
        <w:rPr>
          <w:rFonts w:ascii="Arial" w:cs="Arial" w:eastAsia="Arial" w:hAnsi="Arial"/>
          <w:i/>
          <w:iCs/>
          <w:color w:val="999999"/>
          <w:sz w:val="18"/>
          <w:szCs w:val="18"/>
        </w:rPr>
        <w:t xml:space="preserve">Jake Bishop | Independent Macro Research | April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F4E7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2026-04-13T17:12:20.645Z</dcterms:created>
  <dcterms:modified xsi:type="dcterms:W3CDTF">2026-04-13T17:12:20.646Z</dcterms:modified>
</cp:coreProperties>
</file>

<file path=docProps/custom.xml><?xml version="1.0" encoding="utf-8"?>
<Properties xmlns="http://schemas.openxmlformats.org/officeDocument/2006/custom-properties" xmlns:vt="http://schemas.openxmlformats.org/officeDocument/2006/docPropsVTypes"/>
</file>