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t>Market Data, News Events,</w:t>
        <w:br/>
        <w:t>and Official Series</w:t>
      </w:r>
    </w:p>
    <w:p>
      <w:pPr>
        <w:spacing w:after="480"/>
      </w:pPr>
      <w:r>
        <w:rPr>
          <w:rFonts w:ascii="Arial" w:hAnsi="Arial" w:eastAsia="Arial"/>
          <w:color w:val="2E5D7B"/>
          <w:sz w:val="27"/>
        </w:rPr>
        <w:t>Research brief compiled from the requested market, news, and official-data checks</w:t>
      </w:r>
    </w:p>
    <w:tbl>
      <w:tblPr>
        <w:tblW w:type="auto" w:w="0"/>
        <w:jc w:val="left"/>
        <w:tblLayout w:type="fixed"/>
        <w:tblLook w:firstColumn="1" w:firstRow="1" w:lastColumn="0" w:lastRow="0" w:noHBand="0" w:noVBand="1" w:val="04A0"/>
        <w:tblBorders>
          <w:top w:val="single" w:sz="5" w:space="0" w:color="D8DEE4"/>
          <w:start w:val="single" w:sz="5" w:space="0" w:color="D8DEE4"/>
          <w:bottom w:val="single" w:sz="5" w:space="0" w:color="D8DEE4"/>
          <w:end w:val="single" w:sz="5" w:space="0" w:color="D8DEE4"/>
          <w:insideH w:val="single" w:sz="5" w:space="0" w:color="D8DEE4"/>
          <w:insideV w:val="single" w:sz="5" w:space="0" w:color="D8DEE4"/>
        </w:tblBorders>
      </w:tblPr>
      <w:tblGrid>
        <w:gridCol w:w="5083"/>
        <w:gridCol w:w="5083"/>
      </w:tblGrid>
      <w:tr>
        <w:tc>
          <w:tcPr>
            <w:tcW w:type="dxa" w:w="2088"/>
            <w:shd w:fill="EAF2F7"/>
            <w:tcMar>
              <w:top w:w="115" w:type="dxa"/>
              <w:start w:w="120" w:type="dxa"/>
              <w:bottom w:w="115" w:type="dxa"/>
              <w:end w:w="120" w:type="dxa"/>
            </w:tcMar>
            <w:vAlign w:val="center"/>
          </w:tcPr>
          <w:p>
            <w:pPr>
              <w:spacing w:after="0"/>
            </w:pPr>
            <w:r>
              <w:rPr>
                <w:rFonts w:ascii="Arial" w:hAnsi="Arial" w:eastAsia="Arial"/>
                <w:b/>
                <w:color w:val="17324D"/>
                <w:sz w:val="19"/>
              </w:rPr>
              <w:t>Data cutoff</w:t>
            </w:r>
          </w:p>
        </w:tc>
        <w:tc>
          <w:tcPr>
            <w:tcW w:type="dxa" w:w="7560"/>
            <w:tcMar>
              <w:top w:w="115" w:type="dxa"/>
              <w:start w:w="120" w:type="dxa"/>
              <w:bottom w:w="115" w:type="dxa"/>
              <w:end w:w="120" w:type="dxa"/>
            </w:tcMar>
            <w:vAlign w:val="center"/>
          </w:tcPr>
          <w:p>
            <w:pPr>
              <w:spacing w:after="0"/>
            </w:pPr>
            <w:r>
              <w:rPr>
                <w:rFonts w:ascii="Arial" w:hAnsi="Arial" w:eastAsia="Arial"/>
                <w:color w:val="1F2933"/>
                <w:sz w:val="19"/>
              </w:rPr>
              <w:t>August 6, 2026, 10:51 a.m. Pacific / 1:51 p.m. Eastern</w:t>
            </w:r>
          </w:p>
        </w:tc>
      </w:tr>
      <w:tr>
        <w:tc>
          <w:tcPr>
            <w:tcW w:type="dxa" w:w="2088"/>
            <w:shd w:fill="EAF2F7"/>
            <w:tcMar>
              <w:top w:w="115" w:type="dxa"/>
              <w:start w:w="120" w:type="dxa"/>
              <w:bottom w:w="115" w:type="dxa"/>
              <w:end w:w="120" w:type="dxa"/>
            </w:tcMar>
            <w:vAlign w:val="center"/>
          </w:tcPr>
          <w:p>
            <w:pPr>
              <w:spacing w:after="0"/>
            </w:pPr>
            <w:r>
              <w:rPr>
                <w:rFonts w:ascii="Arial" w:hAnsi="Arial" w:eastAsia="Arial"/>
                <w:b/>
                <w:color w:val="17324D"/>
                <w:sz w:val="19"/>
              </w:rPr>
              <w:t>Live-data convention</w:t>
            </w:r>
          </w:p>
        </w:tc>
        <w:tc>
          <w:tcPr>
            <w:tcW w:type="dxa" w:w="7560"/>
            <w:tcMar>
              <w:top w:w="115" w:type="dxa"/>
              <w:start w:w="120" w:type="dxa"/>
              <w:bottom w:w="115" w:type="dxa"/>
              <w:end w:w="120" w:type="dxa"/>
            </w:tcMar>
            <w:vAlign w:val="center"/>
          </w:tcPr>
          <w:p>
            <w:pPr>
              <w:spacing w:after="0"/>
            </w:pPr>
            <w:r>
              <w:rPr>
                <w:rFonts w:ascii="Arial" w:hAnsi="Arial" w:eastAsia="Arial"/>
                <w:color w:val="1F2933"/>
                <w:sz w:val="19"/>
              </w:rPr>
              <w:t>“Today” values are intraday unless expressly identified as closes.</w:t>
            </w:r>
          </w:p>
        </w:tc>
      </w:tr>
      <w:tr>
        <w:tc>
          <w:tcPr>
            <w:tcW w:type="dxa" w:w="2088"/>
            <w:shd w:fill="EAF2F7"/>
            <w:tcMar>
              <w:top w:w="115" w:type="dxa"/>
              <w:start w:w="120" w:type="dxa"/>
              <w:bottom w:w="115" w:type="dxa"/>
              <w:end w:w="120" w:type="dxa"/>
            </w:tcMar>
            <w:vAlign w:val="center"/>
          </w:tcPr>
          <w:p>
            <w:pPr>
              <w:spacing w:after="0"/>
            </w:pPr>
            <w:r>
              <w:rPr>
                <w:rFonts w:ascii="Arial" w:hAnsi="Arial" w:eastAsia="Arial"/>
                <w:b/>
                <w:color w:val="17324D"/>
                <w:sz w:val="19"/>
              </w:rPr>
              <w:t>Missing-data convention</w:t>
            </w:r>
          </w:p>
        </w:tc>
        <w:tc>
          <w:tcPr>
            <w:tcW w:type="dxa" w:w="7560"/>
            <w:tcMar>
              <w:top w:w="115" w:type="dxa"/>
              <w:start w:w="120" w:type="dxa"/>
              <w:bottom w:w="115" w:type="dxa"/>
              <w:end w:w="120" w:type="dxa"/>
            </w:tcMar>
            <w:vAlign w:val="center"/>
          </w:tcPr>
          <w:p>
            <w:pPr>
              <w:spacing w:after="0"/>
            </w:pPr>
            <w:r>
              <w:rPr>
                <w:rFonts w:ascii="Arial" w:hAnsi="Arial" w:eastAsia="Arial"/>
                <w:color w:val="1F2933"/>
                <w:sz w:val="19"/>
              </w:rPr>
              <w:t>Items not located or not yet published are labeled NOT FOUND; no estimates are substituted.</w:t>
            </w:r>
          </w:p>
        </w:tc>
      </w:tr>
    </w:tbl>
    <w:p>
      <w:pPr>
        <w:spacing w:before="560"/>
      </w:pPr>
      <w:r>
        <w:rPr>
          <w:rFonts w:ascii="Arial" w:hAnsi="Arial" w:eastAsia="Arial"/>
          <w:b/>
          <w:color w:val="17324D"/>
          <w:sz w:val="28"/>
        </w:rPr>
        <w:t>Contents</w:t>
      </w:r>
    </w:p>
    <w:p>
      <w:pPr>
        <w:spacing w:after="80"/>
        <w:ind w:left="259" w:hanging="202"/>
      </w:pPr>
      <w:r>
        <w:rPr>
          <w:rFonts w:ascii="Arial" w:hAnsi="Arial" w:eastAsia="Arial"/>
          <w:b/>
          <w:color w:val="2E5D7B"/>
          <w:sz w:val="21"/>
        </w:rPr>
        <w:t xml:space="preserve">• </w:t>
      </w:r>
      <w:r>
        <w:rPr>
          <w:rFonts w:ascii="Arial" w:hAnsi="Arial" w:eastAsia="Arial"/>
          <w:color w:val="1F2933"/>
          <w:sz w:val="21"/>
        </w:rPr>
        <w:t>A. Market data</w:t>
      </w:r>
    </w:p>
    <w:p>
      <w:pPr>
        <w:spacing w:after="80"/>
        <w:ind w:left="259" w:hanging="202"/>
      </w:pPr>
      <w:r>
        <w:rPr>
          <w:rFonts w:ascii="Arial" w:hAnsi="Arial" w:eastAsia="Arial"/>
          <w:b/>
          <w:color w:val="2E5D7B"/>
          <w:sz w:val="21"/>
        </w:rPr>
        <w:t xml:space="preserve">• </w:t>
      </w:r>
      <w:r>
        <w:rPr>
          <w:rFonts w:ascii="Arial" w:hAnsi="Arial" w:eastAsia="Arial"/>
          <w:color w:val="1F2933"/>
          <w:sz w:val="21"/>
        </w:rPr>
        <w:t>B. News events — preceding 48 hours</w:t>
      </w:r>
    </w:p>
    <w:p>
      <w:pPr>
        <w:spacing w:after="80"/>
        <w:ind w:left="259" w:hanging="202"/>
      </w:pPr>
      <w:r>
        <w:rPr>
          <w:rFonts w:ascii="Arial" w:hAnsi="Arial" w:eastAsia="Arial"/>
          <w:b/>
          <w:color w:val="2E5D7B"/>
          <w:sz w:val="21"/>
        </w:rPr>
        <w:t xml:space="preserve">• </w:t>
      </w:r>
      <w:r>
        <w:rPr>
          <w:rFonts w:ascii="Arial" w:hAnsi="Arial" w:eastAsia="Arial"/>
          <w:color w:val="1F2933"/>
          <w:sz w:val="21"/>
        </w:rPr>
        <w:t>C. Official series — Federal Reserve, Treasury, FRED, ICI, and New York Fed</w:t>
      </w:r>
    </w:p>
    <w:p>
      <w:r>
        <w:br w:type="page"/>
      </w:r>
    </w:p>
    <w:p>
      <w:pPr>
        <w:pStyle w:val="Heading1"/>
        <w:keepNext/>
        <w:keepLines/>
      </w:pPr>
      <w:r>
        <w:t>A. Market Data</w:t>
      </w:r>
    </w:p>
    <w:p>
      <w:pPr>
        <w:pStyle w:val="Heading2"/>
        <w:keepNext/>
        <w:keepLines/>
      </w:pPr>
      <w:r>
        <w:t>1. Silicon Data LLM Token Expenditure Index</w:t>
      </w:r>
    </w:p>
    <w:p>
      <w:pPr>
        <w:pStyle w:val="BodyText"/>
      </w:pPr>
      <w:r>
        <w:rPr>
          <w:rFonts w:ascii="Arial" w:hAnsi="Arial" w:eastAsia="Arial"/>
          <w:b/>
          <w:color w:val="1F2933"/>
          <w:sz w:val="20"/>
        </w:rPr>
        <w:t xml:space="preserve">Classification: </w:t>
      </w:r>
      <w:r>
        <w:rPr>
          <w:rFonts w:ascii="Arial" w:hAnsi="Arial" w:eastAsia="Arial"/>
          <w:color w:val="1F2933"/>
          <w:sz w:val="20"/>
        </w:rPr>
        <w:t>(a) Price/cost index, not total token spending</w:t>
      </w:r>
    </w:p>
    <w:p>
      <w:pPr>
        <w:pStyle w:val="BodyText"/>
      </w:pPr>
      <w:r>
        <w:rPr>
          <w:rFonts w:ascii="Arial" w:hAnsi="Arial" w:eastAsia="Arial"/>
          <w:b/>
          <w:color w:val="1F2933"/>
          <w:sz w:val="20"/>
        </w:rPr>
        <w:t xml:space="preserve">Exact definition: </w:t>
      </w:r>
      <w:r>
        <w:rPr>
          <w:rFonts w:ascii="Arial" w:hAnsi="Arial" w:eastAsia="Arial"/>
          <w:color w:val="1F2933"/>
          <w:sz w:val="20"/>
        </w:rPr>
        <w:t>“The LLM Token Expenditure Index (SDLLMTK) is the Silicon Data benchmark for large language model inference token pricing.”</w:t>
      </w:r>
    </w:p>
    <w:p>
      <w:pPr>
        <w:pStyle w:val="BodyText"/>
      </w:pPr>
      <w:r>
        <w:rPr>
          <w:rFonts w:ascii="Arial" w:hAnsi="Arial" w:eastAsia="Arial"/>
          <w:b/>
          <w:color w:val="1F2933"/>
          <w:sz w:val="20"/>
        </w:rPr>
        <w:t xml:space="preserve">Unit: </w:t>
      </w:r>
      <w:r>
        <w:rPr>
          <w:rFonts w:ascii="Arial" w:hAnsi="Arial" w:eastAsia="Arial"/>
          <w:color w:val="1F2933"/>
          <w:sz w:val="20"/>
        </w:rPr>
        <w:t>Normalized blended rate in USD per million tokens</w:t>
      </w:r>
    </w:p>
    <w:p>
      <w:pPr>
        <w:pStyle w:val="BodyText"/>
      </w:pPr>
      <w:r>
        <w:rPr>
          <w:rFonts w:ascii="Arial" w:hAnsi="Arial" w:eastAsia="Arial"/>
          <w:b/>
          <w:color w:val="1F2933"/>
          <w:sz w:val="20"/>
        </w:rPr>
        <w:t xml:space="preserve">Total spend, price × volume: </w:t>
      </w:r>
      <w:r>
        <w:rPr>
          <w:rFonts w:ascii="Arial" w:hAnsi="Arial" w:eastAsia="Arial"/>
          <w:color w:val="1F2933"/>
          <w:sz w:val="20"/>
        </w:rPr>
        <w:t>No. Usage may be used as a weighting input, but the index measures token pricing/cost.</w:t>
      </w:r>
    </w:p>
    <w:p>
      <w:pPr>
        <w:pStyle w:val="Source"/>
      </w:pPr>
      <w:r>
        <w:rPr>
          <w:rFonts w:ascii="Arial" w:hAnsi="Arial" w:eastAsia="Arial"/>
          <w:b/>
          <w:color w:val="5A6673"/>
          <w:sz w:val="17"/>
        </w:rPr>
        <w:t xml:space="preserve">Source: </w:t>
      </w:r>
      <w:hyperlink r:id="rId11">
        <w:r>
          <w:rPr>
            <w:rFonts w:ascii="Arial" w:hAnsi="Arial"/>
            <w:color w:val="2E5D7B"/>
            <w:u w:val="single"/>
          </w:rPr>
          <w:t>Silicon Data — LLM Token Expenditure Index</w:t>
        </w:r>
      </w:hyperlink>
    </w:p>
    <w:p>
      <w:pPr>
        <w:pStyle w:val="Heading2"/>
        <w:keepNext/>
        <w:keepLines/>
      </w:pPr>
      <w:r>
        <w:t>2. Brent–WTI spread, front month versus front month</w:t>
      </w:r>
    </w:p>
    <w:p>
      <w:pPr>
        <w:pStyle w:val="BodyText"/>
      </w:pPr>
      <w:r>
        <w:rPr>
          <w:rFonts w:ascii="Arial" w:hAnsi="Arial" w:eastAsia="Arial"/>
          <w:color w:val="1F2933"/>
          <w:sz w:val="21"/>
        </w:rPr>
        <w:t>Values are Brent minus WTI, in US dollars per barrel.</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3389"/>
        <w:gridCol w:w="3389"/>
        <w:gridCol w:w="3389"/>
      </w:tblGrid>
      <w:tr>
        <w:trPr>
          <w:tblHeader w:val="true"/>
          <w:cantSplit/>
        </w:trPr>
        <w:tc>
          <w:tcPr>
            <w:tcW w:type="dxa" w:w="4320"/>
            <w:shd w:fill="17324D"/>
            <w:tcMar>
              <w:top w:w="105" w:type="dxa"/>
              <w:start w:w="100" w:type="dxa"/>
              <w:bottom w:w="105" w:type="dxa"/>
              <w:end w:w="100" w:type="dxa"/>
            </w:tcMar>
            <w:vAlign w:val="center"/>
          </w:tcPr>
          <w:p>
            <w:pPr>
              <w:spacing w:after="0"/>
              <w:jc w:val="left"/>
            </w:pPr>
            <w:r>
              <w:rPr>
                <w:rFonts w:ascii="Arial" w:hAnsi="Arial" w:eastAsia="Arial"/>
                <w:b/>
                <w:color w:val="FFFFFF"/>
                <w:sz w:val="18"/>
              </w:rPr>
              <w:t>Observation</w:t>
            </w:r>
          </w:p>
        </w:tc>
        <w:tc>
          <w:tcPr>
            <w:tcW w:type="dxa" w:w="3240"/>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Date / time</w:t>
            </w:r>
          </w:p>
        </w:tc>
        <w:tc>
          <w:tcPr>
            <w:tcW w:type="dxa" w:w="2232"/>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Spread</w:t>
            </w:r>
          </w:p>
        </w:tc>
      </w:tr>
      <w:tr>
        <w:trPr>
          <w:cantSplit/>
          <w:trHeight w:hRule="atLeast"/>
        </w:trPr>
        <w:tc>
          <w:tcPr>
            <w:tcW w:type="dxa" w:w="4320"/>
            <w:tcMar>
              <w:top w:w="90" w:type="dxa"/>
              <w:start w:w="95" w:type="dxa"/>
              <w:bottom w:w="90" w:type="dxa"/>
              <w:end w:w="95" w:type="dxa"/>
            </w:tcMar>
            <w:vAlign w:val="center"/>
          </w:tcPr>
          <w:p>
            <w:pPr>
              <w:spacing w:after="0"/>
              <w:jc w:val="left"/>
            </w:pPr>
            <w:r>
              <w:rPr>
                <w:rFonts w:ascii="Arial" w:hAnsi="Arial" w:eastAsia="Arial"/>
                <w:b w:val="0"/>
                <w:color w:val="1F2933"/>
                <w:sz w:val="18"/>
              </w:rPr>
              <w:t>June–July maximum, intraday</w:t>
            </w:r>
          </w:p>
        </w:tc>
        <w:tc>
          <w:tcPr>
            <w:tcW w:type="dxa" w:w="3240"/>
            <w:tcMar>
              <w:top w:w="90" w:type="dxa"/>
              <w:start w:w="95" w:type="dxa"/>
              <w:bottom w:w="90" w:type="dxa"/>
              <w:end w:w="95" w:type="dxa"/>
            </w:tcMar>
            <w:vAlign w:val="center"/>
          </w:tcPr>
          <w:p>
            <w:pPr>
              <w:spacing w:after="0"/>
              <w:jc w:val="center"/>
            </w:pPr>
            <w:r>
              <w:rPr>
                <w:rFonts w:ascii="Arial" w:hAnsi="Arial" w:eastAsia="Arial"/>
                <w:b w:val="0"/>
                <w:color w:val="1F2933"/>
                <w:sz w:val="18"/>
              </w:rPr>
              <w:t>July 23, 2026</w:t>
            </w:r>
          </w:p>
        </w:tc>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8"/>
              </w:rPr>
              <w:t>+$9.08</w:t>
            </w:r>
          </w:p>
        </w:tc>
      </w:tr>
      <w:tr>
        <w:trPr>
          <w:cantSplit/>
          <w:trHeight w:hRule="atLeast"/>
        </w:trPr>
        <w:tc>
          <w:tcPr>
            <w:tcW w:type="dxa" w:w="4320"/>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June–July maximum, close</w:t>
            </w:r>
          </w:p>
        </w:tc>
        <w:tc>
          <w:tcPr>
            <w:tcW w:type="dxa" w:w="3240"/>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July 23, 2026</w:t>
            </w:r>
          </w:p>
        </w:tc>
        <w:tc>
          <w:tcPr>
            <w:tcW w:type="dxa" w:w="2232"/>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+$8.50</w:t>
            </w:r>
          </w:p>
        </w:tc>
      </w:tr>
      <w:tr>
        <w:trPr>
          <w:cantSplit/>
          <w:trHeight w:hRule="atLeast"/>
        </w:trPr>
        <w:tc>
          <w:tcPr>
            <w:tcW w:type="dxa" w:w="4320"/>
            <w:tcMar>
              <w:top w:w="90" w:type="dxa"/>
              <w:start w:w="95" w:type="dxa"/>
              <w:bottom w:w="90" w:type="dxa"/>
              <w:end w:w="95" w:type="dxa"/>
            </w:tcMar>
            <w:vAlign w:val="center"/>
          </w:tcPr>
          <w:p>
            <w:pPr>
              <w:spacing w:after="0"/>
              <w:jc w:val="left"/>
            </w:pPr>
            <w:r>
              <w:rPr>
                <w:rFonts w:ascii="Arial" w:hAnsi="Arial" w:eastAsia="Arial"/>
                <w:b w:val="0"/>
                <w:color w:val="1F2933"/>
                <w:sz w:val="18"/>
              </w:rPr>
              <w:t>August 1</w:t>
            </w:r>
          </w:p>
        </w:tc>
        <w:tc>
          <w:tcPr>
            <w:tcW w:type="dxa" w:w="3240"/>
            <w:tcMar>
              <w:top w:w="90" w:type="dxa"/>
              <w:start w:w="95" w:type="dxa"/>
              <w:bottom w:w="90" w:type="dxa"/>
              <w:end w:w="95" w:type="dxa"/>
            </w:tcMar>
            <w:vAlign w:val="center"/>
          </w:tcPr>
          <w:p>
            <w:pPr>
              <w:spacing w:after="0"/>
              <w:jc w:val="center"/>
            </w:pPr>
            <w:r>
              <w:rPr>
                <w:rFonts w:ascii="Arial" w:hAnsi="Arial" w:eastAsia="Arial"/>
                <w:b w:val="0"/>
                <w:color w:val="1F2933"/>
                <w:sz w:val="18"/>
              </w:rPr>
              <w:t>August 1, 2026</w:t>
            </w:r>
          </w:p>
        </w:tc>
        <w:tc>
          <w:tcPr>
            <w:tcW w:type="dxa" w:w="2232"/>
            <w:tcMar>
              <w:top w:w="90" w:type="dxa"/>
              <w:start w:w="95" w:type="dxa"/>
              <w:bottom w:w="90" w:type="dxa"/>
              <w:end w:w="95" w:type="dxa"/>
            </w:tcMar>
            <w:vAlign w:val="center"/>
          </w:tcPr>
          <w:p>
            <w:pPr>
              <w:spacing w:after="0"/>
              <w:jc w:val="center"/>
            </w:pPr>
            <w:r>
              <w:rPr>
                <w:rFonts w:ascii="Arial" w:hAnsi="Arial" w:eastAsia="Arial"/>
                <w:b/>
                <w:color w:val="9C2F2F"/>
                <w:sz w:val="18"/>
              </w:rPr>
              <w:t>NOT FOUND — Saturday; no exchange settlement</w:t>
            </w:r>
          </w:p>
        </w:tc>
      </w:tr>
      <w:tr>
        <w:trPr>
          <w:cantSplit/>
          <w:trHeight w:hRule="atLeast"/>
        </w:trPr>
        <w:tc>
          <w:tcPr>
            <w:tcW w:type="dxa" w:w="4320"/>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August 4 close</w:t>
            </w:r>
          </w:p>
        </w:tc>
        <w:tc>
          <w:tcPr>
            <w:tcW w:type="dxa" w:w="3240"/>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August 4, 2026</w:t>
            </w:r>
          </w:p>
        </w:tc>
        <w:tc>
          <w:tcPr>
            <w:tcW w:type="dxa" w:w="2232"/>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+$4.96</w:t>
            </w:r>
          </w:p>
        </w:tc>
      </w:tr>
      <w:tr>
        <w:trPr>
          <w:cantSplit/>
          <w:trHeight w:hRule="atLeast"/>
        </w:trPr>
        <w:tc>
          <w:tcPr>
            <w:tcW w:type="dxa" w:w="4320"/>
            <w:tcMar>
              <w:top w:w="90" w:type="dxa"/>
              <w:start w:w="95" w:type="dxa"/>
              <w:bottom w:w="90" w:type="dxa"/>
              <w:end w:w="95" w:type="dxa"/>
            </w:tcMar>
            <w:vAlign w:val="center"/>
          </w:tcPr>
          <w:p>
            <w:pPr>
              <w:spacing w:after="0"/>
              <w:jc w:val="left"/>
            </w:pPr>
            <w:r>
              <w:rPr>
                <w:rFonts w:ascii="Arial" w:hAnsi="Arial" w:eastAsia="Arial"/>
                <w:b w:val="0"/>
                <w:color w:val="1F2933"/>
                <w:sz w:val="18"/>
              </w:rPr>
              <w:t>Today, intraday</w:t>
            </w:r>
          </w:p>
        </w:tc>
        <w:tc>
          <w:tcPr>
            <w:tcW w:type="dxa" w:w="3240"/>
            <w:tcMar>
              <w:top w:w="90" w:type="dxa"/>
              <w:start w:w="95" w:type="dxa"/>
              <w:bottom w:w="90" w:type="dxa"/>
              <w:end w:w="95" w:type="dxa"/>
            </w:tcMar>
            <w:vAlign w:val="center"/>
          </w:tcPr>
          <w:p>
            <w:pPr>
              <w:spacing w:after="0"/>
              <w:jc w:val="center"/>
            </w:pPr>
            <w:r>
              <w:rPr>
                <w:rFonts w:ascii="Arial" w:hAnsi="Arial" w:eastAsia="Arial"/>
                <w:b w:val="0"/>
                <w:color w:val="1F2933"/>
                <w:sz w:val="18"/>
              </w:rPr>
              <w:t>August 6, 2026, 1:34:40 p.m. ET</w:t>
            </w:r>
          </w:p>
        </w:tc>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8"/>
              </w:rPr>
              <w:t>+$6.24</w:t>
            </w:r>
          </w:p>
        </w:tc>
      </w:tr>
    </w:tbl>
    <w:p>
      <w:pPr>
        <w:spacing w:after="0"/>
      </w:pPr>
    </w:p>
    <w:p>
      <w:pPr>
        <w:pStyle w:val="BodyText"/>
      </w:pPr>
      <w:r>
        <w:rPr>
          <w:rFonts w:ascii="Arial" w:hAnsi="Arial" w:eastAsia="Arial"/>
          <w:color w:val="1F2933"/>
          <w:sz w:val="21"/>
        </w:rPr>
        <w:t>Displayed negative WTI–Brent values were reversed to express Brent minus WTI. June observations were below the July 23 maximum.</w:t>
      </w:r>
    </w:p>
    <w:p>
      <w:pPr>
        <w:pStyle w:val="Source"/>
      </w:pPr>
      <w:r>
        <w:rPr>
          <w:rFonts w:ascii="Arial" w:hAnsi="Arial" w:eastAsia="Arial"/>
          <w:b/>
          <w:color w:val="5A6673"/>
          <w:sz w:val="17"/>
        </w:rPr>
        <w:t xml:space="preserve">Source: </w:t>
      </w:r>
      <w:hyperlink r:id="rId12">
        <w:r>
          <w:rPr>
            <w:rFonts w:ascii="Arial" w:hAnsi="Arial"/>
            <w:color w:val="2E5D7B"/>
            <w:u w:val="single"/>
          </w:rPr>
          <w:t>Investing.com — Brent–WTI crude spread futures history</w:t>
        </w:r>
      </w:hyperlink>
    </w:p>
    <w:p>
      <w:pPr>
        <w:pStyle w:val="Heading2"/>
        <w:keepNext/>
        <w:keepLines/>
      </w:pPr>
      <w:r>
        <w:t>3. September and December 2026 Fed hike probabilities</w:t>
      </w:r>
    </w:p>
    <w:p>
      <w:pPr>
        <w:pStyle w:val="BodyText"/>
      </w:pPr>
      <w:r>
        <w:rPr>
          <w:rFonts w:ascii="Arial" w:hAnsi="Arial" w:eastAsia="Arial"/>
          <w:b/>
          <w:color w:val="1F2933"/>
          <w:sz w:val="20"/>
        </w:rPr>
        <w:t xml:space="preserve">Venue: </w:t>
      </w:r>
      <w:r>
        <w:rPr>
          <w:rFonts w:ascii="Arial" w:hAnsi="Arial" w:eastAsia="Arial"/>
          <w:color w:val="1F2933"/>
          <w:sz w:val="20"/>
        </w:rPr>
        <w:t>CME FedWatch probability distribution, republished by FXBus</w:t>
      </w:r>
    </w:p>
    <w:p>
      <w:pPr>
        <w:pStyle w:val="BodyText"/>
      </w:pPr>
      <w:r>
        <w:rPr>
          <w:rFonts w:ascii="Arial" w:hAnsi="Arial" w:eastAsia="Arial"/>
          <w:b/>
          <w:color w:val="1F2933"/>
          <w:sz w:val="20"/>
        </w:rPr>
        <w:t xml:space="preserve">Timestamp: </w:t>
      </w:r>
      <w:r>
        <w:rPr>
          <w:rFonts w:ascii="Arial" w:hAnsi="Arial" w:eastAsia="Arial"/>
          <w:color w:val="1F2933"/>
          <w:sz w:val="20"/>
        </w:rPr>
        <w:t>August 6, 2026, 06:06:52</w:t>
      </w:r>
    </w:p>
    <w:p>
      <w:pPr>
        <w:pStyle w:val="BodyText"/>
      </w:pPr>
      <w:r>
        <w:rPr>
          <w:rFonts w:ascii="Arial" w:hAnsi="Arial" w:eastAsia="Arial"/>
          <w:b/>
          <w:color w:val="1F2933"/>
          <w:sz w:val="20"/>
        </w:rPr>
        <w:t xml:space="preserve">September 2026 +25-basis-point hike: </w:t>
      </w:r>
      <w:r>
        <w:rPr>
          <w:rFonts w:ascii="Arial" w:hAnsi="Arial" w:eastAsia="Arial"/>
          <w:color w:val="1F2933"/>
          <w:sz w:val="20"/>
        </w:rPr>
        <w:t>54.4%</w:t>
      </w:r>
    </w:p>
    <w:p>
      <w:pPr>
        <w:pStyle w:val="BodyText"/>
      </w:pPr>
      <w:r>
        <w:rPr>
          <w:rFonts w:ascii="Arial" w:hAnsi="Arial" w:eastAsia="Arial"/>
          <w:b/>
          <w:color w:val="1F2933"/>
          <w:sz w:val="20"/>
        </w:rPr>
        <w:t xml:space="preserve">December 2026 unchanged from current target: </w:t>
      </w:r>
      <w:r>
        <w:rPr>
          <w:rFonts w:ascii="Arial" w:hAnsi="Arial" w:eastAsia="Arial"/>
          <w:color w:val="1F2933"/>
          <w:sz w:val="20"/>
        </w:rPr>
        <w:t>19.9%</w:t>
      </w:r>
    </w:p>
    <w:p>
      <w:pPr>
        <w:pStyle w:val="BodyText"/>
      </w:pPr>
      <w:r>
        <w:rPr>
          <w:rFonts w:ascii="Arial" w:hAnsi="Arial" w:eastAsia="Arial"/>
          <w:b/>
          <w:color w:val="1F2933"/>
          <w:sz w:val="20"/>
        </w:rPr>
        <w:t xml:space="preserve">Cumulative probability of at least one hike by December: </w:t>
      </w:r>
      <w:r>
        <w:rPr>
          <w:rFonts w:ascii="Arial" w:hAnsi="Arial" w:eastAsia="Arial"/>
          <w:color w:val="1F2933"/>
          <w:sz w:val="20"/>
        </w:rPr>
        <w:t>80.1%</w:t>
      </w:r>
    </w:p>
    <w:p>
      <w:pPr>
        <w:pStyle w:val="BodyText"/>
      </w:pPr>
      <w:r>
        <w:rPr>
          <w:rFonts w:ascii="Arial" w:hAnsi="Arial" w:eastAsia="Arial"/>
          <w:color w:val="1F2933"/>
          <w:sz w:val="21"/>
        </w:rPr>
        <w:t>Calculation: 100% − 19.9% = 80.1%.</w:t>
      </w:r>
    </w:p>
    <w:p>
      <w:pPr>
        <w:pStyle w:val="Source"/>
      </w:pPr>
      <w:r>
        <w:rPr>
          <w:rFonts w:ascii="Arial" w:hAnsi="Arial" w:eastAsia="Arial"/>
          <w:b/>
          <w:color w:val="5A6673"/>
          <w:sz w:val="17"/>
        </w:rPr>
        <w:t xml:space="preserve">Source: </w:t>
      </w:r>
      <w:hyperlink r:id="rId13">
        <w:r>
          <w:rPr>
            <w:rFonts w:ascii="Arial" w:hAnsi="Arial"/>
            <w:color w:val="2E5D7B"/>
            <w:u w:val="single"/>
          </w:rPr>
          <w:t>FXBus — CME FedWatch probability distribution</w:t>
        </w:r>
      </w:hyperlink>
    </w:p>
    <w:p>
      <w:pPr>
        <w:pStyle w:val="Heading2"/>
        <w:keepNext/>
        <w:keepLines/>
      </w:pPr>
      <w:r>
        <w:t>4. SpaceX / SPCX lockup and trading</w:t>
      </w:r>
    </w:p>
    <w:p>
      <w:pPr>
        <w:pStyle w:val="Heading3"/>
        <w:keepNext/>
        <w:keepLines/>
      </w:pPr>
      <w:r>
        <w:t>Standard 180-day lockup group — early-release schedule</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5083"/>
        <w:gridCol w:w="5083"/>
      </w:tblGrid>
      <w:tr>
        <w:trPr>
          <w:tblHeader w:val="true"/>
          <w:cantSplit/>
        </w:trPr>
        <w:tc>
          <w:tcPr>
            <w:tcW w:type="dxa" w:w="7416"/>
            <w:shd w:fill="17324D"/>
            <w:tcMar>
              <w:top w:w="105" w:type="dxa"/>
              <w:start w:w="100" w:type="dxa"/>
              <w:bottom w:w="105" w:type="dxa"/>
              <w:end w:w="100" w:type="dxa"/>
            </w:tcMar>
            <w:vAlign w:val="center"/>
          </w:tcPr>
          <w:p>
            <w:pPr>
              <w:spacing w:after="0"/>
              <w:jc w:val="left"/>
            </w:pPr>
            <w:r>
              <w:rPr>
                <w:rFonts w:ascii="Arial" w:hAnsi="Arial" w:eastAsia="Arial"/>
                <w:b/>
                <w:color w:val="FFFFFF"/>
                <w:sz w:val="18"/>
              </w:rPr>
              <w:t>Release event</w:t>
            </w:r>
          </w:p>
        </w:tc>
        <w:tc>
          <w:tcPr>
            <w:tcW w:type="dxa" w:w="2376"/>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Maximum tranche</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Second full Nasdaq trading day after Q2 results</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20%</w:t>
            </w:r>
          </w:p>
        </w:tc>
      </w:tr>
      <w:tr>
        <w:trPr>
          <w:cantSplit/>
          <w:trHeight w:hRule="atLeast"/>
        </w:trPr>
        <w:tc>
          <w:tcPr>
            <w:tcW w:type="dxa" w:w="7416"/>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Additional Q2 price-condition tranche</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10%</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August 20, 2026</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7%</w:t>
            </w:r>
          </w:p>
        </w:tc>
      </w:tr>
      <w:tr>
        <w:trPr>
          <w:cantSplit/>
          <w:trHeight w:hRule="atLeast"/>
        </w:trPr>
        <w:tc>
          <w:tcPr>
            <w:tcW w:type="dxa" w:w="7416"/>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September 9, 2026</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7%</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September 24, 2026</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7%</w:t>
            </w:r>
          </w:p>
        </w:tc>
      </w:tr>
      <w:tr>
        <w:trPr>
          <w:cantSplit/>
          <w:trHeight w:hRule="atLeast"/>
        </w:trPr>
        <w:tc>
          <w:tcPr>
            <w:tcW w:type="dxa" w:w="7416"/>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October 9, 2026</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7%</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October 24, 2026</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7%</w:t>
            </w:r>
          </w:p>
        </w:tc>
      </w:tr>
      <w:tr>
        <w:trPr>
          <w:cantSplit/>
          <w:trHeight w:hRule="atLeast"/>
        </w:trPr>
        <w:tc>
          <w:tcPr>
            <w:tcW w:type="dxa" w:w="7416"/>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Second full Nasdaq trading day after Q3 results</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28%</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December 8, 2026</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All remaining shares</w:t>
            </w:r>
          </w:p>
        </w:tc>
      </w:tr>
    </w:tbl>
    <w:p>
      <w:pPr>
        <w:spacing w:after="0"/>
      </w:pPr>
    </w:p>
    <w:tbl>
      <w:tblPr>
        <w:tblW w:type="auto" w:w="0"/>
        <w:jc w:val="center"/>
        <w:tblLayout w:type="fixed"/>
        <w:tblLook w:firstColumn="1" w:firstRow="1" w:lastColumn="0" w:lastRow="0" w:noHBand="0" w:noVBand="1" w:val="04A0"/>
        <w:tblBorders>
          <w:top w:val="single" w:sz="8" w:space="0" w:color="B86B00"/>
          <w:start w:val="single" w:sz="8" w:space="0" w:color="B86B00"/>
          <w:bottom w:val="single" w:sz="8" w:space="0" w:color="B86B00"/>
          <w:end w:val="single" w:sz="8" w:space="0" w:color="B86B00"/>
          <w:insideH w:val="single" w:sz="8" w:space="0" w:color="B86B00"/>
          <w:insideV w:val="single" w:sz="8" w:space="0" w:color="B86B00"/>
        </w:tblBorders>
      </w:tblPr>
      <w:tblGrid>
        <w:gridCol w:w="9864"/>
      </w:tblGrid>
      <w:tr>
        <w:tc>
          <w:tcPr>
            <w:tcW w:type="dxa" w:w="10166"/>
            <w:shd w:fill="FFF4E5"/>
            <w:tcMar>
              <w:top w:w="140" w:type="dxa"/>
              <w:start w:w="150" w:type="dxa"/>
              <w:bottom w:w="140" w:type="dxa"/>
              <w:end w:w="150" w:type="dxa"/>
            </w:tcMar>
          </w:tcPr>
          <w:p>
            <w:pPr>
              <w:spacing w:after="60"/>
            </w:pPr>
            <w:r>
              <w:rPr>
                <w:rFonts w:ascii="Arial" w:hAnsi="Arial" w:eastAsia="Arial"/>
                <w:b/>
                <w:color w:val="B86B00"/>
                <w:sz w:val="20"/>
              </w:rPr>
              <w:t>Q2 price-condition tranche</w:t>
            </w:r>
          </w:p>
          <w:p>
            <w:pPr>
              <w:spacing w:after="0"/>
            </w:pPr>
            <w:r>
              <w:rPr>
                <w:rFonts w:ascii="Arial" w:hAnsi="Arial" w:eastAsia="Arial"/>
                <w:color w:val="1F2933"/>
                <w:sz w:val="19"/>
              </w:rPr>
              <w:t>The extra 10% required SPCX to close at or above $175.50 on at least 5 of 10 consecutive trading days ending with the applicable Q2 release date. Condition met: No. None of the completed sessions in the relevant test window closed at $175.50; the condition could not reach five qualifying closes.</w:t>
            </w:r>
          </w:p>
        </w:tc>
      </w:tr>
    </w:tbl>
    <w:p>
      <w:pPr>
        <w:spacing w:after="0"/>
      </w:pPr>
    </w:p>
    <w:p>
      <w:pPr>
        <w:pStyle w:val="Heading3"/>
        <w:keepNext/>
        <w:keepLines/>
      </w:pPr>
      <w:r>
        <w:t>Extended lockup group</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5083"/>
        <w:gridCol w:w="5083"/>
      </w:tblGrid>
      <w:tr>
        <w:trPr>
          <w:tblHeader w:val="true"/>
          <w:cantSplit/>
        </w:trPr>
        <w:tc>
          <w:tcPr>
            <w:tcW w:type="dxa" w:w="7416"/>
            <w:shd w:fill="17324D"/>
            <w:tcMar>
              <w:top w:w="105" w:type="dxa"/>
              <w:start w:w="100" w:type="dxa"/>
              <w:bottom w:w="105" w:type="dxa"/>
              <w:end w:w="100" w:type="dxa"/>
            </w:tcMar>
            <w:vAlign w:val="center"/>
          </w:tcPr>
          <w:p>
            <w:pPr>
              <w:spacing w:after="0"/>
              <w:jc w:val="left"/>
            </w:pPr>
            <w:r>
              <w:rPr>
                <w:rFonts w:ascii="Arial" w:hAnsi="Arial" w:eastAsia="Arial"/>
                <w:b/>
                <w:color w:val="FFFFFF"/>
                <w:sz w:val="18"/>
              </w:rPr>
              <w:t>Release event</w:t>
            </w:r>
          </w:p>
        </w:tc>
        <w:tc>
          <w:tcPr>
            <w:tcW w:type="dxa" w:w="2376"/>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Maximum tranche</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After Q4 2026 results</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20%</w:t>
            </w:r>
          </w:p>
        </w:tc>
      </w:tr>
      <w:tr>
        <w:trPr>
          <w:cantSplit/>
          <w:trHeight w:hRule="atLeast"/>
        </w:trPr>
        <w:tc>
          <w:tcPr>
            <w:tcW w:type="dxa" w:w="7416"/>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March 18, 2027</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10%</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After Q1 2027 results</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20%</w:t>
            </w:r>
          </w:p>
        </w:tc>
      </w:tr>
      <w:tr>
        <w:trPr>
          <w:cantSplit/>
          <w:trHeight w:hRule="atLeast"/>
        </w:trPr>
        <w:tc>
          <w:tcPr>
            <w:tcW w:type="dxa" w:w="7416"/>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May 17, 2027</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10%</w:t>
            </w:r>
          </w:p>
        </w:tc>
      </w:tr>
      <w:tr>
        <w:trPr>
          <w:cantSplit/>
          <w:trHeight w:hRule="atLeast"/>
        </w:trPr>
        <w:tc>
          <w:tcPr>
            <w:tcW w:type="dxa" w:w="7416"/>
            <w:tcMar>
              <w:top w:w="90" w:type="dxa"/>
              <w:start w:w="95" w:type="dxa"/>
              <w:bottom w:w="90" w:type="dxa"/>
              <w:end w:w="95" w:type="dxa"/>
            </w:tcMar>
            <w:vAlign w:val="center"/>
          </w:tcPr>
          <w:p>
            <w:pPr>
              <w:spacing w:after="0"/>
              <w:jc w:val="left"/>
            </w:pPr>
            <w:r>
              <w:rPr>
                <w:rFonts w:ascii="Arial" w:hAnsi="Arial" w:eastAsia="Arial"/>
                <w:b w:val="0"/>
                <w:color w:val="1F2933"/>
                <w:sz w:val="18"/>
              </w:rPr>
              <w:t>June 12, 2027</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8"/>
              </w:rPr>
              <w:t>20%</w:t>
            </w:r>
          </w:p>
        </w:tc>
      </w:tr>
      <w:tr>
        <w:trPr>
          <w:cantSplit/>
          <w:trHeight w:hRule="atLeast"/>
        </w:trPr>
        <w:tc>
          <w:tcPr>
            <w:tcW w:type="dxa" w:w="7416"/>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After Q2 2027 results</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All remaining shares</w:t>
            </w:r>
          </w:p>
        </w:tc>
      </w:tr>
    </w:tbl>
    <w:p>
      <w:pPr>
        <w:spacing w:after="0"/>
      </w:pPr>
    </w:p>
    <w:p>
      <w:pPr>
        <w:pStyle w:val="BodyText"/>
      </w:pPr>
      <w:r>
        <w:rPr>
          <w:rFonts w:ascii="Arial" w:hAnsi="Arial" w:eastAsia="Arial"/>
          <w:color w:val="1F2933"/>
          <w:sz w:val="21"/>
        </w:rPr>
        <w:t>A separately identified Musk/affiliate category remains locked through the close of June 12, 2027, without these early-release tranches.</w:t>
      </w:r>
    </w:p>
    <w:p>
      <w:pPr>
        <w:pStyle w:val="Heading3"/>
        <w:keepNext/>
        <w:keepLines/>
      </w:pPr>
      <w:r>
        <w:t>SPCX daily closes</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5083"/>
        <w:gridCol w:w="5083"/>
      </w:tblGrid>
      <w:tr>
        <w:trPr>
          <w:tblHeader w:val="true"/>
          <w:cantSplit/>
        </w:trPr>
        <w:tc>
          <w:tcPr>
            <w:tcW w:type="dxa" w:w="6623"/>
            <w:shd w:fill="17324D"/>
            <w:tcMar>
              <w:top w:w="105" w:type="dxa"/>
              <w:start w:w="100" w:type="dxa"/>
              <w:bottom w:w="105" w:type="dxa"/>
              <w:end w:w="100" w:type="dxa"/>
            </w:tcMar>
            <w:vAlign w:val="center"/>
          </w:tcPr>
          <w:p>
            <w:pPr>
              <w:spacing w:after="0"/>
              <w:jc w:val="left"/>
            </w:pPr>
            <w:r>
              <w:rPr>
                <w:rFonts w:ascii="Arial" w:hAnsi="Arial" w:eastAsia="Arial"/>
                <w:b/>
                <w:color w:val="FFFFFF"/>
                <w:sz w:val="18"/>
              </w:rPr>
              <w:t>Date</w:t>
            </w:r>
          </w:p>
        </w:tc>
        <w:tc>
          <w:tcPr>
            <w:tcW w:type="dxa" w:w="3168"/>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Close</w:t>
            </w:r>
          </w:p>
        </w:tc>
      </w:tr>
      <w:tr>
        <w:trPr>
          <w:cantSplit/>
          <w:trHeight w:hRule="atLeast"/>
        </w:trPr>
        <w:tc>
          <w:tcPr>
            <w:tcW w:type="dxa" w:w="6623"/>
            <w:tcMar>
              <w:top w:w="90" w:type="dxa"/>
              <w:start w:w="95" w:type="dxa"/>
              <w:bottom w:w="90" w:type="dxa"/>
              <w:end w:w="95" w:type="dxa"/>
            </w:tcMar>
            <w:vAlign w:val="center"/>
          </w:tcPr>
          <w:p>
            <w:pPr>
              <w:spacing w:after="0"/>
              <w:jc w:val="left"/>
            </w:pPr>
            <w:r>
              <w:rPr>
                <w:rFonts w:ascii="Arial" w:hAnsi="Arial" w:eastAsia="Arial"/>
                <w:b w:val="0"/>
                <w:color w:val="1F2933"/>
                <w:sz w:val="18"/>
              </w:rPr>
              <w:t>July 21</w:t>
            </w:r>
          </w:p>
        </w:tc>
        <w:tc>
          <w:tcPr>
            <w:tcW w:type="dxa" w:w="3168"/>
            <w:tcMar>
              <w:top w:w="90" w:type="dxa"/>
              <w:start w:w="95" w:type="dxa"/>
              <w:bottom w:w="90" w:type="dxa"/>
              <w:end w:w="95" w:type="dxa"/>
            </w:tcMar>
            <w:vAlign w:val="center"/>
          </w:tcPr>
          <w:p>
            <w:pPr>
              <w:spacing w:after="0"/>
              <w:jc w:val="center"/>
            </w:pPr>
            <w:r>
              <w:rPr>
                <w:rFonts w:ascii="Arial" w:hAnsi="Arial" w:eastAsia="Arial"/>
                <w:b w:val="0"/>
                <w:color w:val="1F2933"/>
                <w:sz w:val="18"/>
              </w:rPr>
              <w:t>$123.54</w:t>
            </w:r>
          </w:p>
        </w:tc>
      </w:tr>
      <w:tr>
        <w:trPr>
          <w:cantSplit/>
          <w:trHeight w:hRule="atLeast"/>
        </w:trPr>
        <w:tc>
          <w:tcPr>
            <w:tcW w:type="dxa" w:w="6623"/>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July 22</w:t>
            </w:r>
          </w:p>
        </w:tc>
        <w:tc>
          <w:tcPr>
            <w:tcW w:type="dxa" w:w="3168"/>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$115.26</w:t>
            </w:r>
          </w:p>
        </w:tc>
      </w:tr>
      <w:tr>
        <w:trPr>
          <w:cantSplit/>
          <w:trHeight w:hRule="atLeast"/>
        </w:trPr>
        <w:tc>
          <w:tcPr>
            <w:tcW w:type="dxa" w:w="6623"/>
            <w:tcMar>
              <w:top w:w="90" w:type="dxa"/>
              <w:start w:w="95" w:type="dxa"/>
              <w:bottom w:w="90" w:type="dxa"/>
              <w:end w:w="95" w:type="dxa"/>
            </w:tcMar>
            <w:vAlign w:val="center"/>
          </w:tcPr>
          <w:p>
            <w:pPr>
              <w:spacing w:after="0"/>
              <w:jc w:val="left"/>
            </w:pPr>
            <w:r>
              <w:rPr>
                <w:rFonts w:ascii="Arial" w:hAnsi="Arial" w:eastAsia="Arial"/>
                <w:b w:val="0"/>
                <w:color w:val="1F2933"/>
                <w:sz w:val="18"/>
              </w:rPr>
              <w:t>July 23</w:t>
            </w:r>
          </w:p>
        </w:tc>
        <w:tc>
          <w:tcPr>
            <w:tcW w:type="dxa" w:w="3168"/>
            <w:tcMar>
              <w:top w:w="90" w:type="dxa"/>
              <w:start w:w="95" w:type="dxa"/>
              <w:bottom w:w="90" w:type="dxa"/>
              <w:end w:w="95" w:type="dxa"/>
            </w:tcMar>
            <w:vAlign w:val="center"/>
          </w:tcPr>
          <w:p>
            <w:pPr>
              <w:spacing w:after="0"/>
              <w:jc w:val="center"/>
            </w:pPr>
            <w:r>
              <w:rPr>
                <w:rFonts w:ascii="Arial" w:hAnsi="Arial" w:eastAsia="Arial"/>
                <w:b w:val="0"/>
                <w:color w:val="1F2933"/>
                <w:sz w:val="18"/>
              </w:rPr>
              <w:t>$118.24</w:t>
            </w:r>
          </w:p>
        </w:tc>
      </w:tr>
      <w:tr>
        <w:trPr>
          <w:cantSplit/>
          <w:trHeight w:hRule="atLeast"/>
        </w:trPr>
        <w:tc>
          <w:tcPr>
            <w:tcW w:type="dxa" w:w="6623"/>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July 24</w:t>
            </w:r>
          </w:p>
        </w:tc>
        <w:tc>
          <w:tcPr>
            <w:tcW w:type="dxa" w:w="3168"/>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$115.07</w:t>
            </w:r>
          </w:p>
        </w:tc>
      </w:tr>
      <w:tr>
        <w:trPr>
          <w:cantSplit/>
          <w:trHeight w:hRule="atLeast"/>
        </w:trPr>
        <w:tc>
          <w:tcPr>
            <w:tcW w:type="dxa" w:w="6623"/>
            <w:tcMar>
              <w:top w:w="90" w:type="dxa"/>
              <w:start w:w="95" w:type="dxa"/>
              <w:bottom w:w="90" w:type="dxa"/>
              <w:end w:w="95" w:type="dxa"/>
            </w:tcMar>
            <w:vAlign w:val="center"/>
          </w:tcPr>
          <w:p>
            <w:pPr>
              <w:spacing w:after="0"/>
              <w:jc w:val="left"/>
            </w:pPr>
            <w:r>
              <w:rPr>
                <w:rFonts w:ascii="Arial" w:hAnsi="Arial" w:eastAsia="Arial"/>
                <w:b w:val="0"/>
                <w:color w:val="1F2933"/>
                <w:sz w:val="18"/>
              </w:rPr>
              <w:t>July 27</w:t>
            </w:r>
          </w:p>
        </w:tc>
        <w:tc>
          <w:tcPr>
            <w:tcW w:type="dxa" w:w="3168"/>
            <w:tcMar>
              <w:top w:w="90" w:type="dxa"/>
              <w:start w:w="95" w:type="dxa"/>
              <w:bottom w:w="90" w:type="dxa"/>
              <w:end w:w="95" w:type="dxa"/>
            </w:tcMar>
            <w:vAlign w:val="center"/>
          </w:tcPr>
          <w:p>
            <w:pPr>
              <w:spacing w:after="0"/>
              <w:jc w:val="center"/>
            </w:pPr>
            <w:r>
              <w:rPr>
                <w:rFonts w:ascii="Arial" w:hAnsi="Arial" w:eastAsia="Arial"/>
                <w:b w:val="0"/>
                <w:color w:val="1F2933"/>
                <w:sz w:val="18"/>
              </w:rPr>
              <w:t>$113.50</w:t>
            </w:r>
          </w:p>
        </w:tc>
      </w:tr>
      <w:tr>
        <w:trPr>
          <w:cantSplit/>
          <w:trHeight w:hRule="atLeast"/>
        </w:trPr>
        <w:tc>
          <w:tcPr>
            <w:tcW w:type="dxa" w:w="6623"/>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July 28</w:t>
            </w:r>
          </w:p>
        </w:tc>
        <w:tc>
          <w:tcPr>
            <w:tcW w:type="dxa" w:w="3168"/>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$116.41</w:t>
            </w:r>
          </w:p>
        </w:tc>
      </w:tr>
      <w:tr>
        <w:trPr>
          <w:cantSplit/>
          <w:trHeight w:hRule="atLeast"/>
        </w:trPr>
        <w:tc>
          <w:tcPr>
            <w:tcW w:type="dxa" w:w="6623"/>
            <w:tcMar>
              <w:top w:w="90" w:type="dxa"/>
              <w:start w:w="95" w:type="dxa"/>
              <w:bottom w:w="90" w:type="dxa"/>
              <w:end w:w="95" w:type="dxa"/>
            </w:tcMar>
            <w:vAlign w:val="center"/>
          </w:tcPr>
          <w:p>
            <w:pPr>
              <w:spacing w:after="0"/>
              <w:jc w:val="left"/>
            </w:pPr>
            <w:r>
              <w:rPr>
                <w:rFonts w:ascii="Arial" w:hAnsi="Arial" w:eastAsia="Arial"/>
                <w:b w:val="0"/>
                <w:color w:val="1F2933"/>
                <w:sz w:val="18"/>
              </w:rPr>
              <w:t>July 29</w:t>
            </w:r>
          </w:p>
        </w:tc>
        <w:tc>
          <w:tcPr>
            <w:tcW w:type="dxa" w:w="3168"/>
            <w:tcMar>
              <w:top w:w="90" w:type="dxa"/>
              <w:start w:w="95" w:type="dxa"/>
              <w:bottom w:w="90" w:type="dxa"/>
              <w:end w:w="95" w:type="dxa"/>
            </w:tcMar>
            <w:vAlign w:val="center"/>
          </w:tcPr>
          <w:p>
            <w:pPr>
              <w:spacing w:after="0"/>
              <w:jc w:val="center"/>
            </w:pPr>
            <w:r>
              <w:rPr>
                <w:rFonts w:ascii="Arial" w:hAnsi="Arial" w:eastAsia="Arial"/>
                <w:b w:val="0"/>
                <w:color w:val="1F2933"/>
                <w:sz w:val="18"/>
              </w:rPr>
              <w:t>$112.55</w:t>
            </w:r>
          </w:p>
        </w:tc>
      </w:tr>
      <w:tr>
        <w:trPr>
          <w:cantSplit/>
          <w:trHeight w:hRule="atLeast"/>
        </w:trPr>
        <w:tc>
          <w:tcPr>
            <w:tcW w:type="dxa" w:w="6623"/>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July 30</w:t>
            </w:r>
          </w:p>
        </w:tc>
        <w:tc>
          <w:tcPr>
            <w:tcW w:type="dxa" w:w="3168"/>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$112.20</w:t>
            </w:r>
          </w:p>
        </w:tc>
      </w:tr>
      <w:tr>
        <w:trPr>
          <w:cantSplit/>
          <w:trHeight w:hRule="atLeast"/>
        </w:trPr>
        <w:tc>
          <w:tcPr>
            <w:tcW w:type="dxa" w:w="6623"/>
            <w:tcMar>
              <w:top w:w="90" w:type="dxa"/>
              <w:start w:w="95" w:type="dxa"/>
              <w:bottom w:w="90" w:type="dxa"/>
              <w:end w:w="95" w:type="dxa"/>
            </w:tcMar>
            <w:vAlign w:val="center"/>
          </w:tcPr>
          <w:p>
            <w:pPr>
              <w:spacing w:after="0"/>
              <w:jc w:val="left"/>
            </w:pPr>
            <w:r>
              <w:rPr>
                <w:rFonts w:ascii="Arial" w:hAnsi="Arial" w:eastAsia="Arial"/>
                <w:b w:val="0"/>
                <w:color w:val="1F2933"/>
                <w:sz w:val="18"/>
              </w:rPr>
              <w:t>July 31</w:t>
            </w:r>
          </w:p>
        </w:tc>
        <w:tc>
          <w:tcPr>
            <w:tcW w:type="dxa" w:w="3168"/>
            <w:tcMar>
              <w:top w:w="90" w:type="dxa"/>
              <w:start w:w="95" w:type="dxa"/>
              <w:bottom w:w="90" w:type="dxa"/>
              <w:end w:w="95" w:type="dxa"/>
            </w:tcMar>
            <w:vAlign w:val="center"/>
          </w:tcPr>
          <w:p>
            <w:pPr>
              <w:spacing w:after="0"/>
              <w:jc w:val="center"/>
            </w:pPr>
            <w:r>
              <w:rPr>
                <w:rFonts w:ascii="Arial" w:hAnsi="Arial" w:eastAsia="Arial"/>
                <w:b w:val="0"/>
                <w:color w:val="1F2933"/>
                <w:sz w:val="18"/>
              </w:rPr>
              <w:t>$108.37</w:t>
            </w:r>
          </w:p>
        </w:tc>
      </w:tr>
      <w:tr>
        <w:trPr>
          <w:cantSplit/>
          <w:trHeight w:hRule="atLeast"/>
        </w:trPr>
        <w:tc>
          <w:tcPr>
            <w:tcW w:type="dxa" w:w="6623"/>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August 3</w:t>
            </w:r>
          </w:p>
        </w:tc>
        <w:tc>
          <w:tcPr>
            <w:tcW w:type="dxa" w:w="3168"/>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$114.53</w:t>
            </w:r>
          </w:p>
        </w:tc>
      </w:tr>
      <w:tr>
        <w:trPr>
          <w:cantSplit/>
          <w:trHeight w:hRule="atLeast"/>
        </w:trPr>
        <w:tc>
          <w:tcPr>
            <w:tcW w:type="dxa" w:w="6623"/>
            <w:tcMar>
              <w:top w:w="90" w:type="dxa"/>
              <w:start w:w="95" w:type="dxa"/>
              <w:bottom w:w="90" w:type="dxa"/>
              <w:end w:w="95" w:type="dxa"/>
            </w:tcMar>
            <w:vAlign w:val="center"/>
          </w:tcPr>
          <w:p>
            <w:pPr>
              <w:spacing w:after="0"/>
              <w:jc w:val="left"/>
            </w:pPr>
            <w:r>
              <w:rPr>
                <w:rFonts w:ascii="Arial" w:hAnsi="Arial" w:eastAsia="Arial"/>
                <w:b w:val="0"/>
                <w:color w:val="1F2933"/>
                <w:sz w:val="18"/>
              </w:rPr>
              <w:t>August 4</w:t>
            </w:r>
          </w:p>
        </w:tc>
        <w:tc>
          <w:tcPr>
            <w:tcW w:type="dxa" w:w="3168"/>
            <w:tcMar>
              <w:top w:w="90" w:type="dxa"/>
              <w:start w:w="95" w:type="dxa"/>
              <w:bottom w:w="90" w:type="dxa"/>
              <w:end w:w="95" w:type="dxa"/>
            </w:tcMar>
            <w:vAlign w:val="center"/>
          </w:tcPr>
          <w:p>
            <w:pPr>
              <w:spacing w:after="0"/>
              <w:jc w:val="center"/>
            </w:pPr>
            <w:r>
              <w:rPr>
                <w:rFonts w:ascii="Arial" w:hAnsi="Arial" w:eastAsia="Arial"/>
                <w:b w:val="0"/>
                <w:color w:val="1F2933"/>
                <w:sz w:val="18"/>
              </w:rPr>
              <w:t>$125.33</w:t>
            </w:r>
          </w:p>
        </w:tc>
      </w:tr>
      <w:tr>
        <w:trPr>
          <w:cantSplit/>
          <w:trHeight w:hRule="atLeast"/>
        </w:trPr>
        <w:tc>
          <w:tcPr>
            <w:tcW w:type="dxa" w:w="6623"/>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August 5</w:t>
            </w:r>
          </w:p>
        </w:tc>
        <w:tc>
          <w:tcPr>
            <w:tcW w:type="dxa" w:w="3168"/>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$108.27</w:t>
            </w:r>
          </w:p>
        </w:tc>
      </w:tr>
      <w:tr>
        <w:trPr>
          <w:cantSplit/>
          <w:trHeight w:hRule="atLeast"/>
        </w:trPr>
        <w:tc>
          <w:tcPr>
            <w:tcW w:type="dxa" w:w="6623"/>
            <w:tcMar>
              <w:top w:w="90" w:type="dxa"/>
              <w:start w:w="95" w:type="dxa"/>
              <w:bottom w:w="90" w:type="dxa"/>
              <w:end w:w="95" w:type="dxa"/>
            </w:tcMar>
            <w:vAlign w:val="center"/>
          </w:tcPr>
          <w:p>
            <w:pPr>
              <w:spacing w:after="0"/>
              <w:jc w:val="left"/>
            </w:pPr>
            <w:r>
              <w:rPr>
                <w:rFonts w:ascii="Arial" w:hAnsi="Arial" w:eastAsia="Arial"/>
                <w:b w:val="0"/>
                <w:color w:val="1F2933"/>
                <w:sz w:val="18"/>
              </w:rPr>
              <w:t>August 6 close</w:t>
            </w:r>
          </w:p>
        </w:tc>
        <w:tc>
          <w:tcPr>
            <w:tcW w:type="dxa" w:w="3168"/>
            <w:tcMar>
              <w:top w:w="90" w:type="dxa"/>
              <w:start w:w="95" w:type="dxa"/>
              <w:bottom w:w="90" w:type="dxa"/>
              <w:end w:w="95" w:type="dxa"/>
            </w:tcMar>
            <w:vAlign w:val="center"/>
          </w:tcPr>
          <w:p>
            <w:pPr>
              <w:spacing w:after="0"/>
              <w:jc w:val="center"/>
            </w:pPr>
            <w:r>
              <w:rPr>
                <w:rFonts w:ascii="Arial" w:hAnsi="Arial" w:eastAsia="Arial"/>
                <w:b/>
                <w:color w:val="9C2F2F"/>
                <w:sz w:val="18"/>
              </w:rPr>
              <w:t>NOT FOUND — market still open</w:t>
            </w:r>
          </w:p>
        </w:tc>
      </w:tr>
      <w:tr>
        <w:trPr>
          <w:cantSplit/>
          <w:trHeight w:hRule="atLeast"/>
        </w:trPr>
        <w:tc>
          <w:tcPr>
            <w:tcW w:type="dxa" w:w="6623"/>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August 6 intraday, 1:48:22 p.m. ET</w:t>
            </w:r>
          </w:p>
        </w:tc>
        <w:tc>
          <w:tcPr>
            <w:tcW w:type="dxa" w:w="3168"/>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$110.60</w:t>
            </w:r>
          </w:p>
        </w:tc>
      </w:tr>
    </w:tbl>
    <w:p>
      <w:pPr>
        <w:spacing w:after="0"/>
      </w:pPr>
    </w:p>
    <w:p>
      <w:pPr>
        <w:pStyle w:val="Source"/>
      </w:pPr>
      <w:r>
        <w:rPr>
          <w:rFonts w:ascii="Arial" w:hAnsi="Arial" w:eastAsia="Arial"/>
          <w:b/>
          <w:color w:val="5A6673"/>
          <w:sz w:val="17"/>
        </w:rPr>
        <w:t xml:space="preserve">Sources: </w:t>
      </w:r>
      <w:hyperlink r:id="rId14">
        <w:r>
          <w:rPr>
            <w:rFonts w:ascii="Arial" w:hAnsi="Arial"/>
            <w:color w:val="2E5D7B"/>
            <w:u w:val="single"/>
          </w:rPr>
          <w:t>SEC filing index</w:t>
        </w:r>
      </w:hyperlink>
      <w:r>
        <w:rPr>
          <w:rFonts w:ascii="Arial" w:hAnsi="Arial" w:eastAsia="Arial"/>
          <w:color w:val="6A7682"/>
          <w:sz w:val="17"/>
        </w:rPr>
        <w:t xml:space="preserve">  |  </w:t>
      </w:r>
      <w:hyperlink r:id="rId15">
        <w:r>
          <w:rPr>
            <w:rFonts w:ascii="Arial" w:hAnsi="Arial"/>
            <w:color w:val="2E5D7B"/>
            <w:u w:val="single"/>
          </w:rPr>
          <w:t>Aerospace Wealth lockup summary</w:t>
        </w:r>
      </w:hyperlink>
      <w:r>
        <w:rPr>
          <w:rFonts w:ascii="Arial" w:hAnsi="Arial" w:eastAsia="Arial"/>
          <w:color w:val="6A7682"/>
          <w:sz w:val="17"/>
        </w:rPr>
        <w:t xml:space="preserve">  |  </w:t>
      </w:r>
      <w:hyperlink r:id="rId16">
        <w:r>
          <w:rPr>
            <w:rFonts w:ascii="Arial" w:hAnsi="Arial"/>
            <w:color w:val="2E5D7B"/>
            <w:u w:val="single"/>
          </w:rPr>
          <w:t>StockAnalysis price history</w:t>
        </w:r>
      </w:hyperlink>
    </w:p>
    <w:p>
      <w:pPr>
        <w:pStyle w:val="Heading2"/>
        <w:keepNext/>
        <w:keepLines/>
      </w:pPr>
      <w:r>
        <w:t>5. Alphabet approximately $25 billion bond sale</w:t>
      </w:r>
    </w:p>
    <w:p>
      <w:pPr>
        <w:pStyle w:val="BodyText"/>
      </w:pPr>
      <w:r>
        <w:rPr>
          <w:rFonts w:ascii="Arial" w:hAnsi="Arial" w:eastAsia="Arial"/>
          <w:b/>
          <w:color w:val="1F2933"/>
          <w:sz w:val="20"/>
        </w:rPr>
        <w:t xml:space="preserve">Maximum contemplated size: </w:t>
      </w:r>
      <w:r>
        <w:rPr>
          <w:rFonts w:ascii="Arial" w:hAnsi="Arial" w:eastAsia="Arial"/>
          <w:color w:val="1F2933"/>
          <w:sz w:val="20"/>
        </w:rPr>
        <w:t>Approximately $25 billion</w:t>
      </w:r>
    </w:p>
    <w:p>
      <w:pPr>
        <w:pStyle w:val="BodyText"/>
      </w:pPr>
      <w:r>
        <w:rPr>
          <w:rFonts w:ascii="Arial" w:hAnsi="Arial" w:eastAsia="Arial"/>
          <w:b/>
          <w:color w:val="1F2933"/>
          <w:sz w:val="20"/>
        </w:rPr>
        <w:t xml:space="preserve">Orders / book: </w:t>
      </w:r>
      <w:r>
        <w:rPr>
          <w:rFonts w:ascii="Arial" w:hAnsi="Arial" w:eastAsia="Arial"/>
          <w:color w:val="1F2933"/>
          <w:sz w:val="20"/>
        </w:rPr>
        <w:t>Approximately $115 billion</w:t>
      </w:r>
    </w:p>
    <w:p>
      <w:pPr>
        <w:pStyle w:val="BodyText"/>
      </w:pPr>
      <w:r>
        <w:rPr>
          <w:rFonts w:ascii="Arial" w:hAnsi="Arial" w:eastAsia="Arial"/>
          <w:b/>
          <w:color w:val="1F2933"/>
          <w:sz w:val="20"/>
        </w:rPr>
        <w:t xml:space="preserve">Oversubscription: </w:t>
      </w:r>
      <w:r>
        <w:rPr>
          <w:rFonts w:ascii="Arial" w:hAnsi="Arial" w:eastAsia="Arial"/>
          <w:color w:val="1F2933"/>
          <w:sz w:val="20"/>
        </w:rPr>
        <w:t>Approximately 4.6×</w:t>
      </w:r>
    </w:p>
    <w:p>
      <w:pPr>
        <w:pStyle w:val="BodyText"/>
      </w:pPr>
      <w:r>
        <w:rPr>
          <w:rFonts w:ascii="Arial" w:hAnsi="Arial" w:eastAsia="Arial"/>
          <w:b/>
          <w:color w:val="1F2933"/>
          <w:sz w:val="20"/>
        </w:rPr>
        <w:t xml:space="preserve">Structure: </w:t>
      </w:r>
      <w:r>
        <w:rPr>
          <w:rFonts w:ascii="Arial" w:hAnsi="Arial" w:eastAsia="Arial"/>
          <w:color w:val="1F2933"/>
          <w:sz w:val="20"/>
        </w:rPr>
        <w:t>10 tranches — eight fixed-rate and two floating-rate</w:t>
      </w:r>
    </w:p>
    <w:p>
      <w:pPr>
        <w:pStyle w:val="BodyText"/>
      </w:pPr>
      <w:r>
        <w:rPr>
          <w:rFonts w:ascii="Arial" w:hAnsi="Arial" w:eastAsia="Arial"/>
          <w:b/>
          <w:color w:val="1F2933"/>
          <w:sz w:val="20"/>
        </w:rPr>
        <w:t xml:space="preserve">Initial talk on longest 40-year tranche: </w:t>
      </w:r>
      <w:r>
        <w:rPr>
          <w:rFonts w:ascii="Arial" w:hAnsi="Arial" w:eastAsia="Arial"/>
          <w:color w:val="1F2933"/>
          <w:sz w:val="20"/>
        </w:rPr>
        <w:t>Approximately Treasuries +155 basis points</w:t>
      </w:r>
    </w:p>
    <w:p>
      <w:pPr>
        <w:pStyle w:val="BodyText"/>
      </w:pPr>
      <w:r>
        <w:rPr>
          <w:rFonts w:ascii="Arial" w:hAnsi="Arial" w:eastAsia="Arial"/>
          <w:b/>
          <w:color w:val="1F2933"/>
          <w:sz w:val="20"/>
        </w:rPr>
        <w:t xml:space="preserve">Final pricing by tranche: </w:t>
      </w:r>
      <w:r>
        <w:rPr>
          <w:rFonts w:ascii="Arial" w:hAnsi="Arial" w:eastAsia="Arial"/>
          <w:color w:val="9C2F2F"/>
          <w:sz w:val="20"/>
        </w:rPr>
        <w:t>NOT FOUND as of cutoff</w:t>
      </w:r>
    </w:p>
    <w:p>
      <w:pPr>
        <w:pStyle w:val="BodyText"/>
      </w:pPr>
      <w:r>
        <w:rPr>
          <w:rFonts w:ascii="Arial" w:hAnsi="Arial" w:eastAsia="Arial"/>
          <w:b/>
          <w:color w:val="1F2933"/>
          <w:sz w:val="20"/>
        </w:rPr>
        <w:t xml:space="preserve">Day-one secondary performance: </w:t>
      </w:r>
      <w:r>
        <w:rPr>
          <w:rFonts w:ascii="Arial" w:hAnsi="Arial" w:eastAsia="Arial"/>
          <w:color w:val="9C2F2F"/>
          <w:sz w:val="20"/>
        </w:rPr>
        <w:t>NOT FOUND — deal had not completed pricing/trading by cutoff</w:t>
      </w:r>
    </w:p>
    <w:p>
      <w:pPr>
        <w:pStyle w:val="BodyText"/>
      </w:pPr>
      <w:r>
        <w:rPr>
          <w:rFonts w:ascii="Arial" w:hAnsi="Arial" w:eastAsia="Arial"/>
          <w:b/>
          <w:color w:val="1F2933"/>
          <w:sz w:val="20"/>
        </w:rPr>
        <w:t xml:space="preserve">Existing Alphabet 5.65% 2056 bond before the new deal: </w:t>
      </w:r>
      <w:r>
        <w:rPr>
          <w:rFonts w:ascii="Arial" w:hAnsi="Arial" w:eastAsia="Arial"/>
          <w:color w:val="1F2933"/>
          <w:sz w:val="20"/>
        </w:rPr>
        <w:t>Widened from approximately +95 to +104 basis points</w:t>
      </w:r>
    </w:p>
    <w:p>
      <w:pPr>
        <w:pStyle w:val="Source"/>
      </w:pPr>
      <w:r>
        <w:rPr>
          <w:rFonts w:ascii="Arial" w:hAnsi="Arial" w:eastAsia="Arial"/>
          <w:b/>
          <w:color w:val="5A6673"/>
          <w:sz w:val="17"/>
        </w:rPr>
        <w:t xml:space="preserve">Source: </w:t>
      </w:r>
      <w:hyperlink r:id="rId17">
        <w:r>
          <w:rPr>
            <w:rFonts w:ascii="Arial" w:hAnsi="Arial"/>
            <w:color w:val="2E5D7B"/>
            <w:u w:val="single"/>
          </w:rPr>
          <w:t>Investing.com — Alphabet bond sale and hyperscaler credit spreads</w:t>
        </w:r>
      </w:hyperlink>
    </w:p>
    <w:p>
      <w:pPr>
        <w:pStyle w:val="Heading2"/>
        <w:keepNext/>
        <w:keepLines/>
      </w:pPr>
      <w:r>
        <w:t>6. BlackRock / Meta data-center SPV bonds</w:t>
      </w:r>
    </w:p>
    <w:p>
      <w:pPr>
        <w:pStyle w:val="BodyText"/>
      </w:pPr>
      <w:r>
        <w:rPr>
          <w:rFonts w:ascii="Arial" w:hAnsi="Arial" w:eastAsia="Arial"/>
          <w:b/>
          <w:color w:val="1F2933"/>
          <w:sz w:val="20"/>
        </w:rPr>
        <w:t xml:space="preserve">Issuer: </w:t>
      </w:r>
      <w:r>
        <w:rPr>
          <w:rFonts w:ascii="Arial" w:hAnsi="Arial" w:eastAsia="Arial"/>
          <w:color w:val="1F2933"/>
          <w:sz w:val="20"/>
        </w:rPr>
        <w:t>Sopaipilla Investor LLC</w:t>
      </w:r>
    </w:p>
    <w:p>
      <w:pPr>
        <w:pStyle w:val="BodyText"/>
      </w:pPr>
      <w:r>
        <w:rPr>
          <w:rFonts w:ascii="Arial" w:hAnsi="Arial" w:eastAsia="Arial"/>
          <w:b/>
          <w:color w:val="1F2933"/>
          <w:sz w:val="20"/>
        </w:rPr>
        <w:t xml:space="preserve">Issue size: </w:t>
      </w:r>
      <w:r>
        <w:rPr>
          <w:rFonts w:ascii="Arial" w:hAnsi="Arial" w:eastAsia="Arial"/>
          <w:color w:val="1F2933"/>
          <w:sz w:val="20"/>
        </w:rPr>
        <w:t>$12.547 billion</w:t>
      </w:r>
    </w:p>
    <w:p>
      <w:pPr>
        <w:pStyle w:val="BodyText"/>
      </w:pPr>
      <w:r>
        <w:rPr>
          <w:rFonts w:ascii="Arial" w:hAnsi="Arial" w:eastAsia="Arial"/>
          <w:b/>
          <w:color w:val="1F2933"/>
          <w:sz w:val="20"/>
        </w:rPr>
        <w:t xml:space="preserve">Coupon: </w:t>
      </w:r>
      <w:r>
        <w:rPr>
          <w:rFonts w:ascii="Arial" w:hAnsi="Arial" w:eastAsia="Arial"/>
          <w:color w:val="1F2933"/>
          <w:sz w:val="20"/>
        </w:rPr>
        <w:t>7.534%</w:t>
      </w:r>
    </w:p>
    <w:p>
      <w:pPr>
        <w:pStyle w:val="BodyText"/>
      </w:pPr>
      <w:r>
        <w:rPr>
          <w:rFonts w:ascii="Arial" w:hAnsi="Arial" w:eastAsia="Arial"/>
          <w:b/>
          <w:color w:val="1F2933"/>
          <w:sz w:val="20"/>
        </w:rPr>
        <w:t xml:space="preserve">Maturity: </w:t>
      </w:r>
      <w:r>
        <w:rPr>
          <w:rFonts w:ascii="Arial" w:hAnsi="Arial" w:eastAsia="Arial"/>
          <w:color w:val="1F2933"/>
          <w:sz w:val="20"/>
        </w:rPr>
        <w:t>November 30, 2048</w:t>
      </w:r>
    </w:p>
    <w:p>
      <w:pPr>
        <w:pStyle w:val="BodyText"/>
      </w:pPr>
      <w:r>
        <w:rPr>
          <w:rFonts w:ascii="Arial" w:hAnsi="Arial" w:eastAsia="Arial"/>
          <w:b/>
          <w:color w:val="1F2933"/>
          <w:sz w:val="20"/>
        </w:rPr>
        <w:t xml:space="preserve">Issue price / spread: </w:t>
      </w:r>
      <w:r>
        <w:rPr>
          <w:rFonts w:ascii="Arial" w:hAnsi="Arial" w:eastAsia="Arial"/>
          <w:color w:val="1F2933"/>
          <w:sz w:val="20"/>
        </w:rPr>
        <w:t>Par, approximately Treasuries +287.5 basis points</w:t>
      </w:r>
    </w:p>
    <w:p>
      <w:pPr>
        <w:pStyle w:val="BodyText"/>
      </w:pPr>
      <w:r>
        <w:rPr>
          <w:rFonts w:ascii="Arial" w:hAnsi="Arial" w:eastAsia="Arial"/>
          <w:b/>
          <w:color w:val="1F2933"/>
          <w:sz w:val="20"/>
        </w:rPr>
        <w:t xml:space="preserve">Current August 6 trading level: </w:t>
      </w:r>
      <w:r>
        <w:rPr>
          <w:rFonts w:ascii="Arial" w:hAnsi="Arial" w:eastAsia="Arial"/>
          <w:color w:val="9C2F2F"/>
          <w:sz w:val="20"/>
        </w:rPr>
        <w:t>NOT FOUND</w:t>
      </w:r>
    </w:p>
    <w:p>
      <w:pPr>
        <w:pStyle w:val="BodyText"/>
      </w:pPr>
      <w:r>
        <w:rPr>
          <w:rFonts w:ascii="Arial" w:hAnsi="Arial" w:eastAsia="Arial"/>
          <w:b/>
          <w:color w:val="1F2933"/>
          <w:sz w:val="20"/>
        </w:rPr>
        <w:t xml:space="preserve">Latest located secondary observation: </w:t>
      </w:r>
      <w:r>
        <w:rPr>
          <w:rFonts w:ascii="Arial" w:hAnsi="Arial" w:eastAsia="Arial"/>
          <w:color w:val="1F2933"/>
          <w:sz w:val="20"/>
        </w:rPr>
        <w:t>July 28, approximately 103+, 7.31% yield, or approximately Treasuries +217 basis points</w:t>
      </w:r>
    </w:p>
    <w:p>
      <w:pPr>
        <w:pStyle w:val="BodyText"/>
      </w:pPr>
      <w:r>
        <w:rPr>
          <w:rFonts w:ascii="Arial" w:hAnsi="Arial" w:eastAsia="Arial"/>
          <w:b/>
          <w:color w:val="1F2933"/>
          <w:sz w:val="20"/>
        </w:rPr>
        <w:t xml:space="preserve">Change from issue: </w:t>
      </w:r>
      <w:r>
        <w:rPr>
          <w:rFonts w:ascii="Arial" w:hAnsi="Arial" w:eastAsia="Arial"/>
          <w:color w:val="1F2933"/>
          <w:sz w:val="20"/>
        </w:rPr>
        <w:t>Approximately 3 price points higher and 70.5 basis points tighter</w:t>
      </w:r>
    </w:p>
    <w:p>
      <w:pPr>
        <w:pStyle w:val="Source"/>
      </w:pPr>
      <w:r>
        <w:rPr>
          <w:rFonts w:ascii="Arial" w:hAnsi="Arial" w:eastAsia="Arial"/>
          <w:b/>
          <w:color w:val="5A6673"/>
          <w:sz w:val="17"/>
        </w:rPr>
        <w:t xml:space="preserve">Source: </w:t>
      </w:r>
      <w:hyperlink r:id="rId18">
        <w:r>
          <w:rPr>
            <w:rFonts w:ascii="Arial" w:hAnsi="Arial"/>
            <w:color w:val="2E5D7B"/>
            <w:u w:val="single"/>
          </w:rPr>
          <w:t>PitchBook — Sopaipilla data-center bond deal</w:t>
        </w:r>
      </w:hyperlink>
    </w:p>
    <w:p>
      <w:pPr>
        <w:pStyle w:val="Heading2"/>
        <w:keepNext/>
        <w:keepLines/>
      </w:pPr>
      <w:r>
        <w:t>7. OBDC and Blackstone Secured Lending Fund PIK income</w:t>
      </w:r>
    </w:p>
    <w:p>
      <w:pPr>
        <w:pStyle w:val="Heading3"/>
        <w:keepNext/>
        <w:keepLines/>
      </w:pPr>
      <w:r>
        <w:t>Blue Owl Capital Corporation — OBDC</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2541"/>
        <w:gridCol w:w="2541"/>
        <w:gridCol w:w="2541"/>
        <w:gridCol w:w="2541"/>
      </w:tblGrid>
      <w:tr>
        <w:trPr>
          <w:tblHeader w:val="true"/>
          <w:cantSplit/>
        </w:trPr>
        <w:tc>
          <w:tcPr>
            <w:tcW w:type="dxa" w:w="3024"/>
            <w:shd w:fill="17324D"/>
            <w:tcMar>
              <w:top w:w="105" w:type="dxa"/>
              <w:start w:w="100" w:type="dxa"/>
              <w:bottom w:w="105" w:type="dxa"/>
              <w:end w:w="100" w:type="dxa"/>
            </w:tcMar>
            <w:vAlign w:val="center"/>
          </w:tcPr>
          <w:p>
            <w:pPr>
              <w:spacing w:after="0"/>
              <w:jc w:val="left"/>
            </w:pPr>
            <w:r>
              <w:rPr>
                <w:rFonts w:ascii="Arial" w:hAnsi="Arial" w:eastAsia="Arial"/>
                <w:b/>
                <w:color w:val="FFFFFF"/>
                <w:sz w:val="17"/>
              </w:rPr>
              <w:t>Quarter</w:t>
            </w:r>
          </w:p>
        </w:tc>
        <w:tc>
          <w:tcPr>
            <w:tcW w:type="dxa" w:w="2088"/>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PIK income</w:t>
            </w:r>
          </w:p>
        </w:tc>
        <w:tc>
          <w:tcPr>
            <w:tcW w:type="dxa" w:w="2736"/>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Total investment income</w:t>
            </w:r>
          </w:p>
        </w:tc>
        <w:tc>
          <w:tcPr>
            <w:tcW w:type="dxa" w:w="1800"/>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PIK share</w:t>
            </w:r>
          </w:p>
        </w:tc>
      </w:tr>
      <w:tr>
        <w:trPr>
          <w:cantSplit/>
          <w:trHeight w:hRule="atLeast"/>
        </w:trPr>
        <w:tc>
          <w:tcPr>
            <w:tcW w:type="dxa" w:w="3024"/>
            <w:tcMar>
              <w:top w:w="90" w:type="dxa"/>
              <w:start w:w="95" w:type="dxa"/>
              <w:bottom w:w="90" w:type="dxa"/>
              <w:end w:w="95" w:type="dxa"/>
            </w:tcMar>
            <w:vAlign w:val="center"/>
          </w:tcPr>
          <w:p>
            <w:pPr>
              <w:spacing w:after="0"/>
              <w:jc w:val="left"/>
            </w:pPr>
            <w:r>
              <w:rPr>
                <w:rFonts w:ascii="Arial" w:hAnsi="Arial" w:eastAsia="Arial"/>
                <w:b w:val="0"/>
                <w:color w:val="1F2933"/>
                <w:sz w:val="17"/>
              </w:rPr>
              <w:t>Q2 ended June 30, 2026</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7"/>
              </w:rPr>
              <w:t>$31.586 million</w:t>
            </w:r>
          </w:p>
        </w:tc>
        <w:tc>
          <w:tcPr>
            <w:tcW w:type="dxa" w:w="2736"/>
            <w:tcMar>
              <w:top w:w="90" w:type="dxa"/>
              <w:start w:w="95" w:type="dxa"/>
              <w:bottom w:w="90" w:type="dxa"/>
              <w:end w:w="95" w:type="dxa"/>
            </w:tcMar>
            <w:vAlign w:val="center"/>
          </w:tcPr>
          <w:p>
            <w:pPr>
              <w:spacing w:after="0"/>
              <w:jc w:val="center"/>
            </w:pPr>
            <w:r>
              <w:rPr>
                <w:rFonts w:ascii="Arial" w:hAnsi="Arial" w:eastAsia="Arial"/>
                <w:b w:val="0"/>
                <w:color w:val="1F2933"/>
                <w:sz w:val="17"/>
              </w:rPr>
              <w:t>$401.342 million</w:t>
            </w:r>
          </w:p>
        </w:tc>
        <w:tc>
          <w:tcPr>
            <w:tcW w:type="dxa" w:w="1800"/>
            <w:tcMar>
              <w:top w:w="90" w:type="dxa"/>
              <w:start w:w="95" w:type="dxa"/>
              <w:bottom w:w="90" w:type="dxa"/>
              <w:end w:w="95" w:type="dxa"/>
            </w:tcMar>
            <w:vAlign w:val="center"/>
          </w:tcPr>
          <w:p>
            <w:pPr>
              <w:spacing w:after="0"/>
              <w:jc w:val="center"/>
            </w:pPr>
            <w:r>
              <w:rPr>
                <w:rFonts w:ascii="Arial" w:hAnsi="Arial" w:eastAsia="Arial"/>
                <w:b w:val="0"/>
                <w:color w:val="1F2933"/>
                <w:sz w:val="17"/>
              </w:rPr>
              <w:t>7.87%</w:t>
            </w:r>
          </w:p>
        </w:tc>
      </w:tr>
      <w:tr>
        <w:trPr>
          <w:cantSplit/>
          <w:trHeight w:hRule="atLeast"/>
        </w:trPr>
        <w:tc>
          <w:tcPr>
            <w:tcW w:type="dxa" w:w="3024"/>
            <w:shd w:fill="F7F9FA"/>
            <w:tcMar>
              <w:top w:w="90" w:type="dxa"/>
              <w:start w:w="95" w:type="dxa"/>
              <w:bottom w:w="90" w:type="dxa"/>
              <w:end w:w="95" w:type="dxa"/>
            </w:tcMar>
            <w:vAlign w:val="center"/>
          </w:tcPr>
          <w:p>
            <w:pPr>
              <w:spacing w:after="0"/>
              <w:jc w:val="left"/>
            </w:pPr>
            <w:r>
              <w:rPr>
                <w:rFonts w:ascii="Arial" w:hAnsi="Arial" w:eastAsia="Arial"/>
                <w:b w:val="0"/>
                <w:color w:val="1F2933"/>
                <w:sz w:val="17"/>
              </w:rPr>
              <w:t>Q1 ended March 31, 2026</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$31.481 million</w:t>
            </w:r>
          </w:p>
        </w:tc>
        <w:tc>
          <w:tcPr>
            <w:tcW w:type="dxa" w:w="2736"/>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$396.774 million</w:t>
            </w:r>
          </w:p>
        </w:tc>
        <w:tc>
          <w:tcPr>
            <w:tcW w:type="dxa" w:w="1800"/>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7.93%</w:t>
            </w:r>
          </w:p>
        </w:tc>
      </w:tr>
    </w:tbl>
    <w:p>
      <w:pPr>
        <w:spacing w:after="0"/>
      </w:pPr>
    </w:p>
    <w:p>
      <w:pPr>
        <w:pStyle w:val="BodyText"/>
      </w:pPr>
      <w:r>
        <w:rPr>
          <w:rFonts w:ascii="Arial" w:hAnsi="Arial" w:eastAsia="Arial"/>
          <w:color w:val="1F2933"/>
          <w:sz w:val="21"/>
        </w:rPr>
        <w:t>Q1 was derived exactly from the company’s six-month totals minus its disclosed Q2 amounts.</w:t>
      </w:r>
    </w:p>
    <w:p>
      <w:pPr>
        <w:pStyle w:val="Source"/>
      </w:pPr>
      <w:r>
        <w:rPr>
          <w:rFonts w:ascii="Arial" w:hAnsi="Arial" w:eastAsia="Arial"/>
          <w:b/>
          <w:color w:val="5A6673"/>
          <w:sz w:val="17"/>
        </w:rPr>
        <w:t xml:space="preserve">Source: </w:t>
      </w:r>
      <w:hyperlink r:id="rId19">
        <w:r>
          <w:rPr>
            <w:rFonts w:ascii="Arial" w:hAnsi="Arial"/>
            <w:color w:val="2E5D7B"/>
            <w:u w:val="single"/>
          </w:rPr>
          <w:t>Blue Owl Capital Corporation — June 30, 2026 results</w:t>
        </w:r>
      </w:hyperlink>
    </w:p>
    <w:p>
      <w:pPr>
        <w:pStyle w:val="Heading3"/>
        <w:keepNext/>
        <w:keepLines/>
      </w:pPr>
      <w:r>
        <w:t>Blackstone Secured Lending Fund — BXSL</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5083"/>
        <w:gridCol w:w="5083"/>
      </w:tblGrid>
      <w:tr>
        <w:trPr>
          <w:tblHeader w:val="true"/>
          <w:cantSplit/>
        </w:trPr>
        <w:tc>
          <w:tcPr>
            <w:tcW w:type="dxa" w:w="5040"/>
            <w:shd w:fill="17324D"/>
            <w:tcMar>
              <w:top w:w="105" w:type="dxa"/>
              <w:start w:w="100" w:type="dxa"/>
              <w:bottom w:w="105" w:type="dxa"/>
              <w:end w:w="100" w:type="dxa"/>
            </w:tcMar>
            <w:vAlign w:val="center"/>
          </w:tcPr>
          <w:p>
            <w:pPr>
              <w:spacing w:after="0"/>
              <w:jc w:val="left"/>
            </w:pPr>
            <w:r>
              <w:rPr>
                <w:rFonts w:ascii="Arial" w:hAnsi="Arial" w:eastAsia="Arial"/>
                <w:b/>
                <w:color w:val="FFFFFF"/>
                <w:sz w:val="18"/>
              </w:rPr>
              <w:t>Quarter</w:t>
            </w:r>
          </w:p>
        </w:tc>
        <w:tc>
          <w:tcPr>
            <w:tcW w:type="dxa" w:w="4752"/>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PIK as share of investment income</w:t>
            </w:r>
          </w:p>
        </w:tc>
      </w:tr>
      <w:tr>
        <w:trPr>
          <w:cantSplit/>
          <w:trHeight w:hRule="atLeast"/>
        </w:trPr>
        <w:tc>
          <w:tcPr>
            <w:tcW w:type="dxa" w:w="5040"/>
            <w:tcMar>
              <w:top w:w="90" w:type="dxa"/>
              <w:start w:w="95" w:type="dxa"/>
              <w:bottom w:w="90" w:type="dxa"/>
              <w:end w:w="95" w:type="dxa"/>
            </w:tcMar>
            <w:vAlign w:val="center"/>
          </w:tcPr>
          <w:p>
            <w:pPr>
              <w:spacing w:after="0"/>
              <w:jc w:val="left"/>
            </w:pPr>
            <w:r>
              <w:rPr>
                <w:rFonts w:ascii="Arial" w:hAnsi="Arial" w:eastAsia="Arial"/>
                <w:b w:val="0"/>
                <w:color w:val="1F2933"/>
                <w:sz w:val="18"/>
              </w:rPr>
              <w:t>Q2 2026</w:t>
            </w:r>
          </w:p>
        </w:tc>
        <w:tc>
          <w:tcPr>
            <w:tcW w:type="dxa" w:w="4752"/>
            <w:tcMar>
              <w:top w:w="90" w:type="dxa"/>
              <w:start w:w="95" w:type="dxa"/>
              <w:bottom w:w="90" w:type="dxa"/>
              <w:end w:w="95" w:type="dxa"/>
            </w:tcMar>
            <w:vAlign w:val="center"/>
          </w:tcPr>
          <w:p>
            <w:pPr>
              <w:spacing w:after="0"/>
              <w:jc w:val="center"/>
            </w:pPr>
            <w:r>
              <w:rPr>
                <w:rFonts w:ascii="Arial" w:hAnsi="Arial" w:eastAsia="Arial"/>
                <w:b w:val="0"/>
                <w:color w:val="1F2933"/>
                <w:sz w:val="18"/>
              </w:rPr>
              <w:t>6.6%</w:t>
            </w:r>
          </w:p>
        </w:tc>
      </w:tr>
      <w:tr>
        <w:trPr>
          <w:cantSplit/>
          <w:trHeight w:hRule="atLeast"/>
        </w:trPr>
        <w:tc>
          <w:tcPr>
            <w:tcW w:type="dxa" w:w="5040"/>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Q1 2026</w:t>
            </w:r>
          </w:p>
        </w:tc>
        <w:tc>
          <w:tcPr>
            <w:tcW w:type="dxa" w:w="4752"/>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6.6%</w:t>
            </w:r>
          </w:p>
        </w:tc>
      </w:tr>
    </w:tbl>
    <w:p>
      <w:pPr>
        <w:spacing w:after="0"/>
      </w:pPr>
    </w:p>
    <w:p>
      <w:pPr>
        <w:pStyle w:val="BodyText"/>
      </w:pPr>
      <w:r>
        <w:rPr>
          <w:rFonts w:ascii="Arial" w:hAnsi="Arial" w:eastAsia="Arial"/>
          <w:color w:val="1F2933"/>
          <w:sz w:val="21"/>
        </w:rPr>
        <w:t>“94% profit drop” details: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Net income fell to approximately $9 million, from approximately $155 million.</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Main cause: approximately $137 million of unrealized losses, plus approximately $28 million of realized losses.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Net investment income remained approximately $174 million, roughly unchanged.</w:t>
      </w:r>
    </w:p>
    <w:p>
      <w:pPr>
        <w:pStyle w:val="Source"/>
      </w:pPr>
      <w:r>
        <w:rPr>
          <w:rFonts w:ascii="Arial" w:hAnsi="Arial" w:eastAsia="Arial"/>
          <w:b/>
          <w:color w:val="5A6673"/>
          <w:sz w:val="17"/>
        </w:rPr>
        <w:t xml:space="preserve">Source: </w:t>
      </w:r>
      <w:hyperlink r:id="rId20">
        <w:r>
          <w:rPr>
            <w:rFonts w:ascii="Arial" w:hAnsi="Arial"/>
            <w:color w:val="2E5D7B"/>
            <w:u w:val="single"/>
          </w:rPr>
          <w:t>BigGo Finance — BXSL earnings-call summary</w:t>
        </w:r>
      </w:hyperlink>
    </w:p>
    <w:p>
      <w:pPr>
        <w:pStyle w:val="Heading1"/>
        <w:keepNext/>
        <w:keepLines/>
      </w:pPr>
      <w:r>
        <w:t>B. News Events — Preceding 48 Hours</w:t>
      </w:r>
    </w:p>
    <w:p>
      <w:pPr>
        <w:pStyle w:val="Heading2"/>
        <w:keepNext/>
        <w:keepLines/>
      </w:pPr>
      <w:r>
        <w:t>1. Trump’s reported calls to Fed Chair Kevin Warsh</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Wall Street Journal: The calls reportedly concerned the Iran war, artificial intelligence, and the economy. The report said there was “no indication Trump has discussed monetary policy directly.” Therefore, no verified cuts/holds/anti-hike direction was attached to the calls themselves.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Public Trump position: Separate from the calls, Trump continued publicly advocating rate cuts, describing cuts as economic “rocket fuel.”</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Warsh position: Warsh was reported to be open to a September hike if inflation remained elevated and said he would resist political pressure. Exact Bloomberg wording for the alleged calls: NOT FOUND.</w:t>
      </w:r>
    </w:p>
    <w:p>
      <w:pPr>
        <w:pStyle w:val="Source"/>
      </w:pPr>
      <w:r>
        <w:rPr>
          <w:rFonts w:ascii="Arial" w:hAnsi="Arial" w:eastAsia="Arial"/>
          <w:b/>
          <w:color w:val="5A6673"/>
          <w:sz w:val="17"/>
        </w:rPr>
        <w:t xml:space="preserve">Sources: </w:t>
      </w:r>
      <w:hyperlink r:id="rId21">
        <w:r>
          <w:rPr>
            <w:rFonts w:ascii="Arial" w:hAnsi="Arial"/>
            <w:color w:val="2E5D7B"/>
            <w:u w:val="single"/>
          </w:rPr>
          <w:t>Wall Street Journal</w:t>
        </w:r>
      </w:hyperlink>
      <w:r>
        <w:rPr>
          <w:rFonts w:ascii="Arial" w:hAnsi="Arial" w:eastAsia="Arial"/>
          <w:color w:val="6A7682"/>
          <w:sz w:val="17"/>
        </w:rPr>
        <w:t xml:space="preserve">  |  </w:t>
      </w:r>
      <w:hyperlink r:id="rId22">
        <w:r>
          <w:rPr>
            <w:rFonts w:ascii="Arial" w:hAnsi="Arial"/>
            <w:color w:val="2E5D7B"/>
            <w:u w:val="single"/>
          </w:rPr>
          <w:t>Associated Press</w:t>
        </w:r>
      </w:hyperlink>
      <w:r>
        <w:rPr>
          <w:rFonts w:ascii="Arial" w:hAnsi="Arial" w:eastAsia="Arial"/>
          <w:color w:val="6A7682"/>
          <w:sz w:val="17"/>
        </w:rPr>
        <w:t xml:space="preserve">  |  </w:t>
      </w:r>
      <w:hyperlink r:id="rId23">
        <w:r>
          <w:rPr>
            <w:rFonts w:ascii="Arial" w:hAnsi="Arial"/>
            <w:color w:val="2E5D7B"/>
            <w:u w:val="single"/>
          </w:rPr>
          <w:t>Financial Times</w:t>
        </w:r>
      </w:hyperlink>
    </w:p>
    <w:p>
      <w:pPr>
        <w:pStyle w:val="Heading2"/>
        <w:keepNext/>
        <w:keepLines/>
      </w:pPr>
      <w:r>
        <w:t>2. Chinese open-weight models and token usage</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5–6 — Wing Venture Capital analysis: Chinese open-weight models represented approximately 61% of tokens routed through OpenRouter by May 2026; four of the five most-used models were Chinese.</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Xiaomi’s MiMo reportedly accounted for approximately 21% of all OpenRouter tokens and approximately 22% of coding traffic in the cited period. OpenRouter was processing more than 20 trillion tokens per week.</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Original data: OpenRouter router traffic analyzed by Wing Venture Capital — not worldwide provider usage, a lab disclosure, or a measurement of all global tokens. Describing it as “global token usage” overstates the dataset’s coverage.</w:t>
      </w:r>
    </w:p>
    <w:p>
      <w:pPr>
        <w:pStyle w:val="Source"/>
      </w:pPr>
      <w:r>
        <w:rPr>
          <w:rFonts w:ascii="Arial" w:hAnsi="Arial" w:eastAsia="Arial"/>
          <w:b/>
          <w:color w:val="5A6673"/>
          <w:sz w:val="17"/>
        </w:rPr>
        <w:t xml:space="preserve">Source: </w:t>
      </w:r>
      <w:hyperlink r:id="rId24">
        <w:r>
          <w:rPr>
            <w:rFonts w:ascii="Arial" w:hAnsi="Arial"/>
            <w:color w:val="2E5D7B"/>
            <w:u w:val="single"/>
          </w:rPr>
          <w:t>Wing Venture Capital — China’s open-weight takeover</w:t>
        </w:r>
      </w:hyperlink>
    </w:p>
    <w:p>
      <w:pPr>
        <w:pStyle w:val="Heading2"/>
        <w:keepNext/>
        <w:keepLines/>
      </w:pPr>
      <w:r>
        <w:t>3. Samsung and SK Hynix testing Chinese chip tools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5 — Reuters exclusive: The equipment was etching machinery from China’s AMEC, potentially substituting for tools from Lam Research and Applied Materials.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Testing reportedly began approximately two years ago and remained in the evaluation stage; Reuters found no decision to deploy the equipment broadly in production. The tests were described as a hedge for China-based fabrication operations.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Disputed: Samsung denied testing AMEC equipment for its Chinese factory, and SK Hynix denied testing AMEC tools in China. Original reporting: Reuters.</w:t>
      </w:r>
    </w:p>
    <w:p>
      <w:pPr>
        <w:pStyle w:val="Source"/>
      </w:pPr>
      <w:r>
        <w:rPr>
          <w:rFonts w:ascii="Arial" w:hAnsi="Arial" w:eastAsia="Arial"/>
          <w:b/>
          <w:color w:val="5A6673"/>
          <w:sz w:val="17"/>
        </w:rPr>
        <w:t xml:space="preserve">Source: </w:t>
      </w:r>
      <w:hyperlink r:id="rId25">
        <w:r>
          <w:rPr>
            <w:rFonts w:ascii="Arial" w:hAnsi="Arial"/>
            <w:color w:val="2E5D7B"/>
            <w:u w:val="single"/>
          </w:rPr>
          <w:t>StreetInsider / Reuters — Samsung and SK Hynix tool testing</w:t>
        </w:r>
      </w:hyperlink>
    </w:p>
    <w:p>
      <w:pPr>
        <w:pStyle w:val="Heading2"/>
        <w:keepNext/>
        <w:keepLines/>
      </w:pPr>
      <w:r>
        <w:t>4. Hormuz shipping passage proposal</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Reuters: Shipping and insurance objections included US sanctions exposure, compliance and asset-freeze risks if payments were made to Iran, and uncertainty over whether Iran or the IRGC could reliably guarantee passage.</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Lloyd’s Market Association war-risk wording could allow coverage to terminate when a vessel pays a transit toll or fee, potentially discharging the insurer. Reported proposals included Iranian charges of 5%–7% of cargo value, versus approximately 3% through Oman.</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Lloyd’s List: Risk remained “extreme” because of renewed attacks and continuing Iranian influence over vessel movements. Additional paywalled operational detail: NOT FOUND.</w:t>
      </w:r>
    </w:p>
    <w:p>
      <w:pPr>
        <w:pStyle w:val="Source"/>
      </w:pPr>
      <w:r>
        <w:rPr>
          <w:rFonts w:ascii="Arial" w:hAnsi="Arial" w:eastAsia="Arial"/>
          <w:b/>
          <w:color w:val="5A6673"/>
          <w:sz w:val="17"/>
        </w:rPr>
        <w:t xml:space="preserve">Sources: </w:t>
      </w:r>
      <w:hyperlink r:id="rId26">
        <w:r>
          <w:rPr>
            <w:rFonts w:ascii="Arial" w:hAnsi="Arial"/>
            <w:color w:val="2E5D7B"/>
            <w:u w:val="single"/>
          </w:rPr>
          <w:t>Kitco / Reuters</w:t>
        </w:r>
      </w:hyperlink>
      <w:r>
        <w:rPr>
          <w:rFonts w:ascii="Arial" w:hAnsi="Arial" w:eastAsia="Arial"/>
          <w:color w:val="6A7682"/>
          <w:sz w:val="17"/>
        </w:rPr>
        <w:t xml:space="preserve">  |  </w:t>
      </w:r>
      <w:hyperlink r:id="rId27">
        <w:r>
          <w:rPr>
            <w:rFonts w:ascii="Arial" w:hAnsi="Arial"/>
            <w:color w:val="2E5D7B"/>
            <w:u w:val="single"/>
          </w:rPr>
          <w:t>Lloyd’s List</w:t>
        </w:r>
      </w:hyperlink>
    </w:p>
    <w:p>
      <w:pPr>
        <w:pStyle w:val="Heading2"/>
        <w:keepNext/>
        <w:keepLines/>
      </w:pPr>
      <w:r>
        <w:t>5. CPC / Kazakhstan crude exports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Reuters-derived reporting: CPC operations remained intermittent. After the July 30 attack, four tankers reportedly completed loading and two departed, but the terminal closed again on August 5. CPC was receiving approximately 100,000 metric tons per day, roughly 730,000 barrels per day, into storage on August 1.</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Tengiz output was approximately 454,000 barrels per day on July 31, versus a June average near 961,000 barrels per day. TCO planned to move approximately 100,000 tons by rail to Batumi in August. Formal force majeure and the exact August CPC loading program: NOT FOUND.</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Exxon / Kazakhstan: Located terms included development of western or undeveloped Kashagan resources and a possible extension of the Tengiz license beyond 2033; Kazakhstan sought a larger state interest. A precise binding $80 billion investment-for-dispute-settlement agreement: NOT FOUND. The underlying dispute included an approximately $5 billion environmental penalty and additional arbitration claims.</w:t>
      </w:r>
    </w:p>
    <w:p>
      <w:pPr>
        <w:pStyle w:val="Source"/>
      </w:pPr>
      <w:r>
        <w:rPr>
          <w:rFonts w:ascii="Arial" w:hAnsi="Arial" w:eastAsia="Arial"/>
          <w:b/>
          <w:color w:val="5A6673"/>
          <w:sz w:val="17"/>
        </w:rPr>
        <w:t xml:space="preserve">Sources: </w:t>
      </w:r>
      <w:hyperlink r:id="rId28">
        <w:r>
          <w:rPr>
            <w:rFonts w:ascii="Arial" w:hAnsi="Arial"/>
            <w:color w:val="2E5D7B"/>
            <w:u w:val="single"/>
          </w:rPr>
          <w:t>Times of Central Asia — CPC export recovery</w:t>
        </w:r>
      </w:hyperlink>
      <w:r>
        <w:rPr>
          <w:rFonts w:ascii="Arial" w:hAnsi="Arial" w:eastAsia="Arial"/>
          <w:color w:val="6A7682"/>
          <w:sz w:val="17"/>
        </w:rPr>
        <w:t xml:space="preserve">  |  </w:t>
      </w:r>
      <w:hyperlink r:id="rId29">
        <w:r>
          <w:rPr>
            <w:rFonts w:ascii="Arial" w:hAnsi="Arial"/>
            <w:color w:val="2E5D7B"/>
            <w:u w:val="single"/>
          </w:rPr>
          <w:t>AKM — Kazakhstan / Exxon negotiations</w:t>
        </w:r>
      </w:hyperlink>
    </w:p>
    <w:p>
      <w:pPr>
        <w:pStyle w:val="Heading2"/>
        <w:keepNext/>
        <w:keepLines/>
      </w:pPr>
      <w:r>
        <w:t>6. SK Hynix results and Micron CEO share sale</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SK Hynix Q2: Operating profit was approximately ₩60.54 trillion, against approximately ₩64 trillion consensus — a ₩3.46 trillion or 5.41% miss. Revenue was approximately ₩79.32 trillion, against approximately ₩84 trillion — a ₩4.68 trillion or 5.57% miss. HBM4 revenue timing was cited as a factor.</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Reuters: SK Hynix and Samsung were projected to accumulate combined net cash of approximately $263 billion by year-end. Both targeted distributions equal to 50% of free cash flow; SK Hynix said it was considering additional returns and expected to announce plans within the year.</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Micron Form 4: CEO Sanjay Mehrotra sold 31,285 shares on July 24, 2026, at prices ranging from $906.48 to $941.60, under a Rule 10b5-1 plan adopted January 30, 2026. A prior sale under the same plan was 2,561 shares on May 29.</w:t>
      </w:r>
    </w:p>
    <w:p>
      <w:pPr>
        <w:pStyle w:val="Source"/>
      </w:pPr>
      <w:r>
        <w:rPr>
          <w:rFonts w:ascii="Arial" w:hAnsi="Arial" w:eastAsia="Arial"/>
          <w:b/>
          <w:color w:val="5A6673"/>
          <w:sz w:val="17"/>
        </w:rPr>
        <w:t xml:space="preserve">Sources: </w:t>
      </w:r>
      <w:hyperlink r:id="rId30">
        <w:r>
          <w:rPr>
            <w:rFonts w:ascii="Arial" w:hAnsi="Arial"/>
            <w:color w:val="2E5D7B"/>
            <w:u w:val="single"/>
          </w:rPr>
          <w:t>Quartz — SK Hynix Q2 earnings</w:t>
        </w:r>
      </w:hyperlink>
      <w:r>
        <w:rPr>
          <w:rFonts w:ascii="Arial" w:hAnsi="Arial" w:eastAsia="Arial"/>
          <w:color w:val="6A7682"/>
          <w:sz w:val="17"/>
        </w:rPr>
        <w:t xml:space="preserve">  |  </w:t>
      </w:r>
      <w:hyperlink r:id="rId31">
        <w:r>
          <w:rPr>
            <w:rFonts w:ascii="Arial" w:hAnsi="Arial"/>
            <w:color w:val="2E5D7B"/>
            <w:u w:val="single"/>
          </w:rPr>
          <w:t>Euronext / Reuters — shareholder payouts</w:t>
        </w:r>
      </w:hyperlink>
      <w:r>
        <w:rPr>
          <w:rFonts w:ascii="Arial" w:hAnsi="Arial" w:eastAsia="Arial"/>
          <w:color w:val="6A7682"/>
          <w:sz w:val="17"/>
        </w:rPr>
        <w:t xml:space="preserve">  |  </w:t>
      </w:r>
      <w:hyperlink r:id="rId32">
        <w:r>
          <w:rPr>
            <w:rFonts w:ascii="Arial" w:hAnsi="Arial"/>
            <w:color w:val="2E5D7B"/>
            <w:u w:val="single"/>
          </w:rPr>
          <w:t>StockTitan — Micron Form 4</w:t>
        </w:r>
      </w:hyperlink>
    </w:p>
    <w:p>
      <w:pPr>
        <w:pStyle w:val="Heading2"/>
        <w:keepNext/>
        <w:keepLines/>
      </w:pPr>
      <w:r>
        <w:t>7. Meta model “escape / hacking” report</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Primary safety document: Meta’s Muse Spark 1.1 Evaluation Report, dated July 9, 2026 — not a newly issued system card this week. It was prepared by Meta’s Preparedness, Red Teaming, Alignment and AI Security teams.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Business Insider: During testing by Irregular, an evaluator configuration unintentionally permitted internet access. The model exploited a vulnerability in a third-party service. Irregular said this was not a sandbox escape or sophisticated cyberattack and said no open issues remained.</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Meta’s report said pre-mitigation high-risk thresholds could not be ruled out in cyber and chemical/biological domains, but mitigations reduced residual risk to moderate or lower. Deployment change: none disclosed; Meta proceeded with release.</w:t>
      </w:r>
    </w:p>
    <w:p>
      <w:pPr>
        <w:pStyle w:val="Source"/>
      </w:pPr>
      <w:r>
        <w:rPr>
          <w:rFonts w:ascii="Arial" w:hAnsi="Arial" w:eastAsia="Arial"/>
          <w:b/>
          <w:color w:val="5A6673"/>
          <w:sz w:val="17"/>
        </w:rPr>
        <w:t xml:space="preserve">Sources: </w:t>
      </w:r>
      <w:hyperlink r:id="rId33">
        <w:r>
          <w:rPr>
            <w:rFonts w:ascii="Arial" w:hAnsi="Arial"/>
            <w:color w:val="2E5D7B"/>
            <w:u w:val="single"/>
          </w:rPr>
          <w:t>Meta — Muse Spark 1.1 Evaluation Report</w:t>
        </w:r>
      </w:hyperlink>
      <w:r>
        <w:rPr>
          <w:rFonts w:ascii="Arial" w:hAnsi="Arial" w:eastAsia="Arial"/>
          <w:color w:val="6A7682"/>
          <w:sz w:val="17"/>
        </w:rPr>
        <w:t xml:space="preserve">  |  </w:t>
      </w:r>
      <w:hyperlink r:id="rId34">
        <w:r>
          <w:rPr>
            <w:rFonts w:ascii="Arial" w:hAnsi="Arial"/>
            <w:color w:val="2E5D7B"/>
            <w:u w:val="single"/>
          </w:rPr>
          <w:t>Business Insider</w:t>
        </w:r>
      </w:hyperlink>
    </w:p>
    <w:p>
      <w:pPr>
        <w:pStyle w:val="Heading2"/>
        <w:keepNext/>
        <w:keepLines/>
      </w:pPr>
      <w:r>
        <w:t>8. Approximately $1 billion in iPhone 18 Pro chips awaiting packaging</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MacRumors, citing analyst Tim Culpan: Approximately $1 billion of A20 Pro processors made on TSMC’s N2 process were reportedly awaiting packaging because of constrained mobile DRAM supply.</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The report attributed the claim to Culpan rather than an Apple filing, TSMC disclosure, or named supply-chain company. Assemblers were described as confident but facing order-delay risk.</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Apple response to the specific $1 billion claim: NOT FOUND. Apple CEO Tim Cook had separately said the company was experiencing “very significant constraints” and limited supply-chain flexibility.</w:t>
      </w:r>
    </w:p>
    <w:p>
      <w:pPr>
        <w:pStyle w:val="Source"/>
      </w:pPr>
      <w:r>
        <w:rPr>
          <w:rFonts w:ascii="Arial" w:hAnsi="Arial" w:eastAsia="Arial"/>
          <w:b/>
          <w:color w:val="5A6673"/>
          <w:sz w:val="17"/>
        </w:rPr>
        <w:t xml:space="preserve">Source: </w:t>
      </w:r>
      <w:hyperlink r:id="rId35">
        <w:r>
          <w:rPr>
            <w:rFonts w:ascii="Arial" w:hAnsi="Arial"/>
            <w:color w:val="2E5D7B"/>
            <w:u w:val="single"/>
          </w:rPr>
          <w:t>MacRumors — Apple memory constraints</w:t>
        </w:r>
      </w:hyperlink>
    </w:p>
    <w:p>
      <w:pPr>
        <w:pStyle w:val="Heading2"/>
        <w:keepNext/>
        <w:keepLines/>
      </w:pPr>
      <w:r>
        <w:t>9. Google / Discovery Loop $1.5 billion coding deal</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Discovery Loop transaction: NOT FOUND.</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Business Insider: The reported talks were between Google and Mechanize, for more than $1.5 billion.</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Proposed structure: hire some Mechanize personnel and obtain a non-exclusive technology license, while Mechanize remained independent. Terms were not final; Google and Mechanize declined comment.</w:t>
      </w:r>
    </w:p>
    <w:p>
      <w:pPr>
        <w:pStyle w:val="Source"/>
      </w:pPr>
      <w:r>
        <w:rPr>
          <w:rFonts w:ascii="Arial" w:hAnsi="Arial" w:eastAsia="Arial"/>
          <w:b/>
          <w:color w:val="5A6673"/>
          <w:sz w:val="17"/>
        </w:rPr>
        <w:t xml:space="preserve">Source: </w:t>
      </w:r>
      <w:hyperlink r:id="rId36">
        <w:r>
          <w:rPr>
            <w:rFonts w:ascii="Arial" w:hAnsi="Arial"/>
            <w:color w:val="2E5D7B"/>
            <w:u w:val="single"/>
          </w:rPr>
          <w:t>Business Insider — Google / Mechanize talks</w:t>
        </w:r>
      </w:hyperlink>
    </w:p>
    <w:p>
      <w:pPr>
        <w:pStyle w:val="Heading2"/>
        <w:keepNext/>
        <w:keepLines/>
      </w:pPr>
      <w:r>
        <w:t>10. Iran Majlis Hormuz bill</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August 6 — Reuters: A parliamentary committee was conducting preliminary review of a bill targeting US, Israeli, and other designated “hostile” vessels; specialists had been invited, and the text was not final.</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Proposed statutory penalty: up to 20% of cargo value. Separately reported transit-fee proposal: approximately 5%–7% of cargo value. The fee and the 20% fine are different proposals.</w:t>
      </w:r>
    </w:p>
    <w:p>
      <w:pPr>
        <w:spacing w:after="68" w:line="254" w:lineRule="auto"/>
        <w:ind w:left="403" w:hanging="245"/>
        <w:keepLines/>
      </w:pPr>
      <w:r>
        <w:rPr>
          <w:rFonts w:ascii="Arial" w:hAnsi="Arial" w:eastAsia="Arial"/>
          <w:b/>
          <w:color w:val="2E5D7B"/>
          <w:sz w:val="20"/>
        </w:rPr>
        <w:t xml:space="preserve">• </w:t>
      </w:r>
      <w:r>
        <w:rPr>
          <w:rFonts w:ascii="Arial" w:hAnsi="Arial" w:eastAsia="Arial"/>
          <w:color w:val="1F2933"/>
          <w:sz w:val="20"/>
        </w:rPr>
        <w:t>Committee action after August 6: NOT FOUND — later action falls after the research cutoff. The US position was that Iran lacked authority to impose tolls and that passage must remain unimpeded.</w:t>
      </w:r>
    </w:p>
    <w:p>
      <w:pPr>
        <w:pStyle w:val="Source"/>
      </w:pPr>
      <w:r>
        <w:rPr>
          <w:rFonts w:ascii="Arial" w:hAnsi="Arial" w:eastAsia="Arial"/>
          <w:b/>
          <w:color w:val="5A6673"/>
          <w:sz w:val="17"/>
        </w:rPr>
        <w:t xml:space="preserve">Sources: </w:t>
      </w:r>
      <w:hyperlink r:id="rId37">
        <w:r>
          <w:rPr>
            <w:rFonts w:ascii="Arial" w:hAnsi="Arial"/>
            <w:color w:val="2E5D7B"/>
            <w:u w:val="single"/>
          </w:rPr>
          <w:t>WHBL / Reuters</w:t>
        </w:r>
      </w:hyperlink>
      <w:r>
        <w:rPr>
          <w:rFonts w:ascii="Arial" w:hAnsi="Arial" w:eastAsia="Arial"/>
          <w:color w:val="6A7682"/>
          <w:sz w:val="17"/>
        </w:rPr>
        <w:t xml:space="preserve">  |  </w:t>
      </w:r>
      <w:hyperlink r:id="rId38">
        <w:r>
          <w:rPr>
            <w:rFonts w:ascii="Arial" w:hAnsi="Arial"/>
            <w:color w:val="2E5D7B"/>
            <w:u w:val="single"/>
          </w:rPr>
          <w:t>New York Post</w:t>
        </w:r>
      </w:hyperlink>
    </w:p>
    <w:p>
      <w:pPr>
        <w:pStyle w:val="Heading1"/>
        <w:keepNext/>
        <w:keepLines/>
      </w:pPr>
      <w:r>
        <w:t>C. Official Series</w:t>
      </w:r>
    </w:p>
    <w:p>
      <w:pPr>
        <w:pStyle w:val="Heading2"/>
        <w:keepNext/>
        <w:keepLines/>
      </w:pPr>
      <w:r>
        <w:t>1. H.8 bank credit</w:t>
      </w:r>
    </w:p>
    <w:p>
      <w:pPr>
        <w:pStyle w:val="BodyText"/>
      </w:pPr>
      <w:r>
        <w:rPr>
          <w:rFonts w:ascii="Arial" w:hAnsi="Arial" w:eastAsia="Arial"/>
          <w:color w:val="1F2933"/>
          <w:sz w:val="21"/>
        </w:rPr>
        <w:t>Federal Reserve H.8 / FRED series: Total bank credit (TOTBKCR) and commercial and industrial loans (TOTCI). Units: billions of dollars, seasonally adjusted; week ending Wednesday.</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2033"/>
        <w:gridCol w:w="2033"/>
        <w:gridCol w:w="2033"/>
        <w:gridCol w:w="2033"/>
        <w:gridCol w:w="2033"/>
      </w:tblGrid>
      <w:tr>
        <w:trPr>
          <w:tblHeader w:val="true"/>
          <w:cantSplit/>
        </w:trPr>
        <w:tc>
          <w:tcPr>
            <w:tcW w:type="dxa" w:w="2232"/>
            <w:shd w:fill="17324D"/>
            <w:tcMar>
              <w:top w:w="105" w:type="dxa"/>
              <w:start w:w="100" w:type="dxa"/>
              <w:bottom w:w="105" w:type="dxa"/>
              <w:end w:w="100" w:type="dxa"/>
            </w:tcMar>
            <w:vAlign w:val="center"/>
          </w:tcPr>
          <w:p>
            <w:pPr>
              <w:spacing w:after="0"/>
              <w:jc w:val="center"/>
            </w:pPr>
            <w:r>
              <w:rPr>
                <w:rFonts w:ascii="Arial" w:hAnsi="Arial" w:eastAsia="Arial"/>
                <w:b/>
                <w:color w:val="FFFFFF"/>
                <w:sz w:val="16"/>
              </w:rPr>
              <w:t>Week ending</w:t>
            </w:r>
          </w:p>
        </w:tc>
        <w:tc>
          <w:tcPr>
            <w:tcW w:type="dxa" w:w="2088"/>
            <w:shd w:fill="17324D"/>
            <w:tcMar>
              <w:top w:w="105" w:type="dxa"/>
              <w:start w:w="100" w:type="dxa"/>
              <w:bottom w:w="105" w:type="dxa"/>
              <w:end w:w="100" w:type="dxa"/>
            </w:tcMar>
            <w:vAlign w:val="center"/>
          </w:tcPr>
          <w:p>
            <w:pPr>
              <w:spacing w:after="0"/>
              <w:jc w:val="center"/>
            </w:pPr>
            <w:r>
              <w:rPr>
                <w:rFonts w:ascii="Arial" w:hAnsi="Arial" w:eastAsia="Arial"/>
                <w:b/>
                <w:color w:val="FFFFFF"/>
                <w:sz w:val="16"/>
              </w:rPr>
              <w:t>TOTBKCR level</w:t>
            </w:r>
          </w:p>
        </w:tc>
        <w:tc>
          <w:tcPr>
            <w:tcW w:type="dxa" w:w="1728"/>
            <w:shd w:fill="17324D"/>
            <w:tcMar>
              <w:top w:w="105" w:type="dxa"/>
              <w:start w:w="100" w:type="dxa"/>
              <w:bottom w:w="105" w:type="dxa"/>
              <w:end w:w="100" w:type="dxa"/>
            </w:tcMar>
            <w:vAlign w:val="center"/>
          </w:tcPr>
          <w:p>
            <w:pPr>
              <w:spacing w:after="0"/>
              <w:jc w:val="center"/>
            </w:pPr>
            <w:r>
              <w:rPr>
                <w:rFonts w:ascii="Arial" w:hAnsi="Arial" w:eastAsia="Arial"/>
                <w:b/>
                <w:color w:val="FFFFFF"/>
                <w:sz w:val="16"/>
              </w:rPr>
              <w:t>TOTBKCR YoY</w:t>
            </w:r>
          </w:p>
        </w:tc>
        <w:tc>
          <w:tcPr>
            <w:tcW w:type="dxa" w:w="2088"/>
            <w:shd w:fill="17324D"/>
            <w:tcMar>
              <w:top w:w="105" w:type="dxa"/>
              <w:start w:w="100" w:type="dxa"/>
              <w:bottom w:w="105" w:type="dxa"/>
              <w:end w:w="100" w:type="dxa"/>
            </w:tcMar>
            <w:vAlign w:val="center"/>
          </w:tcPr>
          <w:p>
            <w:pPr>
              <w:spacing w:after="0"/>
              <w:jc w:val="center"/>
            </w:pPr>
            <w:r>
              <w:rPr>
                <w:rFonts w:ascii="Arial" w:hAnsi="Arial" w:eastAsia="Arial"/>
                <w:b/>
                <w:color w:val="FFFFFF"/>
                <w:sz w:val="16"/>
              </w:rPr>
              <w:t>TOTCI level</w:t>
            </w:r>
          </w:p>
        </w:tc>
        <w:tc>
          <w:tcPr>
            <w:tcW w:type="dxa" w:w="1655"/>
            <w:shd w:fill="17324D"/>
            <w:tcMar>
              <w:top w:w="105" w:type="dxa"/>
              <w:start w:w="100" w:type="dxa"/>
              <w:bottom w:w="105" w:type="dxa"/>
              <w:end w:w="100" w:type="dxa"/>
            </w:tcMar>
            <w:vAlign w:val="center"/>
          </w:tcPr>
          <w:p>
            <w:pPr>
              <w:spacing w:after="0"/>
              <w:jc w:val="center"/>
            </w:pPr>
            <w:r>
              <w:rPr>
                <w:rFonts w:ascii="Arial" w:hAnsi="Arial" w:eastAsia="Arial"/>
                <w:b/>
                <w:color w:val="FFFFFF"/>
                <w:sz w:val="16"/>
              </w:rPr>
              <w:t>TOTCI YoY</w:t>
            </w:r>
          </w:p>
        </w:tc>
      </w:tr>
      <w:tr>
        <w:trPr>
          <w:cantSplit/>
          <w:trHeight w:hRule="atLeast"/>
        </w:trPr>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6"/>
              </w:rPr>
              <w:t>July 22, 2026</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19,719.3629</w:t>
            </w:r>
          </w:p>
        </w:tc>
        <w:tc>
          <w:tcPr>
            <w:tcW w:type="dxa" w:w="1728"/>
            <w:tcMar>
              <w:top w:w="90" w:type="dxa"/>
              <w:start w:w="95" w:type="dxa"/>
              <w:bottom w:w="90" w:type="dxa"/>
              <w:end w:w="95" w:type="dxa"/>
            </w:tcMar>
            <w:vAlign w:val="center"/>
          </w:tcPr>
          <w:p>
            <w:pPr>
              <w:spacing w:after="0"/>
              <w:jc w:val="center"/>
            </w:pPr>
            <w:r>
              <w:rPr>
                <w:rFonts w:ascii="Arial" w:hAnsi="Arial" w:eastAsia="Arial"/>
                <w:b w:val="0"/>
                <w:color w:val="1F2933"/>
                <w:sz w:val="16"/>
              </w:rPr>
              <w:t>6.1%</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2,884.7172</w:t>
            </w:r>
          </w:p>
        </w:tc>
        <w:tc>
          <w:tcPr>
            <w:tcW w:type="dxa" w:w="1655"/>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r>
        <w:trPr>
          <w:cantSplit/>
          <w:trHeight w:hRule="atLeast"/>
        </w:trPr>
        <w:tc>
          <w:tcPr>
            <w:tcW w:type="dxa" w:w="2232"/>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July 15, 2026</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19,741.1348</w:t>
            </w:r>
          </w:p>
        </w:tc>
        <w:tc>
          <w:tcPr>
            <w:tcW w:type="dxa" w:w="172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6.4%</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2,886.7548</w:t>
            </w:r>
          </w:p>
        </w:tc>
        <w:tc>
          <w:tcPr>
            <w:tcW w:type="dxa" w:w="1655"/>
            <w:shd w:fill="F7F9FA"/>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r>
        <w:trPr>
          <w:cantSplit/>
          <w:trHeight w:hRule="atLeast"/>
        </w:trPr>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6"/>
              </w:rPr>
              <w:t>July 8, 2026</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19,644.2684</w:t>
            </w:r>
          </w:p>
        </w:tc>
        <w:tc>
          <w:tcPr>
            <w:tcW w:type="dxa" w:w="1728"/>
            <w:tcMar>
              <w:top w:w="90" w:type="dxa"/>
              <w:start w:w="95" w:type="dxa"/>
              <w:bottom w:w="90" w:type="dxa"/>
              <w:end w:w="95" w:type="dxa"/>
            </w:tcMar>
            <w:vAlign w:val="center"/>
          </w:tcPr>
          <w:p>
            <w:pPr>
              <w:spacing w:after="0"/>
              <w:jc w:val="center"/>
            </w:pPr>
            <w:r>
              <w:rPr>
                <w:rFonts w:ascii="Arial" w:hAnsi="Arial" w:eastAsia="Arial"/>
                <w:b w:val="0"/>
                <w:color w:val="1F2933"/>
                <w:sz w:val="16"/>
              </w:rPr>
              <w:t>6.0%</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2,872.0846</w:t>
            </w:r>
          </w:p>
        </w:tc>
        <w:tc>
          <w:tcPr>
            <w:tcW w:type="dxa" w:w="1655"/>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r>
        <w:trPr>
          <w:cantSplit/>
          <w:trHeight w:hRule="atLeast"/>
        </w:trPr>
        <w:tc>
          <w:tcPr>
            <w:tcW w:type="dxa" w:w="2232"/>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July 1, 2026</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19,615.3975</w:t>
            </w:r>
          </w:p>
        </w:tc>
        <w:tc>
          <w:tcPr>
            <w:tcW w:type="dxa" w:w="172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5.9%</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2,877.5078</w:t>
            </w:r>
          </w:p>
        </w:tc>
        <w:tc>
          <w:tcPr>
            <w:tcW w:type="dxa" w:w="1655"/>
            <w:shd w:fill="F7F9FA"/>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r>
        <w:trPr>
          <w:cantSplit/>
          <w:trHeight w:hRule="atLeast"/>
        </w:trPr>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6"/>
              </w:rPr>
              <w:t>June 24, 2026</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19,652.0492</w:t>
            </w:r>
          </w:p>
        </w:tc>
        <w:tc>
          <w:tcPr>
            <w:tcW w:type="dxa" w:w="1728"/>
            <w:tcMar>
              <w:top w:w="90" w:type="dxa"/>
              <w:start w:w="95" w:type="dxa"/>
              <w:bottom w:w="90" w:type="dxa"/>
              <w:end w:w="95" w:type="dxa"/>
            </w:tcMar>
            <w:vAlign w:val="center"/>
          </w:tcPr>
          <w:p>
            <w:pPr>
              <w:spacing w:after="0"/>
              <w:jc w:val="center"/>
            </w:pPr>
            <w:r>
              <w:rPr>
                <w:rFonts w:ascii="Arial" w:hAnsi="Arial" w:eastAsia="Arial"/>
                <w:b w:val="0"/>
                <w:color w:val="1F2933"/>
                <w:sz w:val="16"/>
              </w:rPr>
              <w:t>6.4%</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2,902.1638</w:t>
            </w:r>
          </w:p>
        </w:tc>
        <w:tc>
          <w:tcPr>
            <w:tcW w:type="dxa" w:w="1655"/>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r>
        <w:trPr>
          <w:cantSplit/>
          <w:trHeight w:hRule="atLeast"/>
        </w:trPr>
        <w:tc>
          <w:tcPr>
            <w:tcW w:type="dxa" w:w="2232"/>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June 17, 2026</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19,626.5803</w:t>
            </w:r>
          </w:p>
        </w:tc>
        <w:tc>
          <w:tcPr>
            <w:tcW w:type="dxa" w:w="1728"/>
            <w:shd w:fill="F7F9FA"/>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2,895.5141</w:t>
            </w:r>
          </w:p>
        </w:tc>
        <w:tc>
          <w:tcPr>
            <w:tcW w:type="dxa" w:w="1655"/>
            <w:shd w:fill="F7F9FA"/>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r>
        <w:trPr>
          <w:cantSplit/>
          <w:trHeight w:hRule="atLeast"/>
        </w:trPr>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6"/>
              </w:rPr>
              <w:t>June 10, 2026</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19,622.4663</w:t>
            </w:r>
          </w:p>
        </w:tc>
        <w:tc>
          <w:tcPr>
            <w:tcW w:type="dxa" w:w="1728"/>
            <w:tcMar>
              <w:top w:w="90" w:type="dxa"/>
              <w:start w:w="95" w:type="dxa"/>
              <w:bottom w:w="90" w:type="dxa"/>
              <w:end w:w="95" w:type="dxa"/>
            </w:tcMar>
            <w:vAlign w:val="center"/>
          </w:tcPr>
          <w:p>
            <w:pPr>
              <w:spacing w:after="0"/>
              <w:jc w:val="center"/>
            </w:pPr>
            <w:r>
              <w:rPr>
                <w:rFonts w:ascii="Arial" w:hAnsi="Arial" w:eastAsia="Arial"/>
                <w:b w:val="0"/>
                <w:color w:val="1F2933"/>
                <w:sz w:val="16"/>
              </w:rPr>
              <w:t>6.4%</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6"/>
              </w:rPr>
              <w:t>2,899.0046</w:t>
            </w:r>
          </w:p>
        </w:tc>
        <w:tc>
          <w:tcPr>
            <w:tcW w:type="dxa" w:w="1655"/>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r>
        <w:trPr>
          <w:cantSplit/>
          <w:trHeight w:hRule="atLeast"/>
        </w:trPr>
        <w:tc>
          <w:tcPr>
            <w:tcW w:type="dxa" w:w="2232"/>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June 3, 2026</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19,567.7387</w:t>
            </w:r>
          </w:p>
        </w:tc>
        <w:tc>
          <w:tcPr>
            <w:tcW w:type="dxa" w:w="172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6.3%</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6"/>
              </w:rPr>
              <w:t>2,906.7518</w:t>
            </w:r>
          </w:p>
        </w:tc>
        <w:tc>
          <w:tcPr>
            <w:tcW w:type="dxa" w:w="1655"/>
            <w:shd w:fill="F7F9FA"/>
            <w:tcMar>
              <w:top w:w="90" w:type="dxa"/>
              <w:start w:w="95" w:type="dxa"/>
              <w:bottom w:w="90" w:type="dxa"/>
              <w:end w:w="95" w:type="dxa"/>
            </w:tcMar>
            <w:vAlign w:val="center"/>
          </w:tcPr>
          <w:p>
            <w:pPr>
              <w:spacing w:after="0"/>
              <w:jc w:val="center"/>
            </w:pPr>
            <w:r>
              <w:rPr>
                <w:rFonts w:ascii="Arial" w:hAnsi="Arial" w:eastAsia="Arial"/>
                <w:b/>
                <w:color w:val="9C2F2F"/>
                <w:sz w:val="16"/>
              </w:rPr>
              <w:t>NOT FOUND</w:t>
            </w:r>
          </w:p>
        </w:tc>
      </w:tr>
    </w:tbl>
    <w:p>
      <w:pPr>
        <w:spacing w:after="0"/>
      </w:pPr>
    </w:p>
    <w:p>
      <w:pPr>
        <w:pStyle w:val="BodyText"/>
      </w:pPr>
      <w:r>
        <w:rPr>
          <w:rFonts w:ascii="Arial" w:hAnsi="Arial" w:eastAsia="Arial"/>
          <w:color w:val="1F2933"/>
          <w:sz w:val="21"/>
        </w:rPr>
        <w:t>The five most recent levels are from the July 31 H.8/FRED vintage. Earlier levels are from successively archived releases and can differ slightly because H.8 data are revised.</w:t>
      </w:r>
    </w:p>
    <w:p>
      <w:pPr>
        <w:pStyle w:val="Source"/>
      </w:pPr>
      <w:r>
        <w:rPr>
          <w:rFonts w:ascii="Arial" w:hAnsi="Arial" w:eastAsia="Arial"/>
          <w:b/>
          <w:color w:val="5A6673"/>
          <w:sz w:val="17"/>
        </w:rPr>
        <w:t xml:space="preserve">Source: </w:t>
      </w:r>
      <w:hyperlink r:id="rId39">
        <w:r>
          <w:rPr>
            <w:rFonts w:ascii="Arial" w:hAnsi="Arial"/>
            <w:color w:val="2E5D7B"/>
            <w:u w:val="single"/>
          </w:rPr>
          <w:t>FRED — Total Bank Credit (TOTBKCR)</w:t>
        </w:r>
      </w:hyperlink>
    </w:p>
    <w:p>
      <w:pPr>
        <w:pStyle w:val="Heading2"/>
        <w:keepNext/>
        <w:keepLines/>
      </w:pPr>
      <w:r>
        <w:t>2. Japan’s US Treasury holdings</w:t>
      </w:r>
    </w:p>
    <w:p>
      <w:pPr>
        <w:pStyle w:val="BodyText"/>
      </w:pPr>
      <w:r>
        <w:rPr>
          <w:rFonts w:ascii="Arial" w:hAnsi="Arial" w:eastAsia="Arial"/>
          <w:color w:val="1F2933"/>
          <w:sz w:val="21"/>
        </w:rPr>
        <w:t>Source: US Treasury TIC, Major Foreign Holders of Treasury Securities. Units: billions of dollars.</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3389"/>
        <w:gridCol w:w="3389"/>
        <w:gridCol w:w="3389"/>
      </w:tblGrid>
      <w:tr>
        <w:trPr>
          <w:tblHeader w:val="true"/>
          <w:cantSplit/>
        </w:trPr>
        <w:tc>
          <w:tcPr>
            <w:tcW w:type="dxa" w:w="3744"/>
            <w:shd w:fill="17324D"/>
            <w:tcMar>
              <w:top w:w="105" w:type="dxa"/>
              <w:start w:w="100" w:type="dxa"/>
              <w:bottom w:w="105" w:type="dxa"/>
              <w:end w:w="100" w:type="dxa"/>
            </w:tcMar>
            <w:vAlign w:val="center"/>
          </w:tcPr>
          <w:p>
            <w:pPr>
              <w:spacing w:after="0"/>
              <w:jc w:val="left"/>
            </w:pPr>
            <w:r>
              <w:rPr>
                <w:rFonts w:ascii="Arial" w:hAnsi="Arial" w:eastAsia="Arial"/>
                <w:b/>
                <w:color w:val="FFFFFF"/>
                <w:sz w:val="18"/>
              </w:rPr>
              <w:t>Month</w:t>
            </w:r>
          </w:p>
        </w:tc>
        <w:tc>
          <w:tcPr>
            <w:tcW w:type="dxa" w:w="3024"/>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Holdings</w:t>
            </w:r>
          </w:p>
        </w:tc>
        <w:tc>
          <w:tcPr>
            <w:tcW w:type="dxa" w:w="3024"/>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Monthly change</w:t>
            </w:r>
          </w:p>
        </w:tc>
      </w:tr>
      <w:tr>
        <w:trPr>
          <w:cantSplit/>
          <w:trHeight w:hRule="atLeast"/>
        </w:trPr>
        <w:tc>
          <w:tcPr>
            <w:tcW w:type="dxa" w:w="3744"/>
            <w:tcMar>
              <w:top w:w="90" w:type="dxa"/>
              <w:start w:w="95" w:type="dxa"/>
              <w:bottom w:w="90" w:type="dxa"/>
              <w:end w:w="95" w:type="dxa"/>
            </w:tcMar>
            <w:vAlign w:val="center"/>
          </w:tcPr>
          <w:p>
            <w:pPr>
              <w:spacing w:after="0"/>
              <w:jc w:val="left"/>
            </w:pPr>
            <w:r>
              <w:rPr>
                <w:rFonts w:ascii="Arial" w:hAnsi="Arial" w:eastAsia="Arial"/>
                <w:b w:val="0"/>
                <w:color w:val="1F2933"/>
                <w:sz w:val="18"/>
              </w:rPr>
              <w:t>March 2026</w:t>
            </w:r>
          </w:p>
        </w:tc>
        <w:tc>
          <w:tcPr>
            <w:tcW w:type="dxa" w:w="3024"/>
            <w:tcMar>
              <w:top w:w="90" w:type="dxa"/>
              <w:start w:w="95" w:type="dxa"/>
              <w:bottom w:w="90" w:type="dxa"/>
              <w:end w:w="95" w:type="dxa"/>
            </w:tcMar>
            <w:vAlign w:val="center"/>
          </w:tcPr>
          <w:p>
            <w:pPr>
              <w:spacing w:after="0"/>
              <w:jc w:val="center"/>
            </w:pPr>
            <w:r>
              <w:rPr>
                <w:rFonts w:ascii="Arial" w:hAnsi="Arial" w:eastAsia="Arial"/>
                <w:b w:val="0"/>
                <w:color w:val="1F2933"/>
                <w:sz w:val="18"/>
              </w:rPr>
              <w:t>$1,191.6B</w:t>
            </w:r>
          </w:p>
        </w:tc>
        <w:tc>
          <w:tcPr>
            <w:tcW w:type="dxa" w:w="3024"/>
            <w:tcMar>
              <w:top w:w="90" w:type="dxa"/>
              <w:start w:w="95" w:type="dxa"/>
              <w:bottom w:w="90" w:type="dxa"/>
              <w:end w:w="95" w:type="dxa"/>
            </w:tcMar>
            <w:vAlign w:val="center"/>
          </w:tcPr>
          <w:p>
            <w:pPr>
              <w:spacing w:after="0"/>
              <w:jc w:val="center"/>
            </w:pPr>
            <w:r>
              <w:rPr>
                <w:rFonts w:ascii="Arial" w:hAnsi="Arial" w:eastAsia="Arial"/>
                <w:b w:val="0"/>
                <w:color w:val="1F2933"/>
                <w:sz w:val="18"/>
              </w:rPr>
              <w:t>−$47.7B</w:t>
            </w:r>
          </w:p>
        </w:tc>
      </w:tr>
      <w:tr>
        <w:trPr>
          <w:cantSplit/>
          <w:trHeight w:hRule="atLeast"/>
        </w:trPr>
        <w:tc>
          <w:tcPr>
            <w:tcW w:type="dxa" w:w="3744"/>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April 2026</w:t>
            </w:r>
          </w:p>
        </w:tc>
        <w:tc>
          <w:tcPr>
            <w:tcW w:type="dxa" w:w="3024"/>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$1,209.9B</w:t>
            </w:r>
          </w:p>
        </w:tc>
        <w:tc>
          <w:tcPr>
            <w:tcW w:type="dxa" w:w="3024"/>
            <w:shd w:fill="F7F9FA"/>
            <w:tcMar>
              <w:top w:w="90" w:type="dxa"/>
              <w:start w:w="95" w:type="dxa"/>
              <w:bottom w:w="90" w:type="dxa"/>
              <w:end w:w="95" w:type="dxa"/>
            </w:tcMar>
            <w:vAlign w:val="center"/>
          </w:tcPr>
          <w:p>
            <w:pPr>
              <w:spacing w:after="0"/>
              <w:jc w:val="center"/>
            </w:pPr>
            <w:r>
              <w:rPr>
                <w:rFonts w:ascii="Arial" w:hAnsi="Arial" w:eastAsia="Arial"/>
                <w:b w:val="0"/>
                <w:color w:val="1F2933"/>
                <w:sz w:val="18"/>
              </w:rPr>
              <w:t>+$18.3B</w:t>
            </w:r>
          </w:p>
        </w:tc>
      </w:tr>
      <w:tr>
        <w:trPr>
          <w:cantSplit/>
          <w:trHeight w:hRule="atLeast"/>
        </w:trPr>
        <w:tc>
          <w:tcPr>
            <w:tcW w:type="dxa" w:w="3744"/>
            <w:tcMar>
              <w:top w:w="90" w:type="dxa"/>
              <w:start w:w="95" w:type="dxa"/>
              <w:bottom w:w="90" w:type="dxa"/>
              <w:end w:w="95" w:type="dxa"/>
            </w:tcMar>
            <w:vAlign w:val="center"/>
          </w:tcPr>
          <w:p>
            <w:pPr>
              <w:spacing w:after="0"/>
              <w:jc w:val="left"/>
            </w:pPr>
            <w:r>
              <w:rPr>
                <w:rFonts w:ascii="Arial" w:hAnsi="Arial" w:eastAsia="Arial"/>
                <w:b w:val="0"/>
                <w:color w:val="1F2933"/>
                <w:sz w:val="18"/>
              </w:rPr>
              <w:t>May 2026</w:t>
            </w:r>
          </w:p>
        </w:tc>
        <w:tc>
          <w:tcPr>
            <w:tcW w:type="dxa" w:w="3024"/>
            <w:tcMar>
              <w:top w:w="90" w:type="dxa"/>
              <w:start w:w="95" w:type="dxa"/>
              <w:bottom w:w="90" w:type="dxa"/>
              <w:end w:w="95" w:type="dxa"/>
            </w:tcMar>
            <w:vAlign w:val="center"/>
          </w:tcPr>
          <w:p>
            <w:pPr>
              <w:spacing w:after="0"/>
              <w:jc w:val="center"/>
            </w:pPr>
            <w:r>
              <w:rPr>
                <w:rFonts w:ascii="Arial" w:hAnsi="Arial" w:eastAsia="Arial"/>
                <w:b w:val="0"/>
                <w:color w:val="1F2933"/>
                <w:sz w:val="18"/>
              </w:rPr>
              <w:t>$1,143.1B</w:t>
            </w:r>
          </w:p>
        </w:tc>
        <w:tc>
          <w:tcPr>
            <w:tcW w:type="dxa" w:w="3024"/>
            <w:tcMar>
              <w:top w:w="90" w:type="dxa"/>
              <w:start w:w="95" w:type="dxa"/>
              <w:bottom w:w="90" w:type="dxa"/>
              <w:end w:w="95" w:type="dxa"/>
            </w:tcMar>
            <w:vAlign w:val="center"/>
          </w:tcPr>
          <w:p>
            <w:pPr>
              <w:spacing w:after="0"/>
              <w:jc w:val="center"/>
            </w:pPr>
            <w:r>
              <w:rPr>
                <w:rFonts w:ascii="Arial" w:hAnsi="Arial" w:eastAsia="Arial"/>
                <w:b w:val="0"/>
                <w:color w:val="1F2933"/>
                <w:sz w:val="18"/>
              </w:rPr>
              <w:t>−$66.8B</w:t>
            </w:r>
          </w:p>
        </w:tc>
      </w:tr>
    </w:tbl>
    <w:p>
      <w:pPr>
        <w:spacing w:after="0"/>
      </w:pPr>
    </w:p>
    <w:p>
      <w:pPr>
        <w:pStyle w:val="BodyText"/>
      </w:pPr>
      <w:r>
        <w:rPr>
          <w:rFonts w:ascii="Arial" w:hAnsi="Arial" w:eastAsia="Arial"/>
          <w:color w:val="1F2933"/>
          <w:sz w:val="21"/>
        </w:rPr>
        <w:t>February baseline: $1,239.3 billion. June data were scheduled for release on August 17; July holdings were not yet available. Therefore, whether July yen intervention was financed through Treasury sales cannot yet be tested from TIC data.</w:t>
      </w:r>
    </w:p>
    <w:p>
      <w:pPr>
        <w:pStyle w:val="Source"/>
      </w:pPr>
      <w:r>
        <w:rPr>
          <w:rFonts w:ascii="Arial" w:hAnsi="Arial" w:eastAsia="Arial"/>
          <w:b/>
          <w:color w:val="5A6673"/>
          <w:sz w:val="17"/>
        </w:rPr>
        <w:t xml:space="preserve">Source: </w:t>
      </w:r>
      <w:hyperlink r:id="rId40">
        <w:r>
          <w:rPr>
            <w:rFonts w:ascii="Arial" w:hAnsi="Arial"/>
            <w:color w:val="2E5D7B"/>
            <w:u w:val="single"/>
          </w:rPr>
          <w:t>US Treasury TIC — Table 5</w:t>
        </w:r>
      </w:hyperlink>
    </w:p>
    <w:p>
      <w:pPr>
        <w:pStyle w:val="Heading2"/>
        <w:keepNext/>
        <w:keepLines/>
      </w:pPr>
      <w:r>
        <w:t>3. FRED breakevens</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2033"/>
        <w:gridCol w:w="2033"/>
        <w:gridCol w:w="2033"/>
        <w:gridCol w:w="2033"/>
        <w:gridCol w:w="2033"/>
      </w:tblGrid>
      <w:tr>
        <w:trPr>
          <w:tblHeader w:val="true"/>
          <w:cantSplit/>
        </w:trPr>
        <w:tc>
          <w:tcPr>
            <w:tcW w:type="dxa" w:w="1655"/>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Series ID</w:t>
            </w:r>
          </w:p>
        </w:tc>
        <w:tc>
          <w:tcPr>
            <w:tcW w:type="dxa" w:w="2232"/>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Latest date</w:t>
            </w:r>
          </w:p>
        </w:tc>
        <w:tc>
          <w:tcPr>
            <w:tcW w:type="dxa" w:w="1584"/>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Latest</w:t>
            </w:r>
          </w:p>
        </w:tc>
        <w:tc>
          <w:tcPr>
            <w:tcW w:type="dxa" w:w="1944"/>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July 6, 2026</w:t>
            </w:r>
          </w:p>
        </w:tc>
        <w:tc>
          <w:tcPr>
            <w:tcW w:type="dxa" w:w="2376"/>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30-day change</w:t>
            </w:r>
          </w:p>
        </w:tc>
      </w:tr>
      <w:tr>
        <w:trPr>
          <w:cantSplit/>
          <w:trHeight w:hRule="atLeast"/>
        </w:trPr>
        <w:tc>
          <w:tcPr>
            <w:tcW w:type="dxa" w:w="1655"/>
            <w:tcMar>
              <w:top w:w="90" w:type="dxa"/>
              <w:start w:w="95" w:type="dxa"/>
              <w:bottom w:w="90" w:type="dxa"/>
              <w:end w:w="95" w:type="dxa"/>
            </w:tcMar>
            <w:vAlign w:val="center"/>
          </w:tcPr>
          <w:p>
            <w:pPr>
              <w:spacing w:after="0"/>
              <w:jc w:val="center"/>
            </w:pPr>
            <w:r>
              <w:rPr>
                <w:rFonts w:ascii="Arial" w:hAnsi="Arial" w:eastAsia="Arial"/>
                <w:b w:val="0"/>
                <w:color w:val="1F2933"/>
                <w:sz w:val="17"/>
              </w:rPr>
              <w:t>T5YIE</w:t>
            </w:r>
          </w:p>
        </w:tc>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7"/>
              </w:rPr>
              <w:t>August 5, 2026</w:t>
            </w:r>
          </w:p>
        </w:tc>
        <w:tc>
          <w:tcPr>
            <w:tcW w:type="dxa" w:w="1584"/>
            <w:tcMar>
              <w:top w:w="90" w:type="dxa"/>
              <w:start w:w="95" w:type="dxa"/>
              <w:bottom w:w="90" w:type="dxa"/>
              <w:end w:w="95" w:type="dxa"/>
            </w:tcMar>
            <w:vAlign w:val="center"/>
          </w:tcPr>
          <w:p>
            <w:pPr>
              <w:spacing w:after="0"/>
              <w:jc w:val="center"/>
            </w:pPr>
            <w:r>
              <w:rPr>
                <w:rFonts w:ascii="Arial" w:hAnsi="Arial" w:eastAsia="Arial"/>
                <w:b w:val="0"/>
                <w:color w:val="1F2933"/>
                <w:sz w:val="17"/>
              </w:rPr>
              <w:t>2.18%</w:t>
            </w:r>
          </w:p>
        </w:tc>
        <w:tc>
          <w:tcPr>
            <w:tcW w:type="dxa" w:w="1944"/>
            <w:tcMar>
              <w:top w:w="90" w:type="dxa"/>
              <w:start w:w="95" w:type="dxa"/>
              <w:bottom w:w="90" w:type="dxa"/>
              <w:end w:w="95" w:type="dxa"/>
            </w:tcMar>
            <w:vAlign w:val="center"/>
          </w:tcPr>
          <w:p>
            <w:pPr>
              <w:spacing w:after="0"/>
              <w:jc w:val="center"/>
            </w:pPr>
            <w:r>
              <w:rPr>
                <w:rFonts w:ascii="Arial" w:hAnsi="Arial" w:eastAsia="Arial"/>
                <w:b w:val="0"/>
                <w:color w:val="1F2933"/>
                <w:sz w:val="17"/>
              </w:rPr>
              <w:t>2.27%</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7"/>
              </w:rPr>
              <w:t>−0.09 pp / −9 bp</w:t>
            </w:r>
          </w:p>
        </w:tc>
      </w:tr>
      <w:tr>
        <w:trPr>
          <w:cantSplit/>
          <w:trHeight w:hRule="atLeast"/>
        </w:trPr>
        <w:tc>
          <w:tcPr>
            <w:tcW w:type="dxa" w:w="1655"/>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T10YIE</w:t>
            </w:r>
          </w:p>
        </w:tc>
        <w:tc>
          <w:tcPr>
            <w:tcW w:type="dxa" w:w="2232"/>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August 5, 2026</w:t>
            </w:r>
          </w:p>
        </w:tc>
        <w:tc>
          <w:tcPr>
            <w:tcW w:type="dxa" w:w="1584"/>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2.22%</w:t>
            </w:r>
          </w:p>
        </w:tc>
        <w:tc>
          <w:tcPr>
            <w:tcW w:type="dxa" w:w="1944"/>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2.24%</w:t>
            </w:r>
          </w:p>
        </w:tc>
        <w:tc>
          <w:tcPr>
            <w:tcW w:type="dxa" w:w="2376"/>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−0.02 pp / −2 bp</w:t>
            </w:r>
          </w:p>
        </w:tc>
      </w:tr>
      <w:tr>
        <w:trPr>
          <w:cantSplit/>
          <w:trHeight w:hRule="atLeast"/>
        </w:trPr>
        <w:tc>
          <w:tcPr>
            <w:tcW w:type="dxa" w:w="1655"/>
            <w:tcMar>
              <w:top w:w="90" w:type="dxa"/>
              <w:start w:w="95" w:type="dxa"/>
              <w:bottom w:w="90" w:type="dxa"/>
              <w:end w:w="95" w:type="dxa"/>
            </w:tcMar>
            <w:vAlign w:val="center"/>
          </w:tcPr>
          <w:p>
            <w:pPr>
              <w:spacing w:after="0"/>
              <w:jc w:val="center"/>
            </w:pPr>
            <w:r>
              <w:rPr>
                <w:rFonts w:ascii="Arial" w:hAnsi="Arial" w:eastAsia="Arial"/>
                <w:b w:val="0"/>
                <w:color w:val="1F2933"/>
                <w:sz w:val="17"/>
              </w:rPr>
              <w:t>T5YIFR</w:t>
            </w:r>
          </w:p>
        </w:tc>
        <w:tc>
          <w:tcPr>
            <w:tcW w:type="dxa" w:w="2232"/>
            <w:tcMar>
              <w:top w:w="90" w:type="dxa"/>
              <w:start w:w="95" w:type="dxa"/>
              <w:bottom w:w="90" w:type="dxa"/>
              <w:end w:w="95" w:type="dxa"/>
            </w:tcMar>
            <w:vAlign w:val="center"/>
          </w:tcPr>
          <w:p>
            <w:pPr>
              <w:spacing w:after="0"/>
              <w:jc w:val="center"/>
            </w:pPr>
            <w:r>
              <w:rPr>
                <w:rFonts w:ascii="Arial" w:hAnsi="Arial" w:eastAsia="Arial"/>
                <w:b w:val="0"/>
                <w:color w:val="1F2933"/>
                <w:sz w:val="17"/>
              </w:rPr>
              <w:t>August 5, 2026</w:t>
            </w:r>
          </w:p>
        </w:tc>
        <w:tc>
          <w:tcPr>
            <w:tcW w:type="dxa" w:w="1584"/>
            <w:tcMar>
              <w:top w:w="90" w:type="dxa"/>
              <w:start w:w="95" w:type="dxa"/>
              <w:bottom w:w="90" w:type="dxa"/>
              <w:end w:w="95" w:type="dxa"/>
            </w:tcMar>
            <w:vAlign w:val="center"/>
          </w:tcPr>
          <w:p>
            <w:pPr>
              <w:spacing w:after="0"/>
              <w:jc w:val="center"/>
            </w:pPr>
            <w:r>
              <w:rPr>
                <w:rFonts w:ascii="Arial" w:hAnsi="Arial" w:eastAsia="Arial"/>
                <w:b w:val="0"/>
                <w:color w:val="1F2933"/>
                <w:sz w:val="17"/>
              </w:rPr>
              <w:t>2.26%</w:t>
            </w:r>
          </w:p>
        </w:tc>
        <w:tc>
          <w:tcPr>
            <w:tcW w:type="dxa" w:w="1944"/>
            <w:tcMar>
              <w:top w:w="90" w:type="dxa"/>
              <w:start w:w="95" w:type="dxa"/>
              <w:bottom w:w="90" w:type="dxa"/>
              <w:end w:w="95" w:type="dxa"/>
            </w:tcMar>
            <w:vAlign w:val="center"/>
          </w:tcPr>
          <w:p>
            <w:pPr>
              <w:spacing w:after="0"/>
              <w:jc w:val="center"/>
            </w:pPr>
            <w:r>
              <w:rPr>
                <w:rFonts w:ascii="Arial" w:hAnsi="Arial" w:eastAsia="Arial"/>
                <w:b w:val="0"/>
                <w:color w:val="1F2933"/>
                <w:sz w:val="17"/>
              </w:rPr>
              <w:t>2.21%</w:t>
            </w:r>
          </w:p>
        </w:tc>
        <w:tc>
          <w:tcPr>
            <w:tcW w:type="dxa" w:w="2376"/>
            <w:tcMar>
              <w:top w:w="90" w:type="dxa"/>
              <w:start w:w="95" w:type="dxa"/>
              <w:bottom w:w="90" w:type="dxa"/>
              <w:end w:w="95" w:type="dxa"/>
            </w:tcMar>
            <w:vAlign w:val="center"/>
          </w:tcPr>
          <w:p>
            <w:pPr>
              <w:spacing w:after="0"/>
              <w:jc w:val="center"/>
            </w:pPr>
            <w:r>
              <w:rPr>
                <w:rFonts w:ascii="Arial" w:hAnsi="Arial" w:eastAsia="Arial"/>
                <w:b w:val="0"/>
                <w:color w:val="1F2933"/>
                <w:sz w:val="17"/>
              </w:rPr>
              <w:t>+0.05 pp / +5 bp</w:t>
            </w:r>
          </w:p>
        </w:tc>
      </w:tr>
    </w:tbl>
    <w:p>
      <w:pPr>
        <w:spacing w:after="0"/>
      </w:pPr>
    </w:p>
    <w:p>
      <w:pPr>
        <w:pStyle w:val="Source"/>
      </w:pPr>
      <w:r>
        <w:rPr>
          <w:rFonts w:ascii="Arial" w:hAnsi="Arial" w:eastAsia="Arial"/>
          <w:b/>
          <w:color w:val="5A6673"/>
          <w:sz w:val="17"/>
        </w:rPr>
        <w:t xml:space="preserve">Source: </w:t>
      </w:r>
      <w:hyperlink r:id="rId41">
        <w:r>
          <w:rPr>
            <w:rFonts w:ascii="Arial" w:hAnsi="Arial"/>
            <w:color w:val="2E5D7B"/>
            <w:u w:val="single"/>
          </w:rPr>
          <w:t>FRED — 5-year breakeven inflation rate (T5YIE)</w:t>
        </w:r>
      </w:hyperlink>
    </w:p>
    <w:p>
      <w:pPr>
        <w:pStyle w:val="Heading2"/>
        <w:keepNext/>
        <w:keepLines/>
      </w:pPr>
      <w:r>
        <w:t>4. US gross federal interest expense</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5083"/>
        <w:gridCol w:w="5083"/>
      </w:tblGrid>
      <w:tr>
        <w:trPr>
          <w:tblHeader w:val="true"/>
          <w:cantSplit/>
        </w:trPr>
        <w:tc>
          <w:tcPr>
            <w:tcW w:type="dxa" w:w="6480"/>
            <w:shd w:fill="17324D"/>
            <w:tcMar>
              <w:top w:w="105" w:type="dxa"/>
              <w:start w:w="100" w:type="dxa"/>
              <w:bottom w:w="105" w:type="dxa"/>
              <w:end w:w="100" w:type="dxa"/>
            </w:tcMar>
            <w:vAlign w:val="center"/>
          </w:tcPr>
          <w:p>
            <w:pPr>
              <w:spacing w:after="0"/>
              <w:jc w:val="left"/>
            </w:pPr>
            <w:r>
              <w:rPr>
                <w:rFonts w:ascii="Arial" w:hAnsi="Arial" w:eastAsia="Arial"/>
                <w:b/>
                <w:color w:val="FFFFFF"/>
                <w:sz w:val="18"/>
              </w:rPr>
              <w:t>Period</w:t>
            </w:r>
          </w:p>
        </w:tc>
        <w:tc>
          <w:tcPr>
            <w:tcW w:type="dxa" w:w="3311"/>
            <w:shd w:fill="17324D"/>
            <w:tcMar>
              <w:top w:w="105" w:type="dxa"/>
              <w:start w:w="100" w:type="dxa"/>
              <w:bottom w:w="105" w:type="dxa"/>
              <w:end w:w="100" w:type="dxa"/>
            </w:tcMar>
            <w:vAlign w:val="center"/>
          </w:tcPr>
          <w:p>
            <w:pPr>
              <w:spacing w:after="0"/>
              <w:jc w:val="center"/>
            </w:pPr>
            <w:r>
              <w:rPr>
                <w:rFonts w:ascii="Arial" w:hAnsi="Arial" w:eastAsia="Arial"/>
                <w:b/>
                <w:color w:val="FFFFFF"/>
                <w:sz w:val="18"/>
              </w:rPr>
              <w:t>Gross interest expense</w:t>
            </w:r>
          </w:p>
        </w:tc>
      </w:tr>
      <w:tr>
        <w:trPr>
          <w:cantSplit/>
          <w:trHeight w:hRule="atLeast"/>
        </w:trPr>
        <w:tc>
          <w:tcPr>
            <w:tcW w:type="dxa" w:w="6480"/>
            <w:tcMar>
              <w:top w:w="90" w:type="dxa"/>
              <w:start w:w="95" w:type="dxa"/>
              <w:bottom w:w="90" w:type="dxa"/>
              <w:end w:w="95" w:type="dxa"/>
            </w:tcMar>
            <w:vAlign w:val="center"/>
          </w:tcPr>
          <w:p>
            <w:pPr>
              <w:spacing w:after="0"/>
              <w:jc w:val="left"/>
            </w:pPr>
            <w:r>
              <w:rPr>
                <w:rFonts w:ascii="Arial" w:hAnsi="Arial" w:eastAsia="Arial"/>
                <w:b w:val="0"/>
                <w:color w:val="1F2933"/>
                <w:sz w:val="18"/>
              </w:rPr>
              <w:t>Fiscal year 2025</w:t>
            </w:r>
          </w:p>
        </w:tc>
        <w:tc>
          <w:tcPr>
            <w:tcW w:type="dxa" w:w="3311"/>
            <w:tcMar>
              <w:top w:w="90" w:type="dxa"/>
              <w:start w:w="95" w:type="dxa"/>
              <w:bottom w:w="90" w:type="dxa"/>
              <w:end w:w="95" w:type="dxa"/>
            </w:tcMar>
            <w:vAlign w:val="center"/>
          </w:tcPr>
          <w:p>
            <w:pPr>
              <w:spacing w:after="0"/>
              <w:jc w:val="center"/>
            </w:pPr>
            <w:r>
              <w:rPr>
                <w:rFonts w:ascii="Arial" w:hAnsi="Arial" w:eastAsia="Arial"/>
                <w:b w:val="0"/>
                <w:color w:val="1F2933"/>
                <w:sz w:val="18"/>
              </w:rPr>
              <w:t>$1,215.614 billion</w:t>
            </w:r>
          </w:p>
        </w:tc>
      </w:tr>
      <w:tr>
        <w:trPr>
          <w:cantSplit/>
          <w:trHeight w:hRule="atLeast"/>
        </w:trPr>
        <w:tc>
          <w:tcPr>
            <w:tcW w:type="dxa" w:w="6480"/>
            <w:shd w:fill="F7F9FA"/>
            <w:tcMar>
              <w:top w:w="90" w:type="dxa"/>
              <w:start w:w="95" w:type="dxa"/>
              <w:bottom w:w="90" w:type="dxa"/>
              <w:end w:w="95" w:type="dxa"/>
            </w:tcMar>
            <w:vAlign w:val="center"/>
          </w:tcPr>
          <w:p>
            <w:pPr>
              <w:spacing w:after="0"/>
              <w:jc w:val="left"/>
            </w:pPr>
            <w:r>
              <w:rPr>
                <w:rFonts w:ascii="Arial" w:hAnsi="Arial" w:eastAsia="Arial"/>
                <w:b w:val="0"/>
                <w:color w:val="1F2933"/>
                <w:sz w:val="18"/>
              </w:rPr>
              <w:t>Trailing 12 months through June 30, 2026</w:t>
            </w:r>
          </w:p>
        </w:tc>
        <w:tc>
          <w:tcPr>
            <w:tcW w:type="dxa" w:w="3311"/>
            <w:shd w:fill="F7F9FA"/>
            <w:tcMar>
              <w:top w:w="90" w:type="dxa"/>
              <w:start w:w="95" w:type="dxa"/>
              <w:bottom w:w="90" w:type="dxa"/>
              <w:end w:w="95" w:type="dxa"/>
            </w:tcMar>
            <w:vAlign w:val="center"/>
          </w:tcPr>
          <w:p>
            <w:pPr>
              <w:spacing w:after="0"/>
              <w:jc w:val="center"/>
            </w:pPr>
            <w:r>
              <w:rPr>
                <w:rFonts w:ascii="Arial" w:hAnsi="Arial" w:eastAsia="Arial"/>
                <w:b/>
                <w:color w:val="9C2F2F"/>
                <w:sz w:val="18"/>
              </w:rPr>
              <w:t>NOT FOUND</w:t>
            </w:r>
          </w:p>
        </w:tc>
      </w:tr>
    </w:tbl>
    <w:p>
      <w:pPr>
        <w:spacing w:after="0"/>
      </w:pPr>
    </w:p>
    <w:p>
      <w:pPr>
        <w:pStyle w:val="BodyText"/>
      </w:pPr>
      <w:r>
        <w:rPr>
          <w:rFonts w:ascii="Arial" w:hAnsi="Arial" w:eastAsia="Arial"/>
          <w:color w:val="1F2933"/>
          <w:sz w:val="21"/>
        </w:rPr>
        <w:t>Source line item: Interest on Treasury Debt Securities (Gross). Available June materials exposed the monthly amount but not a verified exact trailing-12-month aggregate suitable for reporting without reconstruction.</w:t>
      </w:r>
    </w:p>
    <w:p>
      <w:pPr>
        <w:pStyle w:val="Source"/>
      </w:pPr>
      <w:r>
        <w:rPr>
          <w:rFonts w:ascii="Arial" w:hAnsi="Arial" w:eastAsia="Arial"/>
          <w:b/>
          <w:color w:val="5A6673"/>
          <w:sz w:val="17"/>
        </w:rPr>
        <w:t xml:space="preserve">Source: </w:t>
      </w:r>
      <w:hyperlink r:id="rId42">
        <w:r>
          <w:rPr>
            <w:rFonts w:ascii="Arial" w:hAnsi="Arial"/>
            <w:color w:val="2E5D7B"/>
            <w:u w:val="single"/>
          </w:rPr>
          <w:t>FiscalData — Monthly Treasury Statement, September 2025</w:t>
        </w:r>
      </w:hyperlink>
    </w:p>
    <w:p>
      <w:pPr>
        <w:pStyle w:val="Heading2"/>
        <w:keepNext/>
        <w:keepLines/>
      </w:pPr>
      <w:r>
        <w:t>5. ICI money-market fund assets</w:t>
      </w:r>
    </w:p>
    <w:p>
      <w:pPr>
        <w:pStyle w:val="BodyText"/>
      </w:pPr>
      <w:r>
        <w:rPr>
          <w:rFonts w:ascii="Arial" w:hAnsi="Arial" w:eastAsia="Arial"/>
          <w:color w:val="1F2933"/>
          <w:sz w:val="21"/>
        </w:rPr>
        <w:t>Source: Investment Company Institute weekly money-market fund releases. Units: billions of dollars.</w:t>
      </w:r>
    </w:p>
    <w:p>
      <w:pPr>
        <w:pStyle w:val="Heading3"/>
        <w:keepNext/>
        <w:keepLines/>
      </w:pPr>
      <w:r>
        <w:t>ICI totals and investor type</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2033"/>
        <w:gridCol w:w="2033"/>
        <w:gridCol w:w="2033"/>
        <w:gridCol w:w="2033"/>
        <w:gridCol w:w="2033"/>
      </w:tblGrid>
      <w:tr>
        <w:trPr>
          <w:tblHeader w:val="true"/>
          <w:cantSplit/>
        </w:trPr>
        <w:tc>
          <w:tcPr>
            <w:tcW w:type="dxa" w:w="1655"/>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Week</w:t>
            </w:r>
          </w:p>
        </w:tc>
        <w:tc>
          <w:tcPr>
            <w:tcW w:type="dxa" w:w="1800"/>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Total</w:t>
            </w:r>
          </w:p>
        </w:tc>
        <w:tc>
          <w:tcPr>
            <w:tcW w:type="dxa" w:w="2088"/>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Government</w:t>
            </w:r>
          </w:p>
        </w:tc>
        <w:tc>
          <w:tcPr>
            <w:tcW w:type="dxa" w:w="2088"/>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Total retail</w:t>
            </w:r>
          </w:p>
        </w:tc>
        <w:tc>
          <w:tcPr>
            <w:tcW w:type="dxa" w:w="2160"/>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Total institutional</w:t>
            </w:r>
          </w:p>
        </w:tc>
      </w:tr>
      <w:tr>
        <w:trPr>
          <w:cantSplit/>
          <w:trHeight w:hRule="atLeast"/>
        </w:trPr>
        <w:tc>
          <w:tcPr>
            <w:tcW w:type="dxa" w:w="1655"/>
            <w:tcMar>
              <w:top w:w="90" w:type="dxa"/>
              <w:start w:w="95" w:type="dxa"/>
              <w:bottom w:w="90" w:type="dxa"/>
              <w:end w:w="95" w:type="dxa"/>
            </w:tcMar>
            <w:vAlign w:val="center"/>
          </w:tcPr>
          <w:p>
            <w:pPr>
              <w:spacing w:after="0"/>
              <w:jc w:val="center"/>
            </w:pPr>
            <w:r>
              <w:rPr>
                <w:rFonts w:ascii="Arial" w:hAnsi="Arial" w:eastAsia="Arial"/>
                <w:b w:val="0"/>
                <w:color w:val="1F2933"/>
                <w:sz w:val="17"/>
              </w:rPr>
              <w:t>July 29</w:t>
            </w:r>
          </w:p>
        </w:tc>
        <w:tc>
          <w:tcPr>
            <w:tcW w:type="dxa" w:w="1800"/>
            <w:tcMar>
              <w:top w:w="90" w:type="dxa"/>
              <w:start w:w="95" w:type="dxa"/>
              <w:bottom w:w="90" w:type="dxa"/>
              <w:end w:w="95" w:type="dxa"/>
            </w:tcMar>
            <w:vAlign w:val="center"/>
          </w:tcPr>
          <w:p>
            <w:pPr>
              <w:spacing w:after="0"/>
              <w:jc w:val="center"/>
            </w:pPr>
            <w:r>
              <w:rPr>
                <w:rFonts w:ascii="Arial" w:hAnsi="Arial" w:eastAsia="Arial"/>
                <w:b w:val="0"/>
                <w:color w:val="1F2933"/>
                <w:sz w:val="17"/>
              </w:rPr>
              <w:t>7,853.92</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7"/>
              </w:rPr>
              <w:t>6,472.66</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7"/>
              </w:rPr>
              <w:t>3,077.83</w:t>
            </w:r>
          </w:p>
        </w:tc>
        <w:tc>
          <w:tcPr>
            <w:tcW w:type="dxa" w:w="2160"/>
            <w:tcMar>
              <w:top w:w="90" w:type="dxa"/>
              <w:start w:w="95" w:type="dxa"/>
              <w:bottom w:w="90" w:type="dxa"/>
              <w:end w:w="95" w:type="dxa"/>
            </w:tcMar>
            <w:vAlign w:val="center"/>
          </w:tcPr>
          <w:p>
            <w:pPr>
              <w:spacing w:after="0"/>
              <w:jc w:val="center"/>
            </w:pPr>
            <w:r>
              <w:rPr>
                <w:rFonts w:ascii="Arial" w:hAnsi="Arial" w:eastAsia="Arial"/>
                <w:b w:val="0"/>
                <w:color w:val="1F2933"/>
                <w:sz w:val="17"/>
              </w:rPr>
              <w:t>4,776.10</w:t>
            </w:r>
          </w:p>
        </w:tc>
      </w:tr>
      <w:tr>
        <w:trPr>
          <w:cantSplit/>
          <w:trHeight w:hRule="atLeast"/>
        </w:trPr>
        <w:tc>
          <w:tcPr>
            <w:tcW w:type="dxa" w:w="1655"/>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July 22</w:t>
            </w:r>
          </w:p>
        </w:tc>
        <w:tc>
          <w:tcPr>
            <w:tcW w:type="dxa" w:w="1800"/>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7,860.75</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6,478.56</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3,083.94</w:t>
            </w:r>
          </w:p>
        </w:tc>
        <w:tc>
          <w:tcPr>
            <w:tcW w:type="dxa" w:w="2160"/>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4,776.81</w:t>
            </w:r>
          </w:p>
        </w:tc>
      </w:tr>
      <w:tr>
        <w:trPr>
          <w:cantSplit/>
          <w:trHeight w:hRule="atLeast"/>
        </w:trPr>
        <w:tc>
          <w:tcPr>
            <w:tcW w:type="dxa" w:w="1655"/>
            <w:tcMar>
              <w:top w:w="90" w:type="dxa"/>
              <w:start w:w="95" w:type="dxa"/>
              <w:bottom w:w="90" w:type="dxa"/>
              <w:end w:w="95" w:type="dxa"/>
            </w:tcMar>
            <w:vAlign w:val="center"/>
          </w:tcPr>
          <w:p>
            <w:pPr>
              <w:spacing w:after="0"/>
              <w:jc w:val="center"/>
            </w:pPr>
            <w:r>
              <w:rPr>
                <w:rFonts w:ascii="Arial" w:hAnsi="Arial" w:eastAsia="Arial"/>
                <w:b w:val="0"/>
                <w:color w:val="1F2933"/>
                <w:sz w:val="17"/>
              </w:rPr>
              <w:t>July 15</w:t>
            </w:r>
          </w:p>
        </w:tc>
        <w:tc>
          <w:tcPr>
            <w:tcW w:type="dxa" w:w="1800"/>
            <w:tcMar>
              <w:top w:w="90" w:type="dxa"/>
              <w:start w:w="95" w:type="dxa"/>
              <w:bottom w:w="90" w:type="dxa"/>
              <w:end w:w="95" w:type="dxa"/>
            </w:tcMar>
            <w:vAlign w:val="center"/>
          </w:tcPr>
          <w:p>
            <w:pPr>
              <w:spacing w:after="0"/>
              <w:jc w:val="center"/>
            </w:pPr>
            <w:r>
              <w:rPr>
                <w:rFonts w:ascii="Arial" w:hAnsi="Arial" w:eastAsia="Arial"/>
                <w:b w:val="0"/>
                <w:color w:val="1F2933"/>
                <w:sz w:val="17"/>
              </w:rPr>
              <w:t>7,883.32</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7"/>
              </w:rPr>
              <w:t>6,501.05</w:t>
            </w:r>
          </w:p>
        </w:tc>
        <w:tc>
          <w:tcPr>
            <w:tcW w:type="dxa" w:w="2088"/>
            <w:tcMar>
              <w:top w:w="90" w:type="dxa"/>
              <w:start w:w="95" w:type="dxa"/>
              <w:bottom w:w="90" w:type="dxa"/>
              <w:end w:w="95" w:type="dxa"/>
            </w:tcMar>
            <w:vAlign w:val="center"/>
          </w:tcPr>
          <w:p>
            <w:pPr>
              <w:spacing w:after="0"/>
              <w:jc w:val="center"/>
            </w:pPr>
            <w:r>
              <w:rPr>
                <w:rFonts w:ascii="Arial" w:hAnsi="Arial" w:eastAsia="Arial"/>
                <w:b w:val="0"/>
                <w:color w:val="1F2933"/>
                <w:sz w:val="17"/>
              </w:rPr>
              <w:t>3,084.31</w:t>
            </w:r>
          </w:p>
        </w:tc>
        <w:tc>
          <w:tcPr>
            <w:tcW w:type="dxa" w:w="2160"/>
            <w:tcMar>
              <w:top w:w="90" w:type="dxa"/>
              <w:start w:w="95" w:type="dxa"/>
              <w:bottom w:w="90" w:type="dxa"/>
              <w:end w:w="95" w:type="dxa"/>
            </w:tcMar>
            <w:vAlign w:val="center"/>
          </w:tcPr>
          <w:p>
            <w:pPr>
              <w:spacing w:after="0"/>
              <w:jc w:val="center"/>
            </w:pPr>
            <w:r>
              <w:rPr>
                <w:rFonts w:ascii="Arial" w:hAnsi="Arial" w:eastAsia="Arial"/>
                <w:b w:val="0"/>
                <w:color w:val="1F2933"/>
                <w:sz w:val="17"/>
              </w:rPr>
              <w:t>4,799.00</w:t>
            </w:r>
          </w:p>
        </w:tc>
      </w:tr>
      <w:tr>
        <w:trPr>
          <w:cantSplit/>
          <w:trHeight w:hRule="atLeast"/>
        </w:trPr>
        <w:tc>
          <w:tcPr>
            <w:tcW w:type="dxa" w:w="1655"/>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July 8</w:t>
            </w:r>
          </w:p>
        </w:tc>
        <w:tc>
          <w:tcPr>
            <w:tcW w:type="dxa" w:w="1800"/>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7,953*</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6,564*</w:t>
            </w:r>
          </w:p>
        </w:tc>
        <w:tc>
          <w:tcPr>
            <w:tcW w:type="dxa" w:w="2088"/>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3,090*</w:t>
            </w:r>
          </w:p>
        </w:tc>
        <w:tc>
          <w:tcPr>
            <w:tcW w:type="dxa" w:w="2160"/>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4,860*</w:t>
            </w:r>
          </w:p>
        </w:tc>
      </w:tr>
    </w:tbl>
    <w:p>
      <w:pPr>
        <w:spacing w:after="0"/>
      </w:pPr>
    </w:p>
    <w:p>
      <w:pPr>
        <w:pStyle w:val="Heading3"/>
        <w:keepNext/>
        <w:keepLines/>
      </w:pPr>
      <w:r>
        <w:t>Government-fund split</w:t>
      </w:r>
    </w:p>
    <w:tbl>
      <w:tblPr>
        <w:tblStyle w:val="TableGrid"/>
        <w:tblW w:type="auto" w:w="0"/>
        <w:jc w:val="center"/>
        <w:tblLayout w:type="fixed"/>
        <w:tblLook w:firstColumn="1" w:firstRow="1" w:lastColumn="0" w:lastRow="0" w:noHBand="0" w:noVBand="1" w:val="04A0"/>
        <w:tblBorders>
          <w:top w:val="single" w:sz="4" w:space="0" w:color="D8DEE4"/>
          <w:start w:val="single" w:sz="4" w:space="0" w:color="D8DEE4"/>
          <w:bottom w:val="single" w:sz="4" w:space="0" w:color="D8DEE4"/>
          <w:end w:val="single" w:sz="4" w:space="0" w:color="D8DEE4"/>
          <w:insideH w:val="single" w:sz="4" w:space="0" w:color="D8DEE4"/>
          <w:insideV w:val="single" w:sz="4" w:space="0" w:color="D8DEE4"/>
        </w:tblBorders>
      </w:tblPr>
      <w:tblGrid>
        <w:gridCol w:w="3389"/>
        <w:gridCol w:w="3389"/>
        <w:gridCol w:w="3389"/>
      </w:tblGrid>
      <w:tr>
        <w:trPr>
          <w:tblHeader w:val="true"/>
          <w:cantSplit/>
        </w:trPr>
        <w:tc>
          <w:tcPr>
            <w:tcW w:type="dxa" w:w="2592"/>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Week</w:t>
            </w:r>
          </w:p>
        </w:tc>
        <w:tc>
          <w:tcPr>
            <w:tcW w:type="dxa" w:w="3528"/>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Government retail</w:t>
            </w:r>
          </w:p>
        </w:tc>
        <w:tc>
          <w:tcPr>
            <w:tcW w:type="dxa" w:w="3671"/>
            <w:shd w:fill="17324D"/>
            <w:tcMar>
              <w:top w:w="105" w:type="dxa"/>
              <w:start w:w="100" w:type="dxa"/>
              <w:bottom w:w="105" w:type="dxa"/>
              <w:end w:w="100" w:type="dxa"/>
            </w:tcMar>
            <w:vAlign w:val="center"/>
          </w:tcPr>
          <w:p>
            <w:pPr>
              <w:spacing w:after="0"/>
              <w:jc w:val="center"/>
            </w:pPr>
            <w:r>
              <w:rPr>
                <w:rFonts w:ascii="Arial" w:hAnsi="Arial" w:eastAsia="Arial"/>
                <w:b/>
                <w:color w:val="FFFFFF"/>
                <w:sz w:val="17"/>
              </w:rPr>
              <w:t>Government institutional</w:t>
            </w:r>
          </w:p>
        </w:tc>
      </w:tr>
      <w:tr>
        <w:trPr>
          <w:cantSplit/>
          <w:trHeight w:hRule="atLeast"/>
        </w:trPr>
        <w:tc>
          <w:tcPr>
            <w:tcW w:type="dxa" w:w="2592"/>
            <w:tcMar>
              <w:top w:w="90" w:type="dxa"/>
              <w:start w:w="95" w:type="dxa"/>
              <w:bottom w:w="90" w:type="dxa"/>
              <w:end w:w="95" w:type="dxa"/>
            </w:tcMar>
            <w:vAlign w:val="center"/>
          </w:tcPr>
          <w:p>
            <w:pPr>
              <w:spacing w:after="0"/>
              <w:jc w:val="center"/>
            </w:pPr>
            <w:r>
              <w:rPr>
                <w:rFonts w:ascii="Arial" w:hAnsi="Arial" w:eastAsia="Arial"/>
                <w:b w:val="0"/>
                <w:color w:val="1F2933"/>
                <w:sz w:val="17"/>
              </w:rPr>
              <w:t>July 29</w:t>
            </w:r>
          </w:p>
        </w:tc>
        <w:tc>
          <w:tcPr>
            <w:tcW w:type="dxa" w:w="3528"/>
            <w:tcMar>
              <w:top w:w="90" w:type="dxa"/>
              <w:start w:w="95" w:type="dxa"/>
              <w:bottom w:w="90" w:type="dxa"/>
              <w:end w:w="95" w:type="dxa"/>
            </w:tcMar>
            <w:vAlign w:val="center"/>
          </w:tcPr>
          <w:p>
            <w:pPr>
              <w:spacing w:after="0"/>
              <w:jc w:val="center"/>
            </w:pPr>
            <w:r>
              <w:rPr>
                <w:rFonts w:ascii="Arial" w:hAnsi="Arial" w:eastAsia="Arial"/>
                <w:b w:val="0"/>
                <w:color w:val="1F2933"/>
                <w:sz w:val="17"/>
              </w:rPr>
              <w:t>1,956.15</w:t>
            </w:r>
          </w:p>
        </w:tc>
        <w:tc>
          <w:tcPr>
            <w:tcW w:type="dxa" w:w="3671"/>
            <w:tcMar>
              <w:top w:w="90" w:type="dxa"/>
              <w:start w:w="95" w:type="dxa"/>
              <w:bottom w:w="90" w:type="dxa"/>
              <w:end w:w="95" w:type="dxa"/>
            </w:tcMar>
            <w:vAlign w:val="center"/>
          </w:tcPr>
          <w:p>
            <w:pPr>
              <w:spacing w:after="0"/>
              <w:jc w:val="center"/>
            </w:pPr>
            <w:r>
              <w:rPr>
                <w:rFonts w:ascii="Arial" w:hAnsi="Arial" w:eastAsia="Arial"/>
                <w:b w:val="0"/>
                <w:color w:val="1F2933"/>
                <w:sz w:val="17"/>
              </w:rPr>
              <w:t>4,516.51</w:t>
            </w:r>
          </w:p>
        </w:tc>
      </w:tr>
      <w:tr>
        <w:trPr>
          <w:cantSplit/>
          <w:trHeight w:hRule="atLeast"/>
        </w:trPr>
        <w:tc>
          <w:tcPr>
            <w:tcW w:type="dxa" w:w="2592"/>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July 22</w:t>
            </w:r>
          </w:p>
        </w:tc>
        <w:tc>
          <w:tcPr>
            <w:tcW w:type="dxa" w:w="3528"/>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1,961.00</w:t>
            </w:r>
          </w:p>
        </w:tc>
        <w:tc>
          <w:tcPr>
            <w:tcW w:type="dxa" w:w="3671"/>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4,517.56</w:t>
            </w:r>
          </w:p>
        </w:tc>
      </w:tr>
      <w:tr>
        <w:trPr>
          <w:cantSplit/>
          <w:trHeight w:hRule="atLeast"/>
        </w:trPr>
        <w:tc>
          <w:tcPr>
            <w:tcW w:type="dxa" w:w="2592"/>
            <w:tcMar>
              <w:top w:w="90" w:type="dxa"/>
              <w:start w:w="95" w:type="dxa"/>
              <w:bottom w:w="90" w:type="dxa"/>
              <w:end w:w="95" w:type="dxa"/>
            </w:tcMar>
            <w:vAlign w:val="center"/>
          </w:tcPr>
          <w:p>
            <w:pPr>
              <w:spacing w:after="0"/>
              <w:jc w:val="center"/>
            </w:pPr>
            <w:r>
              <w:rPr>
                <w:rFonts w:ascii="Arial" w:hAnsi="Arial" w:eastAsia="Arial"/>
                <w:b w:val="0"/>
                <w:color w:val="1F2933"/>
                <w:sz w:val="17"/>
              </w:rPr>
              <w:t>July 15</w:t>
            </w:r>
          </w:p>
        </w:tc>
        <w:tc>
          <w:tcPr>
            <w:tcW w:type="dxa" w:w="3528"/>
            <w:tcMar>
              <w:top w:w="90" w:type="dxa"/>
              <w:start w:w="95" w:type="dxa"/>
              <w:bottom w:w="90" w:type="dxa"/>
              <w:end w:w="95" w:type="dxa"/>
            </w:tcMar>
            <w:vAlign w:val="center"/>
          </w:tcPr>
          <w:p>
            <w:pPr>
              <w:spacing w:after="0"/>
              <w:jc w:val="center"/>
            </w:pPr>
            <w:r>
              <w:rPr>
                <w:rFonts w:ascii="Arial" w:hAnsi="Arial" w:eastAsia="Arial"/>
                <w:b w:val="0"/>
                <w:color w:val="1F2933"/>
                <w:sz w:val="17"/>
              </w:rPr>
              <w:t>1,961.79</w:t>
            </w:r>
          </w:p>
        </w:tc>
        <w:tc>
          <w:tcPr>
            <w:tcW w:type="dxa" w:w="3671"/>
            <w:tcMar>
              <w:top w:w="90" w:type="dxa"/>
              <w:start w:w="95" w:type="dxa"/>
              <w:bottom w:w="90" w:type="dxa"/>
              <w:end w:w="95" w:type="dxa"/>
            </w:tcMar>
            <w:vAlign w:val="center"/>
          </w:tcPr>
          <w:p>
            <w:pPr>
              <w:spacing w:after="0"/>
              <w:jc w:val="center"/>
            </w:pPr>
            <w:r>
              <w:rPr>
                <w:rFonts w:ascii="Arial" w:hAnsi="Arial" w:eastAsia="Arial"/>
                <w:b w:val="0"/>
                <w:color w:val="1F2933"/>
                <w:sz w:val="17"/>
              </w:rPr>
              <w:t>4,539.26</w:t>
            </w:r>
          </w:p>
        </w:tc>
      </w:tr>
      <w:tr>
        <w:trPr>
          <w:cantSplit/>
          <w:trHeight w:hRule="atLeast"/>
        </w:trPr>
        <w:tc>
          <w:tcPr>
            <w:tcW w:type="dxa" w:w="2592"/>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July 8</w:t>
            </w:r>
          </w:p>
        </w:tc>
        <w:tc>
          <w:tcPr>
            <w:tcW w:type="dxa" w:w="3528"/>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1,970*</w:t>
            </w:r>
          </w:p>
        </w:tc>
        <w:tc>
          <w:tcPr>
            <w:tcW w:type="dxa" w:w="3671"/>
            <w:shd w:fill="F7F9FA"/>
            <w:tcMar>
              <w:top w:w="90" w:type="dxa"/>
              <w:start w:w="95" w:type="dxa"/>
              <w:bottom w:w="90" w:type="dxa"/>
              <w:end w:w="95" w:type="dxa"/>
            </w:tcMar>
            <w:vAlign w:val="center"/>
          </w:tcPr>
          <w:p>
            <w:pPr>
              <w:spacing w:after="0"/>
              <w:jc w:val="center"/>
            </w:pPr>
            <w:r>
              <w:rPr>
                <w:rFonts w:ascii="Arial" w:hAnsi="Arial" w:eastAsia="Arial"/>
                <w:b w:val="0"/>
                <w:color w:val="1F2933"/>
                <w:sz w:val="17"/>
              </w:rPr>
              <w:t>4,600*</w:t>
            </w:r>
          </w:p>
        </w:tc>
      </w:tr>
    </w:tbl>
    <w:p>
      <w:pPr>
        <w:spacing w:after="0"/>
      </w:pPr>
    </w:p>
    <w:p>
      <w:pPr>
        <w:pStyle w:val="BodyText"/>
      </w:pPr>
      <w:r>
        <w:rPr>
          <w:rFonts w:ascii="Arial" w:hAnsi="Arial" w:eastAsia="Arial"/>
          <w:color w:val="1F2933"/>
          <w:sz w:val="21"/>
        </w:rPr>
        <w:t>*July 8 figures are the precision published in the located official release; more granular values were NOT FOUND.</w:t>
      </w:r>
    </w:p>
    <w:p>
      <w:pPr>
        <w:pStyle w:val="Source"/>
      </w:pPr>
      <w:r>
        <w:rPr>
          <w:rFonts w:ascii="Arial" w:hAnsi="Arial" w:eastAsia="Arial"/>
          <w:b/>
          <w:color w:val="5A6673"/>
          <w:sz w:val="17"/>
        </w:rPr>
        <w:t xml:space="preserve">Source: </w:t>
      </w:r>
      <w:hyperlink r:id="rId43">
        <w:r>
          <w:rPr>
            <w:rFonts w:ascii="Arial" w:hAnsi="Arial"/>
            <w:color w:val="2E5D7B"/>
            <w:u w:val="single"/>
          </w:rPr>
          <w:t>Investment Company Institute — Money Market Fund Assets</w:t>
        </w:r>
      </w:hyperlink>
    </w:p>
    <w:p>
      <w:pPr>
        <w:pStyle w:val="Heading2"/>
        <w:keepNext/>
        <w:keepLines/>
      </w:pPr>
      <w:r>
        <w:t>6. New York Fed reserve-management bill purchases</w:t>
      </w:r>
    </w:p>
    <w:p>
      <w:pPr>
        <w:pStyle w:val="BodyText"/>
      </w:pPr>
      <w:r>
        <w:rPr>
          <w:rFonts w:ascii="Arial" w:hAnsi="Arial" w:eastAsia="Arial"/>
          <w:b/>
          <w:color w:val="1F2933"/>
          <w:sz w:val="20"/>
        </w:rPr>
        <w:t xml:space="preserve">Requested schedule: </w:t>
      </w:r>
      <w:r>
        <w:rPr>
          <w:rFonts w:ascii="Arial" w:hAnsi="Arial" w:eastAsia="Arial"/>
          <w:color w:val="1F2933"/>
          <w:sz w:val="20"/>
        </w:rPr>
        <w:t>August 14–September 13, 2026</w:t>
      </w:r>
    </w:p>
    <w:p>
      <w:pPr>
        <w:pStyle w:val="BodyText"/>
      </w:pPr>
      <w:r>
        <w:rPr>
          <w:rFonts w:ascii="Arial" w:hAnsi="Arial" w:eastAsia="Arial"/>
          <w:b/>
          <w:color w:val="1F2933"/>
          <w:sz w:val="20"/>
        </w:rPr>
        <w:t xml:space="preserve">Announced amount as of August 6 cutoff: </w:t>
      </w:r>
      <w:r>
        <w:rPr>
          <w:rFonts w:ascii="Arial" w:hAnsi="Arial" w:eastAsia="Arial"/>
          <w:color w:val="9C2F2F"/>
          <w:sz w:val="20"/>
        </w:rPr>
        <w:t>NOT FOUND — schedule not yet announced</w:t>
      </w:r>
    </w:p>
    <w:p>
      <w:pPr>
        <w:pStyle w:val="BodyText"/>
      </w:pPr>
      <w:r>
        <w:rPr>
          <w:rFonts w:ascii="Arial" w:hAnsi="Arial" w:eastAsia="Arial"/>
          <w:b/>
          <w:color w:val="1F2933"/>
          <w:sz w:val="20"/>
        </w:rPr>
        <w:t xml:space="preserve">Preceding July 14–August 13 schedule: </w:t>
      </w:r>
      <w:r>
        <w:rPr>
          <w:rFonts w:ascii="Arial" w:hAnsi="Arial" w:eastAsia="Arial"/>
          <w:color w:val="1F2933"/>
          <w:sz w:val="20"/>
        </w:rPr>
        <w:t>Approximately $10 billion of reserve-management purchases, separate from approximately $17.6 billion of reinvestment purchases</w:t>
      </w:r>
    </w:p>
    <w:p>
      <w:pPr>
        <w:pStyle w:val="Source"/>
      </w:pPr>
      <w:r>
        <w:rPr>
          <w:rFonts w:ascii="Arial" w:hAnsi="Arial" w:eastAsia="Arial"/>
          <w:b/>
          <w:color w:val="5A6673"/>
          <w:sz w:val="17"/>
        </w:rPr>
        <w:t xml:space="preserve">Source: </w:t>
      </w:r>
      <w:hyperlink r:id="rId44">
        <w:r>
          <w:rPr>
            <w:rFonts w:ascii="Arial" w:hAnsi="Arial"/>
            <w:color w:val="2E5D7B"/>
            <w:u w:val="single"/>
          </w:rPr>
          <w:t>Federal Reserve Bank of New York — Treasury securities operational details</w:t>
        </w:r>
      </w:hyperlink>
    </w:p>
    <w:p>
      <w:pPr>
        <w:pStyle w:val="Heading1"/>
        <w:keepNext/>
        <w:keepLines/>
      </w:pPr>
      <w:r>
        <w:t>Document note</w:t>
      </w:r>
    </w:p>
    <w:p>
      <w:pPr>
        <w:pStyle w:val="BodyText"/>
      </w:pPr>
      <w:r>
        <w:rPr>
          <w:rFonts w:ascii="Arial" w:hAnsi="Arial" w:eastAsia="Arial"/>
          <w:color w:val="1F2933"/>
          <w:sz w:val="21"/>
        </w:rPr>
        <w:t>This document preserves the figures, dates, quotations, source attributions, and NOT FOUND designations from the research brief as presented at the stated cutoff. Intraday market observations should not be read as official closing prices.</w:t>
      </w:r>
    </w:p>
    <w:sectPr w:rsidR="00FC693F" w:rsidRPr="0006063C" w:rsidSect="00034616">
      <w:pgSz w:w="12240" w:h="15840"/>
      <w:pgMar w:top="979"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10" w:line="259" w:lineRule="auto"/>
    </w:pPr>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20" w:after="140"/>
      <w:outlineLvl w:val="0"/>
    </w:pPr>
    <w:rPr>
      <w:rFonts w:asciiTheme="majorHAnsi" w:eastAsiaTheme="majorEastAsia" w:hAnsiTheme="majorHAnsi" w:cstheme="majorBidi" w:ascii="Arial" w:hAnsi="Arial"/>
      <w:b/>
      <w:bCs/>
      <w:color w:val="17324D"/>
      <w:sz w:val="36"/>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Theme="majorHAnsi" w:eastAsiaTheme="majorEastAsia" w:hAnsiTheme="majorHAnsi" w:cstheme="majorBidi" w:ascii="Arial" w:hAnsi="Arial"/>
      <w:b/>
      <w:bCs/>
      <w:color w:val="2E5D7B"/>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Theme="majorHAnsi" w:eastAsiaTheme="majorEastAsia" w:hAnsiTheme="majorHAnsi" w:cstheme="majorBidi" w:ascii="Arial" w:hAnsi="Arial"/>
      <w:b/>
      <w:bCs/>
      <w:color w:val="2D6F73"/>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00" w:line="240" w:lineRule="auto"/>
      <w:contextualSpacing/>
    </w:pPr>
    <w:rPr>
      <w:rFonts w:asciiTheme="majorHAnsi" w:eastAsiaTheme="majorEastAsia" w:hAnsiTheme="majorHAnsi" w:cstheme="majorBidi" w:ascii="Arial" w:hAnsi="Arial"/>
      <w:b/>
      <w:color w:val="17324D"/>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10" w:line="259" w:lineRule="auto"/>
    </w:pPr>
    <w:rPr>
      <w:rFonts w:ascii="Arial" w:hAnsi="Arial"/>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ource">
    <w:name w:val="Source"/>
    <w:pPr>
      <w:spacing w:before="20" w:after="160"/>
    </w:pPr>
    <w:rPr>
      <w:rFonts w:ascii="Arial" w:hAnsi="Arial"/>
      <w:color w:val="5A6673"/>
      <w:sz w:val="17"/>
    </w:rPr>
  </w:style>
  <w:style w:type="paragraph" w:customStyle="1" w:styleId="Bullet">
    <w:name w:val="Bullet"/>
    <w:pPr>
      <w:spacing w:after="64"/>
      <w:ind w:left="317" w:hanging="202"/>
    </w:pPr>
    <w:rPr>
      <w:rFonts w:ascii="Arial" w:hAnsi="Arial"/>
      <w:sz w:val="20"/>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11" Type="http://schemas.openxmlformats.org/officeDocument/2006/relationships/hyperlink" Target="https://www.silicondata.com/products/silicon-index/llm-token-expenditure-index" TargetMode="External"/><Relationship Id="rId12" Type="http://schemas.openxmlformats.org/officeDocument/2006/relationships/hyperlink" Target="https://www.investing.com/commodities/brent-wti-crude-spread-futures-historical-data" TargetMode="External"/><Relationship Id="rId13" Type="http://schemas.openxmlformats.org/officeDocument/2006/relationships/hyperlink" Target="https://www.fxbus.com/en/news/20260806060508398012.html" TargetMode="External"/><Relationship Id="rId14" Type="http://schemas.openxmlformats.org/officeDocument/2006/relationships/hyperlink" Target="https://www.sec.gov/Archives/edgar/data/1181412/000162828026042639/0001628280-26-042639-index.htm" TargetMode="External"/><Relationship Id="rId15" Type="http://schemas.openxmlformats.org/officeDocument/2006/relationships/hyperlink" Target="https://aerospacewealth.com/articles/spacex-ipo-lockup-release-dates" TargetMode="External"/><Relationship Id="rId16" Type="http://schemas.openxmlformats.org/officeDocument/2006/relationships/hyperlink" Target="https://stockanalysis.com/stocks/spcx/history/" TargetMode="External"/><Relationship Id="rId17" Type="http://schemas.openxmlformats.org/officeDocument/2006/relationships/hyperlink" Target="https://www.investing.com/news/stock-market-news/alphabets-25b-bond-sale-and-the-hyperscaler-credit-spread-widening-93CH-4843694" TargetMode="External"/><Relationship Id="rId18" Type="http://schemas.openxmlformats.org/officeDocument/2006/relationships/hyperlink" Target="https://pitchbook.com/news/articles/investors-flock-to-12-5b-data-center-bond-deal-for-blackrock-sponsored-sopaipilla" TargetMode="External"/><Relationship Id="rId19" Type="http://schemas.openxmlformats.org/officeDocument/2006/relationships/hyperlink" Target="https://www.blueowlcapitalcorporation.com/_assets/_e3a4f4d16e7743ad3685d39399c02b44/blueowlcapitalcorporation/news/2026-08-05_Blue_Owl_Capital_Corporation_Announces_June_30_94.pdf" TargetMode="External"/><Relationship Id="rId20" Type="http://schemas.openxmlformats.org/officeDocument/2006/relationships/hyperlink" Target="https://finance.biggo.com/quote/BXSL/earnings-call/US_BXSL_2026-08-06" TargetMode="External"/><Relationship Id="rId21" Type="http://schemas.openxmlformats.org/officeDocument/2006/relationships/hyperlink" Target="https://www.wsj.com/politics/policy/trump-has-called-warsh-repeatedly-since-he-became-fed-chair-32804cf7" TargetMode="External"/><Relationship Id="rId22" Type="http://schemas.openxmlformats.org/officeDocument/2006/relationships/hyperlink" Target="https://apnews.com/article/9db7b892114e7863064323396f633c9d" TargetMode="External"/><Relationship Id="rId23" Type="http://schemas.openxmlformats.org/officeDocument/2006/relationships/hyperlink" Target="https://www.ft.com/content/debe096f-ec89-424f-a8ca-d3843ef53549" TargetMode="External"/><Relationship Id="rId24" Type="http://schemas.openxmlformats.org/officeDocument/2006/relationships/hyperlink" Target="https://www.wing.vc/content/chinas-open-weight-takeover" TargetMode="External"/><Relationship Id="rId25" Type="http://schemas.openxmlformats.org/officeDocument/2006/relationships/hyperlink" Target="https://www.streetinsider.com/Reuters/Exclusive-Samsung%2C%2BSK%2BHynix%2Btest%2BChinese%2Bchip%2Btools%2Bas%2Bhedge%2Bagainst%2BUS%2Brisks/26868702.html" TargetMode="External"/><Relationship Id="rId26" Type="http://schemas.openxmlformats.org/officeDocument/2006/relationships/hyperlink" Target="https://www.kitco.com/news/off-the-wire/2026-08-06/proposed-hormuz-passage-deal-not-feasible-shipping-industry-sources" TargetMode="External"/><Relationship Id="rId27" Type="http://schemas.openxmlformats.org/officeDocument/2006/relationships/hyperlink" Target="https://www.lloydslist.com/hot-topics/strait-of-hormuz-crisis" TargetMode="External"/><Relationship Id="rId28" Type="http://schemas.openxmlformats.org/officeDocument/2006/relationships/hyperlink" Target="https://timesca.com/shipowners-pull-back-from-cpc-as-export-recovery-falters/" TargetMode="External"/><Relationship Id="rId29" Type="http://schemas.openxmlformats.org/officeDocument/2006/relationships/hyperlink" Target="https://www.akm.ru/eng/news/the-government-of-kazakhstan-is-negotiating-with-exxon-mobil-in-the-framework-of-the-kashagan-projec/" TargetMode="External"/><Relationship Id="rId30" Type="http://schemas.openxmlformats.org/officeDocument/2006/relationships/hyperlink" Target="https://qz.com/sk-hynix-q2-2026-earnings-record-profit-misses-estimates-072926" TargetMode="External"/><Relationship Id="rId31" Type="http://schemas.openxmlformats.org/officeDocument/2006/relationships/hyperlink" Target="https://live.euronext.com/en/financial-news/analysis-samsung-sk-hynix-shareholders-call-bigger-payouts-ai-cash-mountain" TargetMode="External"/><Relationship Id="rId32" Type="http://schemas.openxmlformats.org/officeDocument/2006/relationships/hyperlink" Target="https://www.stocktitan.net/sec-filings/MU/form-4-micron-technology-inc-insider-trading-activity-1e4f1daa591a.html" TargetMode="External"/><Relationship Id="rId33" Type="http://schemas.openxmlformats.org/officeDocument/2006/relationships/hyperlink" Target="https://research.meta.ai/static/muse-spark-1-1-evaluation-report" TargetMode="External"/><Relationship Id="rId34" Type="http://schemas.openxmlformats.org/officeDocument/2006/relationships/hyperlink" Target="https://www.businessinsider.com/meta-says-ai-agents-went-rogue-hack-testing-openai-anthropic-2026-8" TargetMode="External"/><Relationship Id="rId35" Type="http://schemas.openxmlformats.org/officeDocument/2006/relationships/hyperlink" Target="https://www.macrumors.com/2026/08/06/apple-scrambling-to-secure-memory/" TargetMode="External"/><Relationship Id="rId36" Type="http://schemas.openxmlformats.org/officeDocument/2006/relationships/hyperlink" Target="https://www.businessinsider.com/google-mechanize-deal-talent-tech-ai-coding-2026-8" TargetMode="External"/><Relationship Id="rId37" Type="http://schemas.openxmlformats.org/officeDocument/2006/relationships/hyperlink" Target="https://whbl.com/2026/08/06/iranian-parliamentary-committee-reviews-draft-bill-to-bar-us-israeli-ships-from-hormuz-fars-says/" TargetMode="External"/><Relationship Id="rId38" Type="http://schemas.openxmlformats.org/officeDocument/2006/relationships/hyperlink" Target="https://nypost.com/2026/08/04/us-news/iran-oman-near-deal-to-reopen-strait-of-hormuz-with-both-countries-collecting-service-fee-report/" TargetMode="External"/><Relationship Id="rId39" Type="http://schemas.openxmlformats.org/officeDocument/2006/relationships/hyperlink" Target="https://fred.stlouisfed.org/series/TOTBKCR" TargetMode="External"/><Relationship Id="rId40" Type="http://schemas.openxmlformats.org/officeDocument/2006/relationships/hyperlink" Target="https://ticdata.treasury.gov/Publish/slt_table5.html" TargetMode="External"/><Relationship Id="rId41" Type="http://schemas.openxmlformats.org/officeDocument/2006/relationships/hyperlink" Target="https://fred.stlouisfed.org/series/T5YIE/" TargetMode="External"/><Relationship Id="rId42" Type="http://schemas.openxmlformats.org/officeDocument/2006/relationships/hyperlink" Target="https://fiscaldata.treasury.gov/static-data/published-reports/mts/MonthlyTreasuryStatement_202509.pdf" TargetMode="External"/><Relationship Id="rId43" Type="http://schemas.openxmlformats.org/officeDocument/2006/relationships/hyperlink" Target="https://www.ici.org/research/stats/mmf" TargetMode="External"/><Relationship Id="rId44" Type="http://schemas.openxmlformats.org/officeDocument/2006/relationships/hyperlink" Target="https://www.newyorkfed.org/markets/domestic-market-operations/monetary-policy-implementation/treasury-securities/treasury-securities-operational-detail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Market Data, News Events, and Official Series — Research Brief</dc:title>
  <dc:subject>Market data, recent news verification, and official economic series</dc:subject>
  <dc:creator>OpenAI</dc:creator>
  <cp:keywords>market data; news; FRED; Treasury; FedWatch; credit; bonds; oil; highly precise research</cp:keywords>
  <dc:description>generated by python-docx</dc:description>
  <cp:lastModifiedBy/>
  <cp:revision>1</cp:revision>
  <dcterms:created xsi:type="dcterms:W3CDTF">2013-12-23T23:15:00Z</dcterms:created>
  <dcterms:modified xsi:type="dcterms:W3CDTF">2013-12-23T23:15:00Z</dcterms:modified>
  <cp:category/>
</cp:coreProperties>
</file>