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SEC Filing Line Items — Calendar 2026 Q1 &amp; Q2</w:t>
      </w:r>
    </w:p>
    <w:p>
      <w:pPr>
        <w:jc w:val="center"/>
      </w:pPr>
      <w:r>
        <w:rPr>
          <w:sz w:val="17"/>
        </w:rPr>
        <w:t>Amounts in $ millions. Quarterly values only.</w:t>
      </w:r>
    </w:p>
    <w:p>
      <w:pPr>
        <w:spacing w:after="120"/>
      </w:pPr>
      <w:r>
        <w:rPr>
          <w:b/>
        </w:rPr>
        <w:t xml:space="preserve">Fiscal-year warning: </w:t>
      </w:r>
      <w:r>
        <w:t>Microsoft fiscal year ends June 30. Oracle fiscal year ends May 31; Oracle fiscal quarters do not align to calendar quarters and are labeled explicitly below.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 w:val="true"/>
          <w:cantSplit/>
        </w:trPr>
        <w:tc>
          <w:tcPr>
            <w:tcW w:type="dxa" w:w="691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TICKER</w:t>
            </w:r>
          </w:p>
        </w:tc>
        <w:tc>
          <w:tcPr>
            <w:tcW w:type="dxa" w:w="893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CALENDAR QTR</w:t>
            </w:r>
          </w:p>
        </w:tc>
        <w:tc>
          <w:tcPr>
            <w:tcW w:type="dxa" w:w="1944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fiscal period used</w:t>
            </w:r>
          </w:p>
        </w:tc>
        <w:tc>
          <w:tcPr>
            <w:tcW w:type="dxa" w:w="806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revenue</w:t>
            </w:r>
          </w:p>
        </w:tc>
        <w:tc>
          <w:tcPr>
            <w:tcW w:type="dxa" w:w="1152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capex</w:t>
            </w:r>
          </w:p>
        </w:tc>
        <w:tc>
          <w:tcPr>
            <w:tcW w:type="dxa" w:w="1037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finance leases</w:t>
            </w:r>
          </w:p>
        </w:tc>
        <w:tc>
          <w:tcPr>
            <w:tcW w:type="dxa" w:w="893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net income</w:t>
            </w:r>
          </w:p>
        </w:tc>
        <w:tc>
          <w:tcPr>
            <w:tcW w:type="dxa" w:w="1123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operating cash flow</w:t>
            </w:r>
          </w:p>
        </w:tc>
        <w:tc>
          <w:tcPr>
            <w:tcW w:type="dxa" w:w="144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D&amp;A</w:t>
            </w:r>
          </w:p>
        </w:tc>
        <w:tc>
          <w:tcPr>
            <w:tcW w:type="dxa" w:w="144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purchase commitments / RPO</w:t>
            </w:r>
          </w:p>
        </w:tc>
        <w:tc>
          <w:tcPr>
            <w:tcW w:type="dxa" w:w="2088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useful-life / restatement flag</w:t>
            </w:r>
          </w:p>
        </w:tc>
        <w:tc>
          <w:tcPr>
            <w:tcW w:type="dxa" w:w="1656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source (filing + date)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MSFT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MSFT FY2026 Q3 = Jan–Mar 2026 = calendar Q1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82,886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30,876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4,700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31,778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46,679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10,167 — CF line: “Depreciation, amortization, and other”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RPO 627,000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Prior-period CF amounts RECAST, not restated.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FY2026 Q3 financials / earnings call, 2026-04-29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MSFT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MSFT FY2026 Q4 = Apr–Jun 2026 = calendar Q2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90,007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35,802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5,600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35,766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55,441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11,022 — CF line: “Depreciation, amortization, and other”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RPO 678,000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No Q2 change disclosed. Effective 2026-07-01, datacenter/office-building lives extended 15→25 years; not servers/network equipment.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FY2026 Q4 financials / earnings call, 2026-07-29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GOOGL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Alphabet FY2026 Q1 = Jan–Mar 2026 = calendar Q1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109,896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35,674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211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62,578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45,790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6,482 depreciation only; amortization NOT DISCLOSED on CF statement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Revenue backlog 467,600; Google Cloud 462,300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 / earnings release, 2026-04-29/30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GOOGL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Alphabet FY2026 Q2 = Apr–Jun 2026 = calendar Q2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119,796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44,924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691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112,193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39,069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7,104 depreciation only; amortization NOT DISCLOSED on CF statement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Revenue backlog 519,500; Google Cloud 513,900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 / earnings release, 2026-07-22/23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AMZN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Amazon FY2026 Q1 = Jan–Mar 2026 = calendar Q1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181,519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44,203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1,565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30,255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26,032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18,945 — CF line includes PP&amp;E, capitalized content costs, operating-lease assets and other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Unconditional purchase obligations 103,768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10-Q, 2026-04-30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AMZN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Amazon FY2026 Q2 = Apr–Jun 2026 = calendar Q2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200,606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54,208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563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62,647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45,387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19,988 — CF line includes PP&amp;E, capitalized content costs, operating-lease assets and other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Unconditional purchase obligations 130,065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10-Q, 2026-07-31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META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Meta FY2026 Q1 = Jan–Mar 2026 = calendar Q1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56,311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18,997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NOT DISCLOSED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26,773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32,226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5,999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Contractual commitments 237,670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 / earnings release, 2026-04-29/30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META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Meta FY2026 Q2 = Apr–Jun 2026 = calendar Q2 2026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60,801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30,116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NOT DISCLOSED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15,848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31,862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6,356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Contractual commitments 349,310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Form 10-Q / earnings release, 2026-07-29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ORCL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ORCL FY2026 Q3 = Dec 1, 2025–Feb 28, 2026; does not align with calendar Q1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17,190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DERIVED: 18,635 = 39,170 9M − 20,535 6M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NOT DISCLOSED quarterly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3,721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DERIVED: 7,151 = 17,357 9M − 10,206 6M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DERIVED: 2,566 = (5,208 depreciation + 1,239 amortization) 9M − (3,055 + 826) 6M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RPO 552,600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Prior-period revenue disclosures RECLASSIFIED, not restated.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FY2026 Q3 Form 10-Q, 2026-03-11; FY2026 Q2 Form 10-Q, 2025-12-11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ORCL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2026 Q2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ORCL FY2026 Q4 = Mar 1–May 31, 2026; does not align with calendar Q2</w:t>
            </w:r>
          </w:p>
        </w:tc>
        <w:tc>
          <w:tcPr>
            <w:tcW w:type="dxa" w:w="80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19,184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DERIVED: 16,493 = 55,663 FY − 39,170 9M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DERIVED: 1,527 = 4,946 FY − 3,419 9M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4,304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2"/>
              </w:rPr>
              <w:t>DERIVED: 14,620 = 31,977 FY − 17,357 9M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DERIVED: 2,847 = (7,623 depreciation + 1,671 amortization) FY − (5,208 + 1,239) 9M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RPO 638,000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Useful-life change: NOT DISCLOSED. Restatement: NOT DISCLOSED.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2"/>
              </w:rPr>
              <w:t>FY2026 Form 10-K / Q4 earnings release, 2026-06-10/22</w:t>
            </w:r>
          </w:p>
        </w:tc>
      </w:tr>
    </w:tbl>
    <w:p>
      <w:pPr>
        <w:spacing w:before="140" w:after="60"/>
      </w:pPr>
      <w:r>
        <w:rPr>
          <w:b/>
          <w:sz w:val="20"/>
        </w:rPr>
        <w:t>SpaceX — Calendar Q2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  <w:cantSplit/>
        </w:trPr>
        <w:tc>
          <w:tcPr>
            <w:tcW w:type="dxa" w:w="1008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TICKER</w:t>
            </w:r>
          </w:p>
        </w:tc>
        <w:tc>
          <w:tcPr>
            <w:tcW w:type="dxa" w:w="144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CALENDAR QTR</w:t>
            </w:r>
          </w:p>
        </w:tc>
        <w:tc>
          <w:tcPr>
            <w:tcW w:type="dxa" w:w="144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net income</w:t>
            </w:r>
          </w:p>
        </w:tc>
        <w:tc>
          <w:tcPr>
            <w:tcW w:type="dxa" w:w="3312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operating cash flow</w:t>
            </w:r>
          </w:p>
        </w:tc>
        <w:tc>
          <w:tcPr>
            <w:tcW w:type="dxa" w:w="144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D&amp;A</w:t>
            </w:r>
          </w:p>
        </w:tc>
        <w:tc>
          <w:tcPr>
            <w:tcW w:type="dxa" w:w="5760"/>
            <w:vAlign w:val="center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SPCX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2026 Q2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-541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DERIVED: 2,419 = 3,466 6M − 1,047 Q1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4"/>
              </w:rPr>
              <w:t>2,848</w:t>
            </w:r>
          </w:p>
        </w:tc>
        <w:tc>
          <w:tcPr>
            <w:tcW w:type="dxa" w:w="57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sz w:val="14"/>
              </w:rPr>
              <w:t>Form 10-Q / earnings materials, 2026-08-04; Q1 prospectus, 2026-06-05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