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AC8AA">
      <w:pPr>
        <w:spacing w:before="1200"/>
        <w:jc w:val="center"/>
        <w:outlineLvl w:val="0"/>
      </w:pPr>
      <w:r>
        <w:rPr>
          <w:rFonts w:hint="eastAsia" w:ascii="微软雅黑" w:hAnsi="微软雅黑" w:eastAsia="微软雅黑"/>
          <w:b/>
          <w:color w:val="1F497D"/>
          <w:sz w:val="48"/>
          <w:lang w:val="en-US" w:eastAsia="zh-CN"/>
        </w:rPr>
        <w:t>兰州</w:t>
      </w:r>
      <w:r>
        <w:rPr>
          <w:rFonts w:ascii="微软雅黑" w:hAnsi="微软雅黑" w:eastAsia="微软雅黑"/>
          <w:b/>
          <w:color w:val="1F497D"/>
          <w:sz w:val="48"/>
        </w:rPr>
        <w:t>银行 TDSQL 数据库</w:t>
      </w:r>
      <w:r>
        <w:rPr>
          <w:rFonts w:ascii="微软雅黑" w:hAnsi="微软雅黑" w:eastAsia="微软雅黑"/>
          <w:b/>
          <w:color w:val="1F497D"/>
          <w:sz w:val="48"/>
        </w:rPr>
        <w:br w:type="textWrapping"/>
      </w:r>
      <w:r>
        <w:rPr>
          <w:rFonts w:ascii="微软雅黑" w:hAnsi="微软雅黑" w:eastAsia="微软雅黑"/>
          <w:b/>
          <w:color w:val="1F497D"/>
          <w:sz w:val="48"/>
        </w:rPr>
        <w:t>大表定义与清理治理规范（V1.1）</w:t>
      </w:r>
    </w:p>
    <w:p w14:paraId="4D22FF3E">
      <w:pPr>
        <w:spacing w:before="400"/>
        <w:jc w:val="center"/>
      </w:pPr>
      <w:r>
        <w:rPr>
          <w:rFonts w:ascii="微软雅黑" w:hAnsi="微软雅黑" w:eastAsia="微软雅黑"/>
          <w:b w:val="0"/>
          <w:color w:val="666666"/>
          <w:sz w:val="28"/>
        </w:rPr>
        <w:t>—— 按银行业严格口径制定 ——</w:t>
      </w:r>
    </w:p>
    <w:p w14:paraId="4F997E90">
      <w:pPr>
        <w:spacing w:before="2400"/>
        <w:jc w:val="both"/>
        <w:rPr>
          <w:rFonts w:hint="eastAsia" w:ascii="微软雅黑" w:hAnsi="微软雅黑" w:eastAsia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2"/>
          <w:lang w:eastAsia="zh-CN"/>
        </w:rPr>
        <w:t>、</w:t>
      </w:r>
    </w:p>
    <w:p w14:paraId="7DE262A0">
      <w:pPr>
        <w:spacing w:before="2400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333333"/>
          <w:sz w:val="22"/>
        </w:rPr>
        <w:t>编制单位：腾讯云数据库技术支持团队</w:t>
      </w:r>
      <w:r>
        <w:rPr>
          <w:rFonts w:ascii="微软雅黑" w:hAnsi="微软雅黑" w:eastAsia="微软雅黑"/>
          <w:b w:val="0"/>
          <w:color w:val="333333"/>
          <w:sz w:val="22"/>
        </w:rPr>
        <w:br w:type="textWrapping"/>
      </w:r>
      <w:r>
        <w:rPr>
          <w:rFonts w:ascii="微软雅黑" w:hAnsi="微软雅黑" w:eastAsia="微软雅黑"/>
          <w:b w:val="0"/>
          <w:color w:val="333333"/>
          <w:sz w:val="22"/>
        </w:rPr>
        <w:t>适用对象：</w:t>
      </w:r>
      <w:r>
        <w:rPr>
          <w:rFonts w:hint="eastAsia" w:ascii="微软雅黑" w:hAnsi="微软雅黑" w:eastAsia="微软雅黑"/>
          <w:b w:val="0"/>
          <w:color w:val="333333"/>
          <w:sz w:val="22"/>
          <w:lang w:eastAsia="zh-CN"/>
        </w:rPr>
        <w:t>兰州</w:t>
      </w:r>
      <w:r>
        <w:rPr>
          <w:rFonts w:ascii="微软雅黑" w:hAnsi="微软雅黑" w:eastAsia="微软雅黑"/>
          <w:b w:val="0"/>
          <w:color w:val="333333"/>
          <w:sz w:val="22"/>
        </w:rPr>
        <w:t>银行 TDSQL 私有化集群所有业务库</w:t>
      </w:r>
      <w:r>
        <w:rPr>
          <w:rFonts w:ascii="微软雅黑" w:hAnsi="微软雅黑" w:eastAsia="微软雅黑"/>
          <w:b w:val="0"/>
          <w:color w:val="333333"/>
          <w:sz w:val="22"/>
        </w:rPr>
        <w:br w:type="textWrapping"/>
      </w:r>
      <w:r>
        <w:rPr>
          <w:rFonts w:ascii="微软雅黑" w:hAnsi="微软雅黑" w:eastAsia="微软雅黑"/>
          <w:b w:val="0"/>
          <w:color w:val="333333"/>
          <w:sz w:val="22"/>
        </w:rPr>
        <w:t>适用版本：TDSQL 22.x（含 22.6.6/22.6.9/22.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8</w:t>
      </w:r>
      <w:r>
        <w:rPr>
          <w:rFonts w:ascii="微软雅黑" w:hAnsi="微软雅黑" w:eastAsia="微软雅黑"/>
          <w:b w:val="0"/>
          <w:color w:val="333333"/>
          <w:sz w:val="22"/>
        </w:rPr>
        <w:t>）</w:t>
      </w:r>
      <w:r>
        <w:rPr>
          <w:rFonts w:ascii="微软雅黑" w:hAnsi="微软雅黑" w:eastAsia="微软雅黑"/>
          <w:b w:val="0"/>
          <w:color w:val="333333"/>
          <w:sz w:val="22"/>
        </w:rPr>
        <w:br w:type="textWrapping"/>
      </w:r>
      <w:r>
        <w:rPr>
          <w:rFonts w:ascii="微软雅黑" w:hAnsi="微软雅黑" w:eastAsia="微软雅黑"/>
          <w:b w:val="0"/>
          <w:color w:val="333333"/>
          <w:sz w:val="22"/>
        </w:rPr>
        <w:t>文档版本：V1.1</w:t>
      </w:r>
      <w:r>
        <w:rPr>
          <w:rFonts w:ascii="微软雅黑" w:hAnsi="微软雅黑" w:eastAsia="微软雅黑"/>
          <w:b w:val="0"/>
          <w:color w:val="333333"/>
          <w:sz w:val="22"/>
        </w:rPr>
        <w:br w:type="textWrapping"/>
      </w:r>
      <w:r>
        <w:rPr>
          <w:rFonts w:ascii="微软雅黑" w:hAnsi="微软雅黑" w:eastAsia="微软雅黑"/>
          <w:b w:val="0"/>
          <w:color w:val="333333"/>
          <w:sz w:val="22"/>
        </w:rPr>
        <w:t>编制日期：2026-0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5</w:t>
      </w:r>
      <w:r>
        <w:rPr>
          <w:rFonts w:ascii="微软雅黑" w:hAnsi="微软雅黑" w:eastAsia="微软雅黑"/>
          <w:b w:val="0"/>
          <w:color w:val="333333"/>
          <w:sz w:val="22"/>
        </w:rPr>
        <w:t>-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28</w:t>
      </w:r>
    </w:p>
    <w:p w14:paraId="4FF1FC78">
      <w:r>
        <w:br w:type="page"/>
      </w:r>
    </w:p>
    <w:p w14:paraId="3092AD1F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>一、规范目的与适用范围</w:t>
      </w:r>
    </w:p>
    <w:p w14:paraId="01A63059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1.1 编制目的</w:t>
      </w:r>
    </w:p>
    <w:p w14:paraId="3630FFB3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为保障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兰州</w:t>
      </w:r>
      <w:r>
        <w:rPr>
          <w:rFonts w:ascii="微软雅黑" w:hAnsi="微软雅黑" w:eastAsia="微软雅黑"/>
          <w:b w:val="0"/>
          <w:sz w:val="22"/>
        </w:rPr>
        <w:t>银行核心业务数据</w:t>
      </w:r>
      <w:bookmarkStart w:id="0" w:name="_GoBack"/>
      <w:bookmarkEnd w:id="0"/>
      <w:r>
        <w:rPr>
          <w:rFonts w:ascii="微软雅黑" w:hAnsi="微软雅黑" w:eastAsia="微软雅黑"/>
          <w:b w:val="0"/>
          <w:sz w:val="22"/>
        </w:rPr>
        <w:t>库的稳定性、可用性与可恢复性，依据《银行业金融机构信息科技风险管理指引》《金融行业信息系统信息安全等级保护实施指引》及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兰州</w:t>
      </w:r>
      <w:r>
        <w:rPr>
          <w:rFonts w:ascii="微软雅黑" w:hAnsi="微软雅黑" w:eastAsia="微软雅黑"/>
          <w:b w:val="0"/>
          <w:sz w:val="22"/>
        </w:rPr>
        <w:t>银行内部数据治理要求，结合腾讯 TDSQL 内核技术约束，制定本规范，对数据库内『大表』的判定与治理（保留、清理、分区改造、归档、删除）作出统一约束。</w:t>
      </w:r>
    </w:p>
    <w:p w14:paraId="240D9A1A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1.2 适用范围</w:t>
      </w:r>
    </w:p>
    <w:p w14:paraId="63BBE89C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本规范适用于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兰州</w:t>
      </w:r>
      <w:r>
        <w:rPr>
          <w:rFonts w:ascii="微软雅黑" w:hAnsi="微软雅黑" w:eastAsia="微软雅黑"/>
          <w:b w:val="0"/>
          <w:sz w:val="22"/>
        </w:rPr>
        <w:t>银行所有运行在 TDSQL 上的生产、灾备、准生产业务库，包括但不限于：核心业务、统一支付、事后监督、网点服务、财务管理、交易级总账、信贷、信用卡、数据集市等。开发库/测试库参照执行。</w:t>
      </w:r>
    </w:p>
    <w:p w14:paraId="65ABBE0A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28"/>
        </w:rPr>
        <w:t>1.3 编制依据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7314"/>
      </w:tblGrid>
      <w:tr w14:paraId="18B2FB3B">
        <w:trPr>
          <w:jc w:val="center"/>
        </w:trPr>
        <w:tc>
          <w:tcPr>
            <w:tcW w:w="2092" w:type="dxa"/>
            <w:shd w:val="clear" w:color="auto" w:fill="1F497D"/>
            <w:vAlign w:val="center"/>
          </w:tcPr>
          <w:p w14:paraId="679D09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w="7314" w:type="dxa"/>
            <w:shd w:val="clear" w:color="auto" w:fill="1F497D"/>
            <w:vAlign w:val="center"/>
          </w:tcPr>
          <w:p w14:paraId="5AD936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依据文件 / 标准</w:t>
            </w:r>
          </w:p>
        </w:tc>
      </w:tr>
      <w:tr w14:paraId="630BE679">
        <w:trPr>
          <w:jc w:val="center"/>
        </w:trPr>
        <w:tc>
          <w:tcPr>
            <w:tcW w:w="2092" w:type="dxa"/>
            <w:vAlign w:val="center"/>
          </w:tcPr>
          <w:p w14:paraId="5DE6D6E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监管要求</w:t>
            </w:r>
          </w:p>
        </w:tc>
        <w:tc>
          <w:tcPr>
            <w:tcW w:w="7314" w:type="dxa"/>
            <w:vAlign w:val="center"/>
          </w:tcPr>
          <w:p w14:paraId="22114EF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银保监《银行业金融机构信息科技风险管理指引》、人行《金融行业信息系统信息安全等级保护实施指引》</w:t>
            </w:r>
          </w:p>
        </w:tc>
      </w:tr>
      <w:tr w14:paraId="69BEC9A9">
        <w:trPr>
          <w:jc w:val="center"/>
        </w:trPr>
        <w:tc>
          <w:tcPr>
            <w:tcW w:w="2092" w:type="dxa"/>
            <w:shd w:val="clear" w:color="auto" w:fill="F7F9FC"/>
            <w:vAlign w:val="center"/>
          </w:tcPr>
          <w:p w14:paraId="50E66AB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监管要求</w:t>
            </w:r>
          </w:p>
        </w:tc>
        <w:tc>
          <w:tcPr>
            <w:tcW w:w="7314" w:type="dxa"/>
            <w:shd w:val="clear" w:color="auto" w:fill="F7F9FC"/>
            <w:vAlign w:val="center"/>
          </w:tcPr>
          <w:p w14:paraId="20EA8DE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《金融科技发展规划》《商业银行数据治理指引》</w:t>
            </w:r>
          </w:p>
        </w:tc>
      </w:tr>
      <w:tr w14:paraId="03DB0CF5">
        <w:trPr>
          <w:jc w:val="center"/>
        </w:trPr>
        <w:tc>
          <w:tcPr>
            <w:tcW w:w="2092" w:type="dxa"/>
            <w:vAlign w:val="center"/>
          </w:tcPr>
          <w:p w14:paraId="13E9313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行业基线</w:t>
            </w:r>
          </w:p>
        </w:tc>
        <w:tc>
          <w:tcPr>
            <w:tcW w:w="7314" w:type="dxa"/>
            <w:vAlign w:val="center"/>
          </w:tcPr>
          <w:p w14:paraId="0DA0195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建行/工行/中行/招行 数据治理与运维白皮书（公开版）</w:t>
            </w:r>
          </w:p>
        </w:tc>
      </w:tr>
      <w:tr w14:paraId="2117B033">
        <w:trPr>
          <w:jc w:val="center"/>
        </w:trPr>
        <w:tc>
          <w:tcPr>
            <w:tcW w:w="2092" w:type="dxa"/>
            <w:shd w:val="clear" w:color="auto" w:fill="F7F9FC"/>
            <w:vAlign w:val="center"/>
          </w:tcPr>
          <w:p w14:paraId="325F0FD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农信体系</w:t>
            </w:r>
          </w:p>
        </w:tc>
        <w:tc>
          <w:tcPr>
            <w:tcW w:w="7314" w:type="dxa"/>
            <w:shd w:val="clear" w:color="auto" w:fill="F7F9FC"/>
            <w:vAlign w:val="center"/>
          </w:tcPr>
          <w:p w14:paraId="5B10DC4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省联社/农信社 "两地三中心" 运维规范、农信银结算中心信息系统运维管理办法</w:t>
            </w:r>
          </w:p>
        </w:tc>
      </w:tr>
      <w:tr w14:paraId="02012B17">
        <w:trPr>
          <w:jc w:val="center"/>
        </w:trPr>
        <w:tc>
          <w:tcPr>
            <w:tcW w:w="2092" w:type="dxa"/>
            <w:vAlign w:val="center"/>
          </w:tcPr>
          <w:p w14:paraId="0318810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产品基线</w:t>
            </w:r>
          </w:p>
        </w:tc>
        <w:tc>
          <w:tcPr>
            <w:tcW w:w="7314" w:type="dxa"/>
            <w:vAlign w:val="center"/>
          </w:tcPr>
          <w:p w14:paraId="010E795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TDSQL 私有化产品手册、TXSQL 内核官方文档（异步删除大表、二级分区、层级锁）</w:t>
            </w:r>
          </w:p>
        </w:tc>
      </w:tr>
    </w:tbl>
    <w:p w14:paraId="4F400C1F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28"/>
        </w:rPr>
        <w:t>1.4 严格口径声明（与一般运维口径的差异）</w:t>
      </w:r>
    </w:p>
    <w:p w14:paraId="60D2AAD4">
      <w:pPr>
        <w:spacing w:after="120" w:line="360" w:lineRule="auto"/>
        <w:ind w:firstLine="4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本规范采用银行业**严格口径**——在『大表认定阈值』『保留期限』『分区数量上限』三个维度上均比一般互联网/通用运维口径下调一档，原因如下：</w:t>
      </w:r>
    </w:p>
    <w:p w14:paraId="5CB2EB71">
      <w:pPr>
        <w:spacing w:after="120" w:line="360" w:lineRule="auto"/>
        <w:ind w:firstLine="420"/>
        <w:rPr>
          <w:rFonts w:ascii="微软雅黑" w:hAnsi="微软雅黑" w:eastAsia="微软雅黑"/>
          <w:b w:val="0"/>
          <w:sz w:val="22"/>
        </w:rPr>
      </w:pPr>
    </w:p>
    <w:p w14:paraId="6B3E4B94">
      <w:pPr>
        <w:spacing w:after="120" w:line="360" w:lineRule="auto"/>
        <w:ind w:firstLine="420"/>
        <w:rPr>
          <w:rFonts w:ascii="微软雅黑" w:hAnsi="微软雅黑" w:eastAsia="微软雅黑"/>
          <w:b w:val="0"/>
          <w:sz w:val="22"/>
        </w:rPr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728"/>
        <w:gridCol w:w="5717"/>
      </w:tblGrid>
      <w:tr w14:paraId="14E5420D">
        <w:trPr>
          <w:jc w:val="center"/>
        </w:trPr>
        <w:tc>
          <w:tcPr>
            <w:tcW w:w="0" w:type="auto"/>
            <w:shd w:val="clear" w:color="auto" w:fill="1F497D"/>
            <w:vAlign w:val="center"/>
          </w:tcPr>
          <w:p w14:paraId="78B95B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w="0" w:type="auto"/>
            <w:shd w:val="clear" w:color="auto" w:fill="1F497D"/>
            <w:vAlign w:val="center"/>
          </w:tcPr>
          <w:p w14:paraId="645432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本规范（银行严格口径）</w:t>
            </w:r>
          </w:p>
        </w:tc>
        <w:tc>
          <w:tcPr>
            <w:tcW w:w="0" w:type="auto"/>
            <w:shd w:val="clear" w:color="auto" w:fill="1F497D"/>
            <w:vAlign w:val="center"/>
          </w:tcPr>
          <w:p w14:paraId="506DE0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趋严理由</w:t>
            </w:r>
          </w:p>
        </w:tc>
      </w:tr>
      <w:tr w14:paraId="79A7DA68">
        <w:trPr>
          <w:jc w:val="center"/>
        </w:trPr>
        <w:tc>
          <w:tcPr>
            <w:tcW w:w="0" w:type="auto"/>
            <w:vAlign w:val="center"/>
          </w:tcPr>
          <w:p w14:paraId="1CF3FB3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大表起判阈值</w:t>
            </w:r>
          </w:p>
        </w:tc>
        <w:tc>
          <w:tcPr>
            <w:tcW w:w="0" w:type="auto"/>
            <w:vAlign w:val="center"/>
          </w:tcPr>
          <w:p w14:paraId="777E622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1 GB 或 ≥ 300 万行**</w:t>
            </w:r>
          </w:p>
        </w:tc>
        <w:tc>
          <w:tcPr>
            <w:tcW w:w="0" w:type="auto"/>
            <w:vAlign w:val="center"/>
          </w:tcPr>
          <w:p w14:paraId="5D87301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银行核心 OLTP 实务经验：1 GB / 300 万行已具备显著的备份、DDL、删除风险；提前介入避免跨级劣化</w:t>
            </w:r>
          </w:p>
        </w:tc>
      </w:tr>
      <w:tr w14:paraId="47487403">
        <w:trPr>
          <w:jc w:val="center"/>
        </w:trPr>
        <w:tc>
          <w:tcPr>
            <w:tcW w:w="0" w:type="auto"/>
            <w:shd w:val="clear" w:color="auto" w:fill="F7F9FC"/>
            <w:vAlign w:val="center"/>
          </w:tcPr>
          <w:p w14:paraId="3986C46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重点大表阈值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59EEC3A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10 GB 或 ≥ 3000 万行（必须分区）**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1D2F3AD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 GB 是 binlog 单文件、单事务 undo 安全边界的 10 倍；超过即必须用分区减小变更面</w:t>
            </w:r>
          </w:p>
        </w:tc>
      </w:tr>
      <w:tr w14:paraId="0C54BBB5">
        <w:trPr>
          <w:jc w:val="center"/>
        </w:trPr>
        <w:tc>
          <w:tcPr>
            <w:tcW w:w="0" w:type="auto"/>
            <w:vAlign w:val="center"/>
          </w:tcPr>
          <w:p w14:paraId="3716954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特大表阈值</w:t>
            </w:r>
          </w:p>
        </w:tc>
        <w:tc>
          <w:tcPr>
            <w:tcW w:w="0" w:type="auto"/>
            <w:vAlign w:val="center"/>
          </w:tcPr>
          <w:p w14:paraId="0295BDD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50 GB 或 ≥ 2 亿行（红线管控）**</w:t>
            </w:r>
          </w:p>
        </w:tc>
        <w:tc>
          <w:tcPr>
            <w:tcW w:w="0" w:type="auto"/>
            <w:vAlign w:val="center"/>
          </w:tcPr>
          <w:p w14:paraId="1FD1309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≥ 50 GB 单表恢复时间 &gt; 30 分钟，违反 RTO；必须强制归档+独立监控</w:t>
            </w:r>
          </w:p>
        </w:tc>
      </w:tr>
      <w:tr w14:paraId="126FBFDF">
        <w:trPr>
          <w:jc w:val="center"/>
        </w:trPr>
        <w:tc>
          <w:tcPr>
            <w:tcW w:w="0" w:type="auto"/>
            <w:shd w:val="clear" w:color="auto" w:fill="F7F9FC"/>
            <w:vAlign w:val="center"/>
          </w:tcPr>
          <w:p w14:paraId="62454F8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主库保留期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6716576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**流水/日志/告警类 ≤ 30 天**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3176916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主库只承载"热数据"，长留义务由历史库承担</w:t>
            </w:r>
          </w:p>
        </w:tc>
      </w:tr>
      <w:tr w14:paraId="10679424">
        <w:trPr>
          <w:jc w:val="center"/>
        </w:trPr>
        <w:tc>
          <w:tcPr>
            <w:tcW w:w="0" w:type="auto"/>
            <w:vAlign w:val="center"/>
          </w:tcPr>
          <w:p w14:paraId="008C301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监管类保留</w:t>
            </w:r>
          </w:p>
        </w:tc>
        <w:tc>
          <w:tcPr>
            <w:tcW w:w="0" w:type="auto"/>
            <w:vAlign w:val="center"/>
          </w:tcPr>
          <w:p w14:paraId="581E198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**主库 ≤ 6 个月**</w:t>
            </w:r>
          </w:p>
        </w:tc>
        <w:tc>
          <w:tcPr>
            <w:tcW w:w="0" w:type="auto"/>
            <w:vAlign w:val="center"/>
          </w:tcPr>
          <w:p w14:paraId="719855E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监管类长留由历史库/数仓/影像系统承载，主库不承担</w:t>
            </w:r>
          </w:p>
        </w:tc>
      </w:tr>
      <w:tr w14:paraId="0007AF1B">
        <w:trPr>
          <w:jc w:val="center"/>
        </w:trPr>
        <w:tc>
          <w:tcPr>
            <w:tcW w:w="0" w:type="auto"/>
            <w:shd w:val="clear" w:color="auto" w:fill="F7F9FC"/>
            <w:vAlign w:val="center"/>
          </w:tcPr>
          <w:p w14:paraId="3A3F4EC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分区数推荐上限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0F2191B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**≤ 128**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0CD7595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分区数越多，元数据扫描越重；上海银行案例已多次触发 1000 上限风险</w:t>
            </w:r>
          </w:p>
        </w:tc>
      </w:tr>
      <w:tr w14:paraId="4D4327EF">
        <w:trPr>
          <w:jc w:val="center"/>
        </w:trPr>
        <w:tc>
          <w:tcPr>
            <w:tcW w:w="0" w:type="auto"/>
            <w:vAlign w:val="center"/>
          </w:tcPr>
          <w:p w14:paraId="30CF262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分区数告警水位</w:t>
            </w:r>
          </w:p>
        </w:tc>
        <w:tc>
          <w:tcPr>
            <w:tcW w:w="0" w:type="auto"/>
            <w:vAlign w:val="center"/>
          </w:tcPr>
          <w:p w14:paraId="651954C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600（60% 水位）**</w:t>
            </w:r>
          </w:p>
        </w:tc>
        <w:tc>
          <w:tcPr>
            <w:tcW w:w="0" w:type="auto"/>
            <w:vAlign w:val="center"/>
          </w:tcPr>
          <w:p w14:paraId="0B07329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提前预警，避免 P0 风险</w:t>
            </w:r>
          </w:p>
        </w:tc>
      </w:tr>
      <w:tr w14:paraId="72480EB4">
        <w:trPr>
          <w:jc w:val="center"/>
        </w:trPr>
        <w:tc>
          <w:tcPr>
            <w:tcW w:w="0" w:type="auto"/>
            <w:shd w:val="clear" w:color="auto" w:fill="F7F9FC"/>
            <w:vAlign w:val="center"/>
          </w:tcPr>
          <w:p w14:paraId="6B0DA78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DDL 窗口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3C656B6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**仅允许变更窗口（夜间维护窗）**</w:t>
            </w:r>
          </w:p>
        </w:tc>
        <w:tc>
          <w:tcPr>
            <w:tcW w:w="0" w:type="auto"/>
            <w:shd w:val="clear" w:color="auto" w:fill="F7F9FC"/>
            <w:vAlign w:val="center"/>
          </w:tcPr>
          <w:p w14:paraId="2D35CA5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银行变更管理要求事前评审、事中监控、事后回归</w:t>
            </w:r>
          </w:p>
        </w:tc>
      </w:tr>
    </w:tbl>
    <w:p w14:paraId="4A2D6F6F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>二、大表定义（银行严格口径）</w:t>
      </w:r>
    </w:p>
    <w:p w14:paraId="2E2F4B8D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2.1 三级分类（核心定义）</w:t>
      </w:r>
    </w:p>
    <w:p w14:paraId="237AC6E0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按表的『当前规模』将表分为三级，分级触发不同等级的治理动作：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59EA7FA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1D5731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1F2001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判定阈值（任一满足即定级）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15E55E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标识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0C28DE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治理要求</w:t>
            </w:r>
          </w:p>
        </w:tc>
      </w:tr>
      <w:tr w14:paraId="66A3DEB3">
        <w:trPr>
          <w:jc w:val="center"/>
        </w:trPr>
        <w:tc>
          <w:tcPr>
            <w:tcW w:w="1134" w:type="dxa"/>
            <w:vAlign w:val="center"/>
          </w:tcPr>
          <w:p w14:paraId="082D12F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L1 一般大表</w:t>
            </w:r>
          </w:p>
        </w:tc>
        <w:tc>
          <w:tcPr>
            <w:tcW w:w="3969" w:type="dxa"/>
            <w:vAlign w:val="center"/>
          </w:tcPr>
          <w:p w14:paraId="11937FD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数据量（含索引）≥ 1 GB **或** 行数 ≥ 300 万 **或** 日增量 ≥ 100 MB</w:t>
            </w:r>
          </w:p>
        </w:tc>
        <w:tc>
          <w:tcPr>
            <w:tcW w:w="850" w:type="dxa"/>
            <w:vAlign w:val="center"/>
          </w:tcPr>
          <w:p w14:paraId="74193DF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🟡 黄色</w:t>
            </w:r>
          </w:p>
        </w:tc>
        <w:tc>
          <w:tcPr>
            <w:tcW w:w="3969" w:type="dxa"/>
            <w:vAlign w:val="center"/>
          </w:tcPr>
          <w:p w14:paraId="6952B24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纳入治理清单；必须有书面《保留与清理方案》并经 DBA 评审；建议合理建索引、避免无 WHERE 大查询</w:t>
            </w:r>
          </w:p>
        </w:tc>
      </w:tr>
      <w:tr w14:paraId="5AC2EE48"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4A6E2D2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L2 重点大表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68E72F4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数据量 ≥ 10 GB **或** 行数 ≥ 3000 万 **或** 日增量 ≥ 1 GB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537250C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🟠 橙色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298551F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**强制分区改造**；强制配套自动清理任务；纳入月度运维报告；DDL 必须走变更窗口</w:t>
            </w:r>
          </w:p>
        </w:tc>
      </w:tr>
      <w:tr w14:paraId="10B57902">
        <w:trPr>
          <w:jc w:val="center"/>
        </w:trPr>
        <w:tc>
          <w:tcPr>
            <w:tcW w:w="1134" w:type="dxa"/>
            <w:vAlign w:val="center"/>
          </w:tcPr>
          <w:p w14:paraId="4FD0BD8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L3 特大表</w:t>
            </w:r>
          </w:p>
        </w:tc>
        <w:tc>
          <w:tcPr>
            <w:tcW w:w="3969" w:type="dxa"/>
            <w:vAlign w:val="center"/>
          </w:tcPr>
          <w:p w14:paraId="2985F0E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数据量 ≥ 50 GB **或** 行数 ≥ 2 亿 **或** 日增量 ≥ 5 GB</w:t>
            </w:r>
          </w:p>
        </w:tc>
        <w:tc>
          <w:tcPr>
            <w:tcW w:w="850" w:type="dxa"/>
            <w:vAlign w:val="center"/>
          </w:tcPr>
          <w:p w14:paraId="0C0F6C0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红色</w:t>
            </w:r>
          </w:p>
        </w:tc>
        <w:tc>
          <w:tcPr>
            <w:tcW w:w="3969" w:type="dxa"/>
            <w:vAlign w:val="center"/>
          </w:tcPr>
          <w:p w14:paraId="1AB24D5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**强制分区 + 强制归档冷库 + 强制独立监控**；列入年度专项治理；新建表禁止允许达到该等级</w:t>
            </w:r>
          </w:p>
        </w:tc>
      </w:tr>
    </w:tbl>
    <w:p w14:paraId="7DD23CE9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阈值哲学：1 GB 触发『看一眼』，10 GB 触发『必须分区』，50 GB 触发『红线管控』。这与银行核心 OLTP 单表恢复时间（≤ 30 分钟）、binlog 单文件 1 GB、innodb 异步删除阈值默认 2 GB 三个内核硬约束高度对齐——1 GB 起判可在表跨过任何单一硬约束之前完成治理介入。</w:t>
      </w:r>
    </w:p>
    <w:p w14:paraId="453A13CD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28"/>
        </w:rPr>
        <w:t>2.2 内核侧附属阈值（来源于 TDSQL/TXSQL 内核约束）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0355041">
        <w:trPr>
          <w:jc w:val="center"/>
        </w:trPr>
        <w:tc>
          <w:tcPr>
            <w:tcW w:w="2351" w:type="dxa"/>
            <w:shd w:val="clear" w:color="auto" w:fill="1F497D"/>
            <w:vAlign w:val="center"/>
          </w:tcPr>
          <w:p w14:paraId="6F8D4B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内核维度</w:t>
            </w:r>
          </w:p>
        </w:tc>
        <w:tc>
          <w:tcPr>
            <w:tcW w:w="2351" w:type="dxa"/>
            <w:shd w:val="clear" w:color="auto" w:fill="1F497D"/>
            <w:vAlign w:val="center"/>
          </w:tcPr>
          <w:p w14:paraId="51AC7D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阈值</w:t>
            </w:r>
          </w:p>
        </w:tc>
        <w:tc>
          <w:tcPr>
            <w:tcW w:w="2351" w:type="dxa"/>
            <w:shd w:val="clear" w:color="auto" w:fill="1F497D"/>
            <w:vAlign w:val="center"/>
          </w:tcPr>
          <w:p w14:paraId="75D75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 / 影响</w:t>
            </w:r>
          </w:p>
        </w:tc>
        <w:tc>
          <w:tcPr>
            <w:tcW w:w="2351" w:type="dxa"/>
            <w:shd w:val="clear" w:color="auto" w:fill="1F497D"/>
            <w:vAlign w:val="center"/>
          </w:tcPr>
          <w:p w14:paraId="23DA8B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对应内核参数或来源</w:t>
            </w:r>
          </w:p>
        </w:tc>
      </w:tr>
      <w:tr w14:paraId="241218C6">
        <w:trPr>
          <w:jc w:val="center"/>
        </w:trPr>
        <w:tc>
          <w:tcPr>
            <w:tcW w:w="2351" w:type="dxa"/>
            <w:shd w:val="clear" w:color="auto" w:fill="F7F9FC"/>
            <w:vAlign w:val="center"/>
          </w:tcPr>
          <w:p w14:paraId="76C0CD7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二级分区 scheduler 硬上限</w:t>
            </w:r>
          </w:p>
        </w:tc>
        <w:tc>
          <w:tcPr>
            <w:tcW w:w="2351" w:type="dxa"/>
            <w:shd w:val="clear" w:color="auto" w:fill="F7F9FC"/>
            <w:vAlign w:val="center"/>
          </w:tcPr>
          <w:p w14:paraId="6B88E5E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**1000**</w:t>
            </w:r>
          </w:p>
        </w:tc>
        <w:tc>
          <w:tcPr>
            <w:tcW w:w="2351" w:type="dxa"/>
            <w:shd w:val="clear" w:color="auto" w:fill="F7F9FC"/>
            <w:vAlign w:val="center"/>
          </w:tcPr>
          <w:p w14:paraId="7421742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单表二级分区数超过 1000，scheduler grouppriv 拒绝服务</w:t>
            </w:r>
          </w:p>
        </w:tc>
        <w:tc>
          <w:tcPr>
            <w:tcW w:w="2351" w:type="dxa"/>
            <w:shd w:val="clear" w:color="auto" w:fill="F7F9FC"/>
            <w:vAlign w:val="center"/>
          </w:tcPr>
          <w:p w14:paraId="614E9B6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TDSQL scheduler grouppriv.shard_num=1000；上海银行 16076749 工单根因</w:t>
            </w:r>
          </w:p>
        </w:tc>
      </w:tr>
      <w:tr w14:paraId="37C27381">
        <w:trPr>
          <w:jc w:val="center"/>
        </w:trPr>
        <w:tc>
          <w:tcPr>
            <w:tcW w:w="2351" w:type="dxa"/>
            <w:vAlign w:val="center"/>
          </w:tcPr>
          <w:p w14:paraId="6216F2A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分区元数据健康上限</w:t>
            </w:r>
          </w:p>
        </w:tc>
        <w:tc>
          <w:tcPr>
            <w:tcW w:w="2351" w:type="dxa"/>
            <w:vAlign w:val="center"/>
          </w:tcPr>
          <w:p w14:paraId="0B7E520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**单表 ≤ 256 个分区**</w:t>
            </w:r>
          </w:p>
        </w:tc>
        <w:tc>
          <w:tcPr>
            <w:tcW w:w="2351" w:type="dxa"/>
            <w:vAlign w:val="center"/>
          </w:tcPr>
          <w:p w14:paraId="3E4F45F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分区数越多，DD 元数据 / information_schema 扫描代价越高</w:t>
            </w:r>
          </w:p>
        </w:tc>
        <w:tc>
          <w:tcPr>
            <w:tcW w:w="2351" w:type="dxa"/>
            <w:vAlign w:val="center"/>
          </w:tcPr>
          <w:p w14:paraId="2D65673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招商信创 16731781（498 分区表元数据异常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,业务更新元数据超时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 w14:paraId="2D4F1366">
        <w:trPr>
          <w:jc w:val="center"/>
        </w:trPr>
        <w:tc>
          <w:tcPr>
            <w:tcW w:w="2351" w:type="dxa"/>
            <w:shd w:val="clear" w:color="auto" w:fill="F7F9FC"/>
            <w:vAlign w:val="center"/>
          </w:tcPr>
          <w:p w14:paraId="47AD5D7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binlog 单文件极限</w:t>
            </w:r>
          </w:p>
        </w:tc>
        <w:tc>
          <w:tcPr>
            <w:tcW w:w="2351" w:type="dxa"/>
            <w:shd w:val="clear" w:color="auto" w:fill="F7F9FC"/>
            <w:vAlign w:val="center"/>
          </w:tcPr>
          <w:p w14:paraId="6E1295B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1 GB（建议 ≤ 1 GB）</w:t>
            </w:r>
          </w:p>
        </w:tc>
        <w:tc>
          <w:tcPr>
            <w:tcW w:w="2351" w:type="dxa"/>
            <w:shd w:val="clear" w:color="auto" w:fill="F7F9FC"/>
            <w:vAlign w:val="center"/>
          </w:tcPr>
          <w:p w14:paraId="24B4CB1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单事务跨 binlog 时 GTID 切换、备份切片与 binlog 备份效率</w:t>
            </w:r>
          </w:p>
        </w:tc>
        <w:tc>
          <w:tcPr>
            <w:tcW w:w="2351" w:type="dxa"/>
            <w:shd w:val="clear" w:color="auto" w:fill="F7F9FC"/>
            <w:vAlign w:val="center"/>
          </w:tcPr>
          <w:p w14:paraId="01F8A8C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max_binlog_size 默认 1G</w:t>
            </w:r>
          </w:p>
        </w:tc>
      </w:tr>
      <w:tr w14:paraId="3659AA3F">
        <w:trPr>
          <w:jc w:val="center"/>
        </w:trPr>
        <w:tc>
          <w:tcPr>
            <w:tcW w:w="2351" w:type="dxa"/>
            <w:vAlign w:val="center"/>
          </w:tcPr>
          <w:p w14:paraId="2F50A90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单事务 undo 极限</w:t>
            </w:r>
          </w:p>
        </w:tc>
        <w:tc>
          <w:tcPr>
            <w:tcW w:w="2351" w:type="dxa"/>
            <w:vAlign w:val="center"/>
          </w:tcPr>
          <w:p w14:paraId="09FDA2E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建议单事务 ≤ 100 万行</w:t>
            </w:r>
          </w:p>
        </w:tc>
        <w:tc>
          <w:tcPr>
            <w:tcW w:w="2351" w:type="dxa"/>
            <w:vAlign w:val="center"/>
          </w:tcPr>
          <w:p w14:paraId="22A9E89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DELETE/UPDATE 大事务会阻塞 purge、引发主备延迟与回滚链膨胀</w:t>
            </w:r>
          </w:p>
        </w:tc>
        <w:tc>
          <w:tcPr>
            <w:tcW w:w="2351" w:type="dxa"/>
            <w:vAlign w:val="center"/>
          </w:tcPr>
          <w:p w14:paraId="6D18F75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TDSQL 售中后《最佳实践》</w:t>
            </w:r>
          </w:p>
        </w:tc>
      </w:tr>
    </w:tbl>
    <w:p w14:paraId="12EC3501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28"/>
        </w:rPr>
        <w:t>2.3 银行业表类型分类（用于差异化保留/清理策略）</w:t>
      </w:r>
    </w:p>
    <w:p w14:paraId="45FE8834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银行业务库的表按数据特征划分为下表 6 类，本规范后续清理策略按此分类制定：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70BE57">
        <w:trPr>
          <w:jc w:val="center"/>
        </w:trPr>
        <w:tc>
          <w:tcPr>
            <w:tcW w:w="1701" w:type="dxa"/>
            <w:shd w:val="clear" w:color="auto" w:fill="1F497D"/>
            <w:vAlign w:val="center"/>
          </w:tcPr>
          <w:p w14:paraId="2B2511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1B3123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典型业务表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67B8F6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特征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33032D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治理要求等级</w:t>
            </w:r>
          </w:p>
        </w:tc>
      </w:tr>
      <w:tr w14:paraId="3F79AB9D">
        <w:trPr>
          <w:jc w:val="center"/>
        </w:trPr>
        <w:tc>
          <w:tcPr>
            <w:tcW w:w="1701" w:type="dxa"/>
            <w:vAlign w:val="center"/>
          </w:tcPr>
          <w:p w14:paraId="7059A88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A. 主表/账户表</w:t>
            </w:r>
          </w:p>
        </w:tc>
        <w:tc>
          <w:tcPr>
            <w:tcW w:w="2551" w:type="dxa"/>
            <w:vAlign w:val="center"/>
          </w:tcPr>
          <w:p w14:paraId="20CDB8F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客户主表、账户表、卡片主表、合约主表</w:t>
            </w:r>
          </w:p>
        </w:tc>
        <w:tc>
          <w:tcPr>
            <w:tcW w:w="2551" w:type="dxa"/>
            <w:vAlign w:val="center"/>
          </w:tcPr>
          <w:p w14:paraId="3B80195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增量小、重要性极高、不删除</w:t>
            </w:r>
          </w:p>
        </w:tc>
        <w:tc>
          <w:tcPr>
            <w:tcW w:w="2835" w:type="dxa"/>
            <w:vAlign w:val="center"/>
          </w:tcPr>
          <w:p w14:paraId="3BFC81B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重点备份；超 L1 → 必须索引/分区化</w:t>
            </w:r>
          </w:p>
        </w:tc>
      </w:tr>
      <w:tr w14:paraId="484FF19F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3F486B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B. 交易明细表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4C0F6F8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交易流水、转账明细、支付流水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037DA8E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持续增长、需长留、有时间维度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A02FCC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**强制 RANGE 分区 + 归档冷库**</w:t>
            </w:r>
          </w:p>
        </w:tc>
      </w:tr>
      <w:tr w14:paraId="4AE638C1">
        <w:trPr>
          <w:jc w:val="center"/>
        </w:trPr>
        <w:tc>
          <w:tcPr>
            <w:tcW w:w="1701" w:type="dxa"/>
            <w:vAlign w:val="center"/>
          </w:tcPr>
          <w:p w14:paraId="45286EB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C. 流水/日志/审计</w:t>
            </w:r>
          </w:p>
        </w:tc>
        <w:tc>
          <w:tcPr>
            <w:tcW w:w="2551" w:type="dxa"/>
            <w:vAlign w:val="center"/>
          </w:tcPr>
          <w:p w14:paraId="6CEA147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操作日志、登录日志、告警日志、审计流水</w:t>
            </w:r>
          </w:p>
        </w:tc>
        <w:tc>
          <w:tcPr>
            <w:tcW w:w="2551" w:type="dxa"/>
            <w:vAlign w:val="center"/>
          </w:tcPr>
          <w:p w14:paraId="154A163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高速增长、查询少、归档要求中等</w:t>
            </w:r>
          </w:p>
        </w:tc>
        <w:tc>
          <w:tcPr>
            <w:tcW w:w="2835" w:type="dxa"/>
            <w:vAlign w:val="center"/>
          </w:tcPr>
          <w:p w14:paraId="15399C6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**强制 RANGE 分区 + 主库 ≤ 30 天**</w:t>
            </w:r>
          </w:p>
        </w:tc>
      </w:tr>
      <w:tr w14:paraId="4A113C25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69FE30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D. 报表/统计中间结果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0EE4C67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日终汇总、跑批中间表、临时统计表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3772E84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短周期、可重建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A849CE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短周期清理（≤ 7 天），不要求归档</w:t>
            </w:r>
          </w:p>
        </w:tc>
      </w:tr>
      <w:tr w14:paraId="4C8E58FF">
        <w:trPr>
          <w:jc w:val="center"/>
        </w:trPr>
        <w:tc>
          <w:tcPr>
            <w:tcW w:w="1701" w:type="dxa"/>
            <w:vAlign w:val="center"/>
          </w:tcPr>
          <w:p w14:paraId="5C4C7B6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E. 监管/合规上送</w:t>
            </w:r>
          </w:p>
        </w:tc>
        <w:tc>
          <w:tcPr>
            <w:tcW w:w="2551" w:type="dxa"/>
            <w:vAlign w:val="center"/>
          </w:tcPr>
          <w:p w14:paraId="59CB201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央行报送、银保监报送、反洗钱明细</w:t>
            </w:r>
          </w:p>
        </w:tc>
        <w:tc>
          <w:tcPr>
            <w:tcW w:w="2551" w:type="dxa"/>
            <w:vAlign w:val="center"/>
          </w:tcPr>
          <w:p w14:paraId="2994994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需长留 5~7 年</w:t>
            </w:r>
          </w:p>
        </w:tc>
        <w:tc>
          <w:tcPr>
            <w:tcW w:w="2835" w:type="dxa"/>
            <w:vAlign w:val="center"/>
          </w:tcPr>
          <w:p w14:paraId="10A8210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**强制独立历史库；主库 ≤ 6 个月**</w:t>
            </w:r>
          </w:p>
        </w:tc>
      </w:tr>
      <w:tr w14:paraId="6F7393B1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08CC4B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F. 维度/配置表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2BCE381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机构表、产品参数表、字典表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2B25104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极小、几乎不变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1D6709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不属大表治理对象</w:t>
            </w:r>
          </w:p>
        </w:tc>
      </w:tr>
    </w:tbl>
    <w:p w14:paraId="1A28FA69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>三、保留期与日增量驱动的清理原则</w:t>
      </w:r>
    </w:p>
    <w:p w14:paraId="70A6A717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3.1 主库数据保留期标准（严格口径）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3F45502">
        <w:trPr>
          <w:jc w:val="center"/>
        </w:trPr>
        <w:tc>
          <w:tcPr>
            <w:tcW w:w="1701" w:type="dxa"/>
            <w:shd w:val="clear" w:color="auto" w:fill="1F497D"/>
            <w:vAlign w:val="center"/>
          </w:tcPr>
          <w:p w14:paraId="001908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业务类别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740B22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主库热数据保留期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DCDFB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归档目的地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4ACBCC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归档周期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17D071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</w:tr>
      <w:tr w14:paraId="2921A4EC">
        <w:trPr>
          <w:jc w:val="center"/>
        </w:trPr>
        <w:tc>
          <w:tcPr>
            <w:tcW w:w="1701" w:type="dxa"/>
            <w:vAlign w:val="center"/>
          </w:tcPr>
          <w:p w14:paraId="6726299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A. 主表/账户表</w:t>
            </w:r>
          </w:p>
        </w:tc>
        <w:tc>
          <w:tcPr>
            <w:tcW w:w="2268" w:type="dxa"/>
            <w:vAlign w:val="center"/>
          </w:tcPr>
          <w:p w14:paraId="5D4FDB3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**永久（不删除）**</w:t>
            </w:r>
          </w:p>
        </w:tc>
        <w:tc>
          <w:tcPr>
            <w:tcW w:w="2268" w:type="dxa"/>
            <w:vAlign w:val="center"/>
          </w:tcPr>
          <w:p w14:paraId="6842F27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无需归档</w:t>
            </w:r>
          </w:p>
        </w:tc>
        <w:tc>
          <w:tcPr>
            <w:tcW w:w="1701" w:type="dxa"/>
            <w:vAlign w:val="center"/>
          </w:tcPr>
          <w:p w14:paraId="573CCC1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1701" w:type="dxa"/>
            <w:vAlign w:val="center"/>
          </w:tcPr>
          <w:p w14:paraId="7865259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做好定期校验与备份</w:t>
            </w:r>
          </w:p>
        </w:tc>
      </w:tr>
      <w:tr w14:paraId="403B2610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35A65F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B. 交易明细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4F5140E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**主库 ≤ 6 个月**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55F1005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历史库/数仓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C1CFCE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T+1 增量归档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803380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支持监管追溯</w:t>
            </w:r>
          </w:p>
        </w:tc>
      </w:tr>
      <w:tr w14:paraId="4FB0980D">
        <w:trPr>
          <w:jc w:val="center"/>
        </w:trPr>
        <w:tc>
          <w:tcPr>
            <w:tcW w:w="1701" w:type="dxa"/>
            <w:vAlign w:val="center"/>
          </w:tcPr>
          <w:p w14:paraId="52786EC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C. 流水/日志/审计</w:t>
            </w:r>
          </w:p>
        </w:tc>
        <w:tc>
          <w:tcPr>
            <w:tcW w:w="2268" w:type="dxa"/>
            <w:vAlign w:val="center"/>
          </w:tcPr>
          <w:p w14:paraId="64BDAE9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**主库 ≤ 30 天**</w:t>
            </w:r>
          </w:p>
        </w:tc>
        <w:tc>
          <w:tcPr>
            <w:tcW w:w="2268" w:type="dxa"/>
            <w:vAlign w:val="center"/>
          </w:tcPr>
          <w:p w14:paraId="55A44CE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历史库 / NAS / 对象存储</w:t>
            </w:r>
          </w:p>
        </w:tc>
        <w:tc>
          <w:tcPr>
            <w:tcW w:w="1701" w:type="dxa"/>
            <w:vAlign w:val="center"/>
          </w:tcPr>
          <w:p w14:paraId="6E4A2DA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T+1 或周度</w:t>
            </w:r>
          </w:p>
        </w:tc>
        <w:tc>
          <w:tcPr>
            <w:tcW w:w="1701" w:type="dxa"/>
            <w:vAlign w:val="center"/>
          </w:tcPr>
          <w:p w14:paraId="2CCBBC6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异常排查留够 30 天即可</w:t>
            </w:r>
          </w:p>
        </w:tc>
      </w:tr>
      <w:tr w14:paraId="45C0C701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E6C245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D. 报表/统计中间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32A5EC1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**主库 ≤ 7 天**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6792711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可不归档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B2E10D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每日清理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B974FD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可重建，禁止长期堆积</w:t>
            </w:r>
          </w:p>
        </w:tc>
      </w:tr>
      <w:tr w14:paraId="58D30A25">
        <w:trPr>
          <w:jc w:val="center"/>
        </w:trPr>
        <w:tc>
          <w:tcPr>
            <w:tcW w:w="1701" w:type="dxa"/>
            <w:vAlign w:val="center"/>
          </w:tcPr>
          <w:p w14:paraId="7AD9A57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E. 监管/合规上送</w:t>
            </w:r>
          </w:p>
        </w:tc>
        <w:tc>
          <w:tcPr>
            <w:tcW w:w="2268" w:type="dxa"/>
            <w:vAlign w:val="center"/>
          </w:tcPr>
          <w:p w14:paraId="67C45D5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**主库 ≤ 6 个月**</w:t>
            </w:r>
          </w:p>
        </w:tc>
        <w:tc>
          <w:tcPr>
            <w:tcW w:w="2268" w:type="dxa"/>
            <w:vAlign w:val="center"/>
          </w:tcPr>
          <w:p w14:paraId="0149345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**独立历史库（必须）**</w:t>
            </w:r>
          </w:p>
        </w:tc>
        <w:tc>
          <w:tcPr>
            <w:tcW w:w="1701" w:type="dxa"/>
            <w:vAlign w:val="center"/>
          </w:tcPr>
          <w:p w14:paraId="2498573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T+1 或周度</w:t>
            </w:r>
          </w:p>
        </w:tc>
        <w:tc>
          <w:tcPr>
            <w:tcW w:w="1701" w:type="dxa"/>
            <w:vAlign w:val="center"/>
          </w:tcPr>
          <w:p w14:paraId="75AB934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长留义务由历史库承担，主库不承担</w:t>
            </w:r>
          </w:p>
        </w:tc>
      </w:tr>
      <w:tr w14:paraId="6913760E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B97F3F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F. 维度/配置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F54AA8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永久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2B759DA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12D3D5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87AFDA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不属大表治理</w:t>
            </w:r>
          </w:p>
        </w:tc>
      </w:tr>
    </w:tbl>
    <w:p w14:paraId="773D2BCB">
      <w:pPr>
        <w:spacing w:after="8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⚠ 强约束：主库不得作为长留载体；任何 ≥ 6 个月主库数据必须有归档规划；新业务上线 DDL Review 必须附《保留期方案》。</w:t>
      </w:r>
    </w:p>
    <w:p w14:paraId="0F9D5473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3.2 日增量驱动的清理策略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0AA9691">
        <w:trPr>
          <w:jc w:val="center"/>
        </w:trPr>
        <w:tc>
          <w:tcPr>
            <w:tcW w:w="1984" w:type="dxa"/>
            <w:shd w:val="clear" w:color="auto" w:fill="1F497D"/>
            <w:vAlign w:val="center"/>
          </w:tcPr>
          <w:p w14:paraId="243DF0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日增量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22BA8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清理频率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267DFE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主库保留期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700C3D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推荐分区粒度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5BB145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并发清理上限</w:t>
            </w:r>
          </w:p>
        </w:tc>
      </w:tr>
      <w:tr w14:paraId="33EDF18D">
        <w:trPr>
          <w:jc w:val="center"/>
        </w:trPr>
        <w:tc>
          <w:tcPr>
            <w:tcW w:w="1984" w:type="dxa"/>
            <w:vAlign w:val="center"/>
          </w:tcPr>
          <w:p w14:paraId="4415379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10 MB / &lt; 1 万行</w:t>
            </w:r>
          </w:p>
        </w:tc>
        <w:tc>
          <w:tcPr>
            <w:tcW w:w="1701" w:type="dxa"/>
            <w:vAlign w:val="center"/>
          </w:tcPr>
          <w:p w14:paraId="1D5810F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月度（每月 1 次）</w:t>
            </w:r>
          </w:p>
        </w:tc>
        <w:tc>
          <w:tcPr>
            <w:tcW w:w="1701" w:type="dxa"/>
            <w:vAlign w:val="center"/>
          </w:tcPr>
          <w:p w14:paraId="2D8FF8C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 个月</w:t>
            </w:r>
          </w:p>
        </w:tc>
        <w:tc>
          <w:tcPr>
            <w:tcW w:w="2268" w:type="dxa"/>
            <w:vAlign w:val="center"/>
          </w:tcPr>
          <w:p w14:paraId="014851B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月分区或不分区</w:t>
            </w:r>
          </w:p>
        </w:tc>
        <w:tc>
          <w:tcPr>
            <w:tcW w:w="1984" w:type="dxa"/>
            <w:vAlign w:val="center"/>
          </w:tcPr>
          <w:p w14:paraId="4E15B12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 ≤ 1 个分区</w:t>
            </w:r>
          </w:p>
        </w:tc>
      </w:tr>
      <w:tr w14:paraId="12E3767E">
        <w:trPr>
          <w:jc w:val="center"/>
        </w:trPr>
        <w:tc>
          <w:tcPr>
            <w:tcW w:w="1984" w:type="dxa"/>
            <w:shd w:val="clear" w:color="auto" w:fill="F7F9FC"/>
            <w:vAlign w:val="center"/>
          </w:tcPr>
          <w:p w14:paraId="4D6015B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 ~ 100 MB / 1~10 万行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04AE13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月度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53E4AE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6~12 个月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C70A9A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月分区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9413FF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 ≤ 1 个分区</w:t>
            </w:r>
          </w:p>
        </w:tc>
      </w:tr>
      <w:tr w14:paraId="5685AE8D">
        <w:trPr>
          <w:jc w:val="center"/>
        </w:trPr>
        <w:tc>
          <w:tcPr>
            <w:tcW w:w="1984" w:type="dxa"/>
            <w:vAlign w:val="center"/>
          </w:tcPr>
          <w:p w14:paraId="3D452A6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**100 MB ~ 1 GB / 10~100 万行**</w:t>
            </w:r>
          </w:p>
        </w:tc>
        <w:tc>
          <w:tcPr>
            <w:tcW w:w="1701" w:type="dxa"/>
            <w:vAlign w:val="center"/>
          </w:tcPr>
          <w:p w14:paraId="524578A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**周度**</w:t>
            </w:r>
          </w:p>
        </w:tc>
        <w:tc>
          <w:tcPr>
            <w:tcW w:w="1701" w:type="dxa"/>
            <w:vAlign w:val="center"/>
          </w:tcPr>
          <w:p w14:paraId="0C252DB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**3~6 个月**</w:t>
            </w:r>
          </w:p>
        </w:tc>
        <w:tc>
          <w:tcPr>
            <w:tcW w:w="2268" w:type="dxa"/>
            <w:vAlign w:val="center"/>
          </w:tcPr>
          <w:p w14:paraId="01EF044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**周分区或月分区**</w:t>
            </w:r>
          </w:p>
        </w:tc>
        <w:tc>
          <w:tcPr>
            <w:tcW w:w="1984" w:type="dxa"/>
            <w:vAlign w:val="center"/>
          </w:tcPr>
          <w:p w14:paraId="4761ADB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 ≤ 4 个分区</w:t>
            </w:r>
          </w:p>
        </w:tc>
      </w:tr>
      <w:tr w14:paraId="2A85A1EE">
        <w:trPr>
          <w:jc w:val="center"/>
        </w:trPr>
        <w:tc>
          <w:tcPr>
            <w:tcW w:w="1984" w:type="dxa"/>
            <w:shd w:val="clear" w:color="auto" w:fill="F7F9FC"/>
            <w:vAlign w:val="center"/>
          </w:tcPr>
          <w:p w14:paraId="5955723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**1 ~ 5 GB / 100~500 万行**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37E907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**每日**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D787A2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**30~90 天**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23FEDBD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**天分区**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66120D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 ≤ 7 个分区</w:t>
            </w:r>
          </w:p>
        </w:tc>
      </w:tr>
      <w:tr w14:paraId="125465FF">
        <w:trPr>
          <w:jc w:val="center"/>
        </w:trPr>
        <w:tc>
          <w:tcPr>
            <w:tcW w:w="1984" w:type="dxa"/>
            <w:vAlign w:val="center"/>
          </w:tcPr>
          <w:p w14:paraId="33EAC2D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5 GB / ≥ 500 万行**</w:t>
            </w:r>
          </w:p>
        </w:tc>
        <w:tc>
          <w:tcPr>
            <w:tcW w:w="1701" w:type="dxa"/>
            <w:vAlign w:val="center"/>
          </w:tcPr>
          <w:p w14:paraId="7818AE4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**每日 + 实时归档**</w:t>
            </w:r>
          </w:p>
        </w:tc>
        <w:tc>
          <w:tcPr>
            <w:tcW w:w="1701" w:type="dxa"/>
            <w:vAlign w:val="center"/>
          </w:tcPr>
          <w:p w14:paraId="5408322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**7~30 天**</w:t>
            </w:r>
          </w:p>
        </w:tc>
        <w:tc>
          <w:tcPr>
            <w:tcW w:w="2268" w:type="dxa"/>
            <w:vAlign w:val="center"/>
          </w:tcPr>
          <w:p w14:paraId="4EF171B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**天分区，必要时 4 小时分区**</w:t>
            </w:r>
          </w:p>
        </w:tc>
        <w:tc>
          <w:tcPr>
            <w:tcW w:w="1984" w:type="dxa"/>
            <w:vAlign w:val="center"/>
          </w:tcPr>
          <w:p w14:paraId="05B1EC6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 ≤ 3 个分区</w:t>
            </w:r>
          </w:p>
        </w:tc>
      </w:tr>
    </w:tbl>
    <w:p w14:paraId="7C91DE21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执行节奏建议：清理任务必须落到行内统一调度系统（如 Control-M / DolphinScheduler），不允许放在 MySQL EVENT 中执行；执行窗口选择业务低峰（建议 02:00-04:30），避开备份窗口与跑批窗口。</w:t>
      </w:r>
    </w:p>
    <w:p w14:paraId="3DF61533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3.3 分区改造判定矩阵</w:t>
      </w:r>
    </w:p>
    <w:p w14:paraId="235736C3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满足下表任一条件即必须分区改造：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72E90F1">
        <w:trPr>
          <w:jc w:val="center"/>
        </w:trPr>
        <w:tc>
          <w:tcPr>
            <w:tcW w:w="850" w:type="dxa"/>
            <w:shd w:val="clear" w:color="auto" w:fill="1F497D"/>
            <w:vAlign w:val="center"/>
          </w:tcPr>
          <w:p w14:paraId="336538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131791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条件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5905A7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推荐分区方案</w:t>
            </w:r>
          </w:p>
        </w:tc>
      </w:tr>
      <w:tr w14:paraId="6B16668E">
        <w:trPr>
          <w:jc w:val="center"/>
        </w:trPr>
        <w:tc>
          <w:tcPr>
            <w:tcW w:w="850" w:type="dxa"/>
            <w:vAlign w:val="center"/>
          </w:tcPr>
          <w:p w14:paraId="5BC6A2F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w="5386" w:type="dxa"/>
            <w:vAlign w:val="center"/>
          </w:tcPr>
          <w:p w14:paraId="5D69090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数据量 ≥ 10 GB（达到 L2 重点大表）</w:t>
            </w:r>
          </w:p>
        </w:tc>
        <w:tc>
          <w:tcPr>
            <w:tcW w:w="3402" w:type="dxa"/>
            <w:vAlign w:val="center"/>
          </w:tcPr>
          <w:p w14:paraId="42033F5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时间维度：RANGE BY 月/天；非时间维度：HASH BY 主键</w:t>
            </w:r>
          </w:p>
        </w:tc>
      </w:tr>
      <w:tr w14:paraId="77589712">
        <w:trPr>
          <w:jc w:val="center"/>
        </w:trPr>
        <w:tc>
          <w:tcPr>
            <w:tcW w:w="850" w:type="dxa"/>
            <w:shd w:val="clear" w:color="auto" w:fill="F7F9FC"/>
            <w:vAlign w:val="center"/>
          </w:tcPr>
          <w:p w14:paraId="0A137C2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w="5386" w:type="dxa"/>
            <w:shd w:val="clear" w:color="auto" w:fill="F7F9FC"/>
            <w:vAlign w:val="center"/>
          </w:tcPr>
          <w:p w14:paraId="0042D93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行数 ≥ 3000 万行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4C2F62B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RANGE BY 时间 + HASH BY 业务键（二级分区）</w:t>
            </w:r>
          </w:p>
        </w:tc>
      </w:tr>
      <w:tr w14:paraId="614FBCD2">
        <w:trPr>
          <w:jc w:val="center"/>
        </w:trPr>
        <w:tc>
          <w:tcPr>
            <w:tcW w:w="850" w:type="dxa"/>
            <w:vAlign w:val="center"/>
          </w:tcPr>
          <w:p w14:paraId="4FC0295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w="5386" w:type="dxa"/>
            <w:vAlign w:val="center"/>
          </w:tcPr>
          <w:p w14:paraId="0DADF3C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日增量 ≥ 1 GB</w:t>
            </w:r>
          </w:p>
        </w:tc>
        <w:tc>
          <w:tcPr>
            <w:tcW w:w="3402" w:type="dxa"/>
            <w:vAlign w:val="center"/>
          </w:tcPr>
          <w:p w14:paraId="168D4E5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RANGE BY 天分区</w:t>
            </w:r>
          </w:p>
        </w:tc>
      </w:tr>
      <w:tr w14:paraId="0F4D8BC4">
        <w:trPr>
          <w:jc w:val="center"/>
        </w:trPr>
        <w:tc>
          <w:tcPr>
            <w:tcW w:w="850" w:type="dxa"/>
            <w:shd w:val="clear" w:color="auto" w:fill="F7F9FC"/>
            <w:vAlign w:val="center"/>
          </w:tcPr>
          <w:p w14:paraId="10F62C9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w="5386" w:type="dxa"/>
            <w:shd w:val="clear" w:color="auto" w:fill="F7F9FC"/>
            <w:vAlign w:val="center"/>
          </w:tcPr>
          <w:p w14:paraId="03729F8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业务有 DELETE WHERE time&lt;… 历史数据需求且单次删 ≥ 100 万行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224D1A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RANGE BY 时间，DELETE 改为 DROP PARTITION</w:t>
            </w:r>
          </w:p>
        </w:tc>
      </w:tr>
      <w:tr w14:paraId="3F3B113C">
        <w:trPr>
          <w:jc w:val="center"/>
        </w:trPr>
        <w:tc>
          <w:tcPr>
            <w:tcW w:w="850" w:type="dxa"/>
            <w:vAlign w:val="center"/>
          </w:tcPr>
          <w:p w14:paraId="0AE6DDB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w="5386" w:type="dxa"/>
            <w:vAlign w:val="center"/>
          </w:tcPr>
          <w:p w14:paraId="76EF3DE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已经因为 DELETE 大事务引发过主备延迟/binlog 暴涨</w:t>
            </w:r>
          </w:p>
        </w:tc>
        <w:tc>
          <w:tcPr>
            <w:tcW w:w="3402" w:type="dxa"/>
            <w:vAlign w:val="center"/>
          </w:tcPr>
          <w:p w14:paraId="78461F5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RANGE BY 时间（强制）</w:t>
            </w:r>
          </w:p>
        </w:tc>
      </w:tr>
      <w:tr w14:paraId="4EE2EC3E">
        <w:trPr>
          <w:jc w:val="center"/>
        </w:trPr>
        <w:tc>
          <w:tcPr>
            <w:tcW w:w="850" w:type="dxa"/>
            <w:shd w:val="clear" w:color="auto" w:fill="F7F9FC"/>
            <w:vAlign w:val="center"/>
          </w:tcPr>
          <w:p w14:paraId="12EFEEA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⑥</w:t>
            </w:r>
          </w:p>
        </w:tc>
        <w:tc>
          <w:tcPr>
            <w:tcW w:w="5386" w:type="dxa"/>
            <w:shd w:val="clear" w:color="auto" w:fill="F7F9FC"/>
            <w:vAlign w:val="center"/>
          </w:tcPr>
          <w:p w14:paraId="0F913A0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TDSQL 分布式实例 + 单 SET 上的表 ≥ 10 GB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01039F6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（已分片）+ 一级 RANGE 时间分区</w:t>
            </w:r>
          </w:p>
        </w:tc>
      </w:tr>
    </w:tbl>
    <w:p w14:paraId="2B290729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>四、分区清理方式与锁机制（重点）</w:t>
      </w:r>
    </w:p>
    <w:p w14:paraId="4EC39076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4.1 三种清理方式的对比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0284A804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133FE2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方式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0A5B80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持锁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67A1AA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 DML 影响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6D375F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速度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5C8DF5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释放磁盘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73B842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本规范是否推荐</w:t>
            </w:r>
          </w:p>
        </w:tc>
      </w:tr>
      <w:tr w14:paraId="09D51159">
        <w:trPr>
          <w:jc w:val="center"/>
        </w:trPr>
        <w:tc>
          <w:tcPr>
            <w:tcW w:w="2268" w:type="dxa"/>
            <w:vAlign w:val="center"/>
          </w:tcPr>
          <w:p w14:paraId="519564B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DROP PARTITION</w:t>
            </w:r>
          </w:p>
        </w:tc>
        <w:tc>
          <w:tcPr>
            <w:tcW w:w="2835" w:type="dxa"/>
            <w:vAlign w:val="center"/>
          </w:tcPr>
          <w:p w14:paraId="3DB7105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整表 MDL_EXCLUSIVE（短时）</w:t>
            </w:r>
          </w:p>
        </w:tc>
        <w:tc>
          <w:tcPr>
            <w:tcW w:w="2268" w:type="dxa"/>
            <w:vAlign w:val="center"/>
          </w:tcPr>
          <w:p w14:paraId="1C9D47E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短时阻塞（秒级）</w:t>
            </w:r>
          </w:p>
        </w:tc>
        <w:tc>
          <w:tcPr>
            <w:tcW w:w="1417" w:type="dxa"/>
            <w:vAlign w:val="center"/>
          </w:tcPr>
          <w:p w14:paraId="69E8452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秒级</w:t>
            </w:r>
          </w:p>
        </w:tc>
        <w:tc>
          <w:tcPr>
            <w:tcW w:w="1417" w:type="dxa"/>
            <w:vAlign w:val="center"/>
          </w:tcPr>
          <w:p w14:paraId="3272CAA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立即释放</w:t>
            </w:r>
          </w:p>
        </w:tc>
        <w:tc>
          <w:tcPr>
            <w:tcW w:w="2268" w:type="dxa"/>
            <w:vAlign w:val="center"/>
          </w:tcPr>
          <w:p w14:paraId="520B33A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⭐⭐⭐⭐⭐ **推荐（首选）**</w:t>
            </w:r>
          </w:p>
        </w:tc>
      </w:tr>
      <w:tr w14:paraId="4D6A5A1A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22EBCD9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TRUNCATE PARTITION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439810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**整表 MDL_EXCLUSIVE（长时）**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5081F0A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**长时阻塞所有 DML**</w:t>
            </w:r>
          </w:p>
        </w:tc>
        <w:tc>
          <w:tcPr>
            <w:tcW w:w="1417" w:type="dxa"/>
            <w:shd w:val="clear" w:color="auto" w:fill="F7F9FC"/>
            <w:vAlign w:val="center"/>
          </w:tcPr>
          <w:p w14:paraId="13160BF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秒~分钟级</w:t>
            </w:r>
          </w:p>
        </w:tc>
        <w:tc>
          <w:tcPr>
            <w:tcW w:w="1417" w:type="dxa"/>
            <w:shd w:val="clear" w:color="auto" w:fill="F7F9FC"/>
            <w:vAlign w:val="center"/>
          </w:tcPr>
          <w:p w14:paraId="2D03E1B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立即释放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882920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**不推荐**（官方明确不推荐）</w:t>
            </w:r>
          </w:p>
        </w:tc>
      </w:tr>
      <w:tr w14:paraId="69574F4B">
        <w:trPr>
          <w:jc w:val="center"/>
        </w:trPr>
        <w:tc>
          <w:tcPr>
            <w:tcW w:w="2268" w:type="dxa"/>
            <w:vAlign w:val="center"/>
          </w:tcPr>
          <w:p w14:paraId="5741368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 WHERE part_key…</w:t>
            </w:r>
          </w:p>
        </w:tc>
        <w:tc>
          <w:tcPr>
            <w:tcW w:w="2835" w:type="dxa"/>
            <w:vAlign w:val="center"/>
          </w:tcPr>
          <w:p w14:paraId="357E0BD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行锁</w:t>
            </w:r>
          </w:p>
        </w:tc>
        <w:tc>
          <w:tcPr>
            <w:tcW w:w="2268" w:type="dxa"/>
            <w:vAlign w:val="center"/>
          </w:tcPr>
          <w:p w14:paraId="05DC444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几乎不阻塞 DML</w:t>
            </w:r>
          </w:p>
        </w:tc>
        <w:tc>
          <w:tcPr>
            <w:tcW w:w="1417" w:type="dxa"/>
            <w:vAlign w:val="center"/>
          </w:tcPr>
          <w:p w14:paraId="488D051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慢（取决于行数）</w:t>
            </w:r>
          </w:p>
        </w:tc>
        <w:tc>
          <w:tcPr>
            <w:tcW w:w="1417" w:type="dxa"/>
            <w:vAlign w:val="center"/>
          </w:tcPr>
          <w:p w14:paraId="6174F0E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不释放（需 OPTIMIZE）</w:t>
            </w:r>
          </w:p>
        </w:tc>
        <w:tc>
          <w:tcPr>
            <w:tcW w:w="2268" w:type="dxa"/>
            <w:vAlign w:val="center"/>
          </w:tcPr>
          <w:p w14:paraId="0D4513A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⭐⭐⭐ 仅在含全局索引或不允许停业务时使用</w:t>
            </w:r>
          </w:p>
        </w:tc>
      </w:tr>
    </w:tbl>
    <w:p w14:paraId="5F2C96BB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28"/>
        </w:rPr>
        <w:t>4.2 TRUNCATE PARTITION 的锁矩阵（来源：TXSQL 内核多层级锁设计文档）</w:t>
      </w:r>
    </w:p>
    <w:p w14:paraId="2112A838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对单个 DN 节点执行 ALTER TABLE t1 TRUNCATE PARTITION p0，实际持有的 MDL 锁如下（已从内核 GDB dump 验证）：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A321331">
        <w:trPr>
          <w:jc w:val="center"/>
        </w:trPr>
        <w:tc>
          <w:tcPr>
            <w:tcW w:w="3118" w:type="dxa"/>
            <w:shd w:val="clear" w:color="auto" w:fill="1F497D"/>
            <w:vAlign w:val="center"/>
          </w:tcPr>
          <w:p w14:paraId="648984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锁对象（MDL_key）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2D6899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锁类型</w:t>
            </w:r>
          </w:p>
        </w:tc>
        <w:tc>
          <w:tcPr>
            <w:tcW w:w="4819" w:type="dxa"/>
            <w:shd w:val="clear" w:color="auto" w:fill="1F497D"/>
            <w:vAlign w:val="center"/>
          </w:tcPr>
          <w:p w14:paraId="459800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影响</w:t>
            </w:r>
          </w:p>
        </w:tc>
      </w:tr>
      <w:tr w14:paraId="14AF00B8">
        <w:trPr>
          <w:jc w:val="center"/>
        </w:trPr>
        <w:tc>
          <w:tcPr>
            <w:tcW w:w="3118" w:type="dxa"/>
            <w:vAlign w:val="center"/>
          </w:tcPr>
          <w:p w14:paraId="110389E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TABLE 整表 t1</w:t>
            </w:r>
          </w:p>
        </w:tc>
        <w:tc>
          <w:tcPr>
            <w:tcW w:w="2268" w:type="dxa"/>
            <w:vAlign w:val="center"/>
          </w:tcPr>
          <w:p w14:paraId="59F7E72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**MDL_EXCLUSIVE（X 锁）**</w:t>
            </w:r>
          </w:p>
        </w:tc>
        <w:tc>
          <w:tcPr>
            <w:tcW w:w="4819" w:type="dxa"/>
            <w:vAlign w:val="center"/>
          </w:tcPr>
          <w:p w14:paraId="5C0B58C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**整表互斥锁，阻塞所有 DML、DDL、DML/SELECT 等待**</w:t>
            </w:r>
          </w:p>
        </w:tc>
      </w:tr>
      <w:tr w14:paraId="22BF9272"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 w14:paraId="602A587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TABLESPACE p0（被截分区）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471B565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MDL_EXCLUSIVE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17F032A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目标分区表空间互斥</w:t>
            </w:r>
          </w:p>
        </w:tc>
      </w:tr>
      <w:tr w14:paraId="53AB01AB">
        <w:trPr>
          <w:jc w:val="center"/>
        </w:trPr>
        <w:tc>
          <w:tcPr>
            <w:tcW w:w="3118" w:type="dxa"/>
            <w:vAlign w:val="center"/>
          </w:tcPr>
          <w:p w14:paraId="624870A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TABLESPACE p1/p2/…（其它分区）</w:t>
            </w:r>
          </w:p>
        </w:tc>
        <w:tc>
          <w:tcPr>
            <w:tcW w:w="2268" w:type="dxa"/>
            <w:vAlign w:val="center"/>
          </w:tcPr>
          <w:p w14:paraId="7A24A69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MDL_INTENTION_EXCLUSIVE</w:t>
            </w:r>
          </w:p>
        </w:tc>
        <w:tc>
          <w:tcPr>
            <w:tcW w:w="4819" w:type="dxa"/>
            <w:vAlign w:val="center"/>
          </w:tcPr>
          <w:p w14:paraId="3995792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其它分区只是意向锁，无实质阻塞</w:t>
            </w:r>
          </w:p>
        </w:tc>
      </w:tr>
      <w:tr w14:paraId="462ED2DA"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 w14:paraId="735871E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SCHEMA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3750119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MDL_INTENTION_EXCLUSIVE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71A36D6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库级意向锁</w:t>
            </w:r>
          </w:p>
        </w:tc>
      </w:tr>
      <w:tr w14:paraId="575666BE">
        <w:trPr>
          <w:jc w:val="center"/>
        </w:trPr>
        <w:tc>
          <w:tcPr>
            <w:tcW w:w="3118" w:type="dxa"/>
            <w:vAlign w:val="center"/>
          </w:tcPr>
          <w:p w14:paraId="5BF6F32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BACKUP_LOCK</w:t>
            </w:r>
          </w:p>
        </w:tc>
        <w:tc>
          <w:tcPr>
            <w:tcW w:w="2268" w:type="dxa"/>
            <w:vAlign w:val="center"/>
          </w:tcPr>
          <w:p w14:paraId="29EAFE9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MDL_INTENTION_EXCLUSIVE</w:t>
            </w:r>
          </w:p>
        </w:tc>
        <w:tc>
          <w:tcPr>
            <w:tcW w:w="4819" w:type="dxa"/>
            <w:vAlign w:val="center"/>
          </w:tcPr>
          <w:p w14:paraId="0200839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备份意向锁</w:t>
            </w:r>
          </w:p>
        </w:tc>
      </w:tr>
      <w:tr w14:paraId="16741937">
        <w:trPr>
          <w:jc w:val="center"/>
        </w:trPr>
        <w:tc>
          <w:tcPr>
            <w:tcW w:w="3118" w:type="dxa"/>
            <w:shd w:val="clear" w:color="auto" w:fill="F7F9FC"/>
            <w:vAlign w:val="center"/>
          </w:tcPr>
          <w:p w14:paraId="1FAB9E2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TABLE SDI（系统数据字典）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C1CC06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MDL_EXCLUSIVE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706C5EF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系统字典表锁</w:t>
            </w:r>
          </w:p>
        </w:tc>
      </w:tr>
    </w:tbl>
    <w:p w14:paraId="3FE80153">
      <w:pPr>
        <w:spacing w:after="8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⚠ 结论：TRUNCATE PARTITION 本质是『表级 X 锁』，对 DML 阻塞时间 ≈ truncate 整个分区文件耗时，与表大小、分区大小线性相关。本规范明确禁止在业务时段使用 TRUNCATE PARTITION。</w:t>
      </w:r>
    </w:p>
    <w:p w14:paraId="1C2EBB49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4.3 DROP PARTITION 的锁与执行机制</w:t>
      </w:r>
    </w:p>
    <w:p w14:paraId="7DA12EAB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DROP PARTITION 同样需要表级 MDL_EXCLUSIVE，但它**不需要重写数据文件**，本质上等同于：</w:t>
      </w:r>
    </w:p>
    <w:p w14:paraId="3705CBC9">
      <w:pPr>
        <w:spacing w:after="120" w:line="360" w:lineRule="auto"/>
        <w:outlineLvl w:val="2"/>
      </w:pPr>
      <w:r>
        <w:rPr>
          <w:rFonts w:ascii="微软雅黑" w:hAnsi="微软雅黑" w:eastAsia="微软雅黑"/>
          <w:b w:val="0"/>
          <w:sz w:val="22"/>
        </w:rPr>
        <w:t>（1）从数据字典中移除该分区元数据；</w:t>
      </w:r>
    </w:p>
    <w:p w14:paraId="2B986D50"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（2）将对应 .ibd 文件标记删除，由后台异步清理（开启 ASYNC_DROP 模式时）。</w:t>
      </w:r>
    </w:p>
    <w:p w14:paraId="30992FE4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因此 DROP PARTITION 的持表 X 锁时间为**秒级**，远短于 TRUNCATE PARTITION，是本规范推荐的首选清理方式。</w:t>
      </w:r>
    </w:p>
    <w:p w14:paraId="46DC0438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4.4 含全局索引分区表的特殊约束</w:t>
      </w:r>
    </w:p>
    <w:p w14:paraId="560FA6DB">
      <w:pPr>
        <w:spacing w:after="8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⚠ 若分区表含全局索引（GLOBAL INDEX），DROP/TRUNCATE PARTITION 均不再是 online DDL，需要重建全局索引，持锁时间会显著延长。</w:t>
      </w:r>
    </w:p>
    <w:p w14:paraId="32AF86F4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对此类表，本规范要求：</w:t>
      </w:r>
    </w:p>
    <w:p w14:paraId="68C6BC61"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多个分区需一并清理时，**必须合并为一条 DDL**：DROP PARTITION p1, p2, p3；以减少全局索引重建次数；</w:t>
      </w:r>
    </w:p>
    <w:p w14:paraId="23782129"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若变更窗口紧张，应改为 DELETE 方式清理，避免 DDL 阻塞超时；</w:t>
      </w:r>
    </w:p>
    <w:p w14:paraId="7D9697FA"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清理前必须执行 ANALYZE TABLE 校验全局索引完整性。</w:t>
      </w:r>
    </w:p>
    <w:p w14:paraId="2DC9AA7C">
      <w:pPr>
        <w:spacing w:before="240" w:after="120"/>
        <w:outlineLvl w:val="1"/>
      </w:pPr>
      <w:r>
        <w:rPr>
          <w:rFonts w:ascii="微软雅黑" w:hAnsi="微软雅黑" w:eastAsia="微软雅黑"/>
          <w:b/>
          <w:color w:val="1F497D"/>
          <w:sz w:val="28"/>
        </w:rPr>
        <w:t>4.5 清理决策树（规定动作）</w:t>
      </w:r>
    </w:p>
    <w:p w14:paraId="5968159E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运维人员清理大表分区时，必须按以下决策树执行：</w:t>
      </w:r>
    </w:p>
    <w:p w14:paraId="2E6DE0F8">
      <w:pPr>
        <w:shd w:val="clear" w:color="auto" w:fill="F4F4F4"/>
        <w:spacing w:after="120" w:line="288" w:lineRule="auto"/>
        <w:ind w:left="283"/>
      </w:pPr>
      <w:r>
        <w:rPr>
          <w:rFonts w:ascii="Menlo" w:hAnsi="Menlo" w:eastAsia="Menlo"/>
          <w:b w:val="0"/>
          <w:sz w:val="18"/>
        </w:rPr>
        <w:t xml:space="preserve">                     ┌─────────────────────────────────┐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          │  待清理对象是否为分区表？  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          └─────────────┬───────────────────┘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                  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            ┌───────────┴───────────┐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            │ 是                    │ 否（普通表）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            ▼                       ▼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┌────────────────────────┐    ┌──────────────────────┐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│ 该分区表是否含全局索引 │    │ 表大小 ≥ 阈值？ 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│ （GLOBAL INDEX）？     │    │ （innodb_async_table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└─────────┬──────────────┘    │  _size，默认 2GB）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      │                   └────────┬─────────────┘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┌─────────┴─────────┐            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│ 否                │ 是          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▼                   ▼                  ▼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┌──────────────┐  ┌──────────────────┐  ┌──────────────────────┐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│ DROP PARTITION│  │ DELETE 改写       │  │ 异步 DROP TABLE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│ （首选 ✅）   │  │ 或 变更窗口内     │  │（ASYNC_DROP 模式）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│ 多分区合并    │  │ DROP PARTITION    │  │ 禁止 rm -rf    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│ 一条 DDL     │  │ 多分区合并         │  │                      │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└──────────────┘  └──────────────────┘  └──────────────────────┘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🚫 任何场景下都不得使用 TRUNCATE PARTITION</w:t>
      </w:r>
      <w:r>
        <w:rPr>
          <w:rFonts w:ascii="Menlo" w:hAnsi="Menlo" w:eastAsia="Menlo"/>
          <w:b w:val="0"/>
          <w:sz w:val="18"/>
        </w:rPr>
        <w:br w:type="textWrapping"/>
      </w:r>
    </w:p>
    <w:p w14:paraId="010C3731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>五、超大表 DROP TABLE 操作规范</w:t>
      </w:r>
    </w:p>
    <w:p w14:paraId="5E053B80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针对 L2/L3 等级（≥ 10 GB）整表 DROP 场景，必须按以下规范执行：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32047B0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1BC87D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</w:t>
            </w:r>
          </w:p>
        </w:tc>
        <w:tc>
          <w:tcPr>
            <w:tcW w:w="7370" w:type="dxa"/>
            <w:shd w:val="clear" w:color="auto" w:fill="1F497D"/>
            <w:vAlign w:val="center"/>
          </w:tcPr>
          <w:p w14:paraId="4F98AE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强制要求</w:t>
            </w:r>
          </w:p>
        </w:tc>
      </w:tr>
      <w:tr w14:paraId="559CD9CF">
        <w:trPr>
          <w:jc w:val="center"/>
        </w:trPr>
        <w:tc>
          <w:tcPr>
            <w:tcW w:w="2268" w:type="dxa"/>
            <w:vAlign w:val="center"/>
          </w:tcPr>
          <w:p w14:paraId="23A22E0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7041779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必须有完整物理备份 + 逻辑备份；备份验证通过；变更工单已审批；变更窗口已申请</w:t>
            </w:r>
          </w:p>
        </w:tc>
      </w:tr>
      <w:tr w14:paraId="419BA995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68DA0FD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参数配置</w:t>
            </w:r>
          </w:p>
        </w:tc>
        <w:tc>
          <w:tcPr>
            <w:tcW w:w="7370" w:type="dxa"/>
            <w:shd w:val="clear" w:color="auto" w:fill="F7F9FC"/>
            <w:vAlign w:val="center"/>
          </w:tcPr>
          <w:p w14:paraId="39AF3D4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innodb_table_drop_mode = ASYNC_DROP；innodb_async_drop_tmp_dir 配置好；innodb_async_truncate_size = 128（MB）；innodb_fast_ahi_cleanup_for_drop_table = ON</w:t>
            </w:r>
          </w:p>
        </w:tc>
      </w:tr>
      <w:tr w14:paraId="1658AA96">
        <w:trPr>
          <w:jc w:val="center"/>
        </w:trPr>
        <w:tc>
          <w:tcPr>
            <w:tcW w:w="2268" w:type="dxa"/>
            <w:vAlign w:val="center"/>
          </w:tcPr>
          <w:p w14:paraId="210F43F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执行时段</w:t>
            </w:r>
          </w:p>
        </w:tc>
        <w:tc>
          <w:tcPr>
            <w:tcW w:w="7370" w:type="dxa"/>
            <w:vAlign w:val="center"/>
          </w:tcPr>
          <w:p w14:paraId="017AD77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**仅在变更窗口内**（建议 02:00-05:00），禁止业务时段</w:t>
            </w:r>
          </w:p>
        </w:tc>
      </w:tr>
      <w:tr w14:paraId="54BBF594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091DB0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禁止操作</w:t>
            </w:r>
          </w:p>
        </w:tc>
        <w:tc>
          <w:tcPr>
            <w:tcW w:w="7370" w:type="dxa"/>
            <w:shd w:val="clear" w:color="auto" w:fill="F7F9FC"/>
            <w:vAlign w:val="center"/>
          </w:tcPr>
          <w:p w14:paraId="28CA71E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严禁 rm -rf 物理 .ibd 文件（可能导致实例无法重启）</w:t>
            </w:r>
          </w:p>
        </w:tc>
      </w:tr>
      <w:tr w14:paraId="56173DA5">
        <w:trPr>
          <w:jc w:val="center"/>
        </w:trPr>
        <w:tc>
          <w:tcPr>
            <w:tcW w:w="2268" w:type="dxa"/>
            <w:vAlign w:val="center"/>
          </w:tcPr>
          <w:p w14:paraId="2820F9B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禁止操作</w:t>
            </w:r>
          </w:p>
        </w:tc>
        <w:tc>
          <w:tcPr>
            <w:tcW w:w="7370" w:type="dxa"/>
            <w:vAlign w:val="center"/>
          </w:tcPr>
          <w:p w14:paraId="01DE47F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严禁同步 DROP（即不开 ASYNC_DROP），易触发 IO 风暴 + 长时 dict_sys-&gt;mutex 锁，可能引发主备切换</w:t>
            </w:r>
          </w:p>
        </w:tc>
      </w:tr>
      <w:tr w14:paraId="535EF542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707D186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执行后</w:t>
            </w:r>
          </w:p>
        </w:tc>
        <w:tc>
          <w:tcPr>
            <w:tcW w:w="7370" w:type="dxa"/>
            <w:shd w:val="clear" w:color="auto" w:fill="F7F9FC"/>
            <w:vAlign w:val="center"/>
          </w:tcPr>
          <w:p w14:paraId="4DF67E1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观察 IO/CPU 至少 30 分钟；检查后台异步删除进度；core / err 日志巡检</w:t>
            </w:r>
          </w:p>
        </w:tc>
      </w:tr>
      <w:tr w14:paraId="31DEDADE">
        <w:trPr>
          <w:jc w:val="center"/>
        </w:trPr>
        <w:tc>
          <w:tcPr>
            <w:tcW w:w="2268" w:type="dxa"/>
            <w:vAlign w:val="center"/>
          </w:tcPr>
          <w:p w14:paraId="095222E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回退预案</w:t>
            </w:r>
          </w:p>
        </w:tc>
        <w:tc>
          <w:tcPr>
            <w:tcW w:w="7370" w:type="dxa"/>
            <w:vAlign w:val="center"/>
          </w:tcPr>
          <w:p w14:paraId="14BF447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DROP 前必须双备份（物理 + 逻辑），并明确回退 SOP</w:t>
            </w:r>
          </w:p>
        </w:tc>
      </w:tr>
    </w:tbl>
    <w:p w14:paraId="15AB2494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>六、运维巡检与监控要求</w:t>
      </w:r>
    </w:p>
    <w:p w14:paraId="73B918D1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28"/>
        </w:rPr>
        <w:t>6.1 周期巡检（强制）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BE8CB98">
        <w:trPr>
          <w:jc w:val="center"/>
        </w:trPr>
        <w:tc>
          <w:tcPr>
            <w:tcW w:w="3402" w:type="dxa"/>
            <w:shd w:val="clear" w:color="auto" w:fill="1F497D"/>
            <w:vAlign w:val="center"/>
          </w:tcPr>
          <w:p w14:paraId="6A19B6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巡检项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5FFDDD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频率</w:t>
            </w:r>
          </w:p>
        </w:tc>
        <w:tc>
          <w:tcPr>
            <w:tcW w:w="3685" w:type="dxa"/>
            <w:shd w:val="clear" w:color="auto" w:fill="1F497D"/>
            <w:vAlign w:val="center"/>
          </w:tcPr>
          <w:p w14:paraId="6FF54F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阈值告警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258D9B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责任方</w:t>
            </w:r>
          </w:p>
        </w:tc>
      </w:tr>
      <w:tr w14:paraId="0BBE65CA">
        <w:trPr>
          <w:jc w:val="center"/>
        </w:trPr>
        <w:tc>
          <w:tcPr>
            <w:tcW w:w="3402" w:type="dxa"/>
            <w:vAlign w:val="center"/>
          </w:tcPr>
          <w:p w14:paraId="089E1C2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实例 TOP 大表清单（≥ L1 阈值）</w:t>
            </w:r>
          </w:p>
        </w:tc>
        <w:tc>
          <w:tcPr>
            <w:tcW w:w="1417" w:type="dxa"/>
            <w:vAlign w:val="center"/>
          </w:tcPr>
          <w:p w14:paraId="791F360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周度</w:t>
            </w:r>
          </w:p>
        </w:tc>
        <w:tc>
          <w:tcPr>
            <w:tcW w:w="3685" w:type="dxa"/>
            <w:vAlign w:val="center"/>
          </w:tcPr>
          <w:p w14:paraId="6D424B8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新增 L1 → 通知；新增 L2 → 升级；新增 L3 → 紧急升级</w:t>
            </w:r>
          </w:p>
        </w:tc>
        <w:tc>
          <w:tcPr>
            <w:tcW w:w="1134" w:type="dxa"/>
            <w:vAlign w:val="center"/>
          </w:tcPr>
          <w:p w14:paraId="3C2628A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</w:t>
            </w:r>
          </w:p>
        </w:tc>
      </w:tr>
      <w:tr w14:paraId="59A810A5"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45ED569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分区表分区数水位</w:t>
            </w:r>
          </w:p>
        </w:tc>
        <w:tc>
          <w:tcPr>
            <w:tcW w:w="1417" w:type="dxa"/>
            <w:shd w:val="clear" w:color="auto" w:fill="F7F9FC"/>
            <w:vAlign w:val="center"/>
          </w:tcPr>
          <w:p w14:paraId="1988863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周度</w:t>
            </w:r>
          </w:p>
        </w:tc>
        <w:tc>
          <w:tcPr>
            <w:tcW w:w="3685" w:type="dxa"/>
            <w:shd w:val="clear" w:color="auto" w:fill="F7F9FC"/>
            <w:vAlign w:val="center"/>
          </w:tcPr>
          <w:p w14:paraId="384346B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≥ 600（60% 水位）告警；≥ 800（80% 水位）紧急</w:t>
            </w:r>
          </w:p>
        </w:tc>
        <w:tc>
          <w:tcPr>
            <w:tcW w:w="1134" w:type="dxa"/>
            <w:shd w:val="clear" w:color="auto" w:fill="F7F9FC"/>
            <w:vAlign w:val="center"/>
          </w:tcPr>
          <w:p w14:paraId="74C1D59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</w:t>
            </w:r>
          </w:p>
        </w:tc>
      </w:tr>
      <w:tr w14:paraId="5784B458">
        <w:trPr>
          <w:jc w:val="center"/>
        </w:trPr>
        <w:tc>
          <w:tcPr>
            <w:tcW w:w="3402" w:type="dxa"/>
            <w:vAlign w:val="center"/>
          </w:tcPr>
          <w:p w14:paraId="117E154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分区清理任务执行状态</w:t>
            </w:r>
          </w:p>
        </w:tc>
        <w:tc>
          <w:tcPr>
            <w:tcW w:w="1417" w:type="dxa"/>
            <w:vAlign w:val="center"/>
          </w:tcPr>
          <w:p w14:paraId="6235891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日度</w:t>
            </w:r>
          </w:p>
        </w:tc>
        <w:tc>
          <w:tcPr>
            <w:tcW w:w="3685" w:type="dxa"/>
            <w:vAlign w:val="center"/>
          </w:tcPr>
          <w:p w14:paraId="70C1DE6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失败/未执行 → 告警</w:t>
            </w:r>
          </w:p>
        </w:tc>
        <w:tc>
          <w:tcPr>
            <w:tcW w:w="1134" w:type="dxa"/>
            <w:vAlign w:val="center"/>
          </w:tcPr>
          <w:p w14:paraId="0319DFC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 + 应用方</w:t>
            </w:r>
          </w:p>
        </w:tc>
      </w:tr>
      <w:tr w14:paraId="32D7512A"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34BB3B9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主备延迟 (Seconds_Behind_Master)</w:t>
            </w:r>
          </w:p>
        </w:tc>
        <w:tc>
          <w:tcPr>
            <w:tcW w:w="1417" w:type="dxa"/>
            <w:shd w:val="clear" w:color="auto" w:fill="F7F9FC"/>
            <w:vAlign w:val="center"/>
          </w:tcPr>
          <w:p w14:paraId="06BA23A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  <w:tc>
          <w:tcPr>
            <w:tcW w:w="3685" w:type="dxa"/>
            <w:shd w:val="clear" w:color="auto" w:fill="F7F9FC"/>
            <w:vAlign w:val="center"/>
          </w:tcPr>
          <w:p w14:paraId="448022E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≥ 60s 告警；≥ 300s 紧急</w:t>
            </w:r>
          </w:p>
        </w:tc>
        <w:tc>
          <w:tcPr>
            <w:tcW w:w="1134" w:type="dxa"/>
            <w:shd w:val="clear" w:color="auto" w:fill="F7F9FC"/>
            <w:vAlign w:val="center"/>
          </w:tcPr>
          <w:p w14:paraId="1A1FA85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</w:t>
            </w:r>
          </w:p>
        </w:tc>
      </w:tr>
      <w:tr w14:paraId="44E268F9">
        <w:trPr>
          <w:jc w:val="center"/>
        </w:trPr>
        <w:tc>
          <w:tcPr>
            <w:tcW w:w="3402" w:type="dxa"/>
            <w:vAlign w:val="center"/>
          </w:tcPr>
          <w:p w14:paraId="6DFF65B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binlog 增长速率</w:t>
            </w:r>
          </w:p>
        </w:tc>
        <w:tc>
          <w:tcPr>
            <w:tcW w:w="1417" w:type="dxa"/>
            <w:vAlign w:val="center"/>
          </w:tcPr>
          <w:p w14:paraId="2AF4A3C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日度</w:t>
            </w:r>
          </w:p>
        </w:tc>
        <w:tc>
          <w:tcPr>
            <w:tcW w:w="3685" w:type="dxa"/>
            <w:vAlign w:val="center"/>
          </w:tcPr>
          <w:p w14:paraId="5DEAC9A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日增 ≥ 100 GB → 排查大事务</w:t>
            </w:r>
          </w:p>
        </w:tc>
        <w:tc>
          <w:tcPr>
            <w:tcW w:w="1134" w:type="dxa"/>
            <w:vAlign w:val="center"/>
          </w:tcPr>
          <w:p w14:paraId="7A00690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</w:t>
            </w:r>
          </w:p>
        </w:tc>
      </w:tr>
      <w:tr w14:paraId="508BECEB">
        <w:trPr>
          <w:jc w:val="center"/>
        </w:trPr>
        <w:tc>
          <w:tcPr>
            <w:tcW w:w="3402" w:type="dxa"/>
            <w:shd w:val="clear" w:color="auto" w:fill="F7F9FC"/>
            <w:vAlign w:val="center"/>
          </w:tcPr>
          <w:p w14:paraId="7FA514C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大事务监控</w:t>
            </w:r>
          </w:p>
        </w:tc>
        <w:tc>
          <w:tcPr>
            <w:tcW w:w="1417" w:type="dxa"/>
            <w:shd w:val="clear" w:color="auto" w:fill="F7F9FC"/>
            <w:vAlign w:val="center"/>
          </w:tcPr>
          <w:p w14:paraId="55D4FAF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  <w:tc>
          <w:tcPr>
            <w:tcW w:w="3685" w:type="dxa"/>
            <w:shd w:val="clear" w:color="auto" w:fill="F7F9FC"/>
            <w:vAlign w:val="center"/>
          </w:tcPr>
          <w:p w14:paraId="315C6E4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单事务 ≥ 100 万行 → 立即介入</w:t>
            </w:r>
          </w:p>
        </w:tc>
        <w:tc>
          <w:tcPr>
            <w:tcW w:w="1134" w:type="dxa"/>
            <w:shd w:val="clear" w:color="auto" w:fill="F7F9FC"/>
            <w:vAlign w:val="center"/>
          </w:tcPr>
          <w:p w14:paraId="3CDE872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</w:t>
            </w:r>
          </w:p>
        </w:tc>
      </w:tr>
    </w:tbl>
    <w:p w14:paraId="6223ED55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28"/>
        </w:rPr>
        <w:t>6.2 大表盘点 SQL</w:t>
      </w:r>
    </w:p>
    <w:p w14:paraId="0BD3287E">
      <w:pPr>
        <w:shd w:val="clear" w:color="auto" w:fill="F4F4F4"/>
        <w:spacing w:after="120" w:line="288" w:lineRule="auto"/>
        <w:ind w:left="283"/>
      </w:pPr>
      <w:r>
        <w:rPr>
          <w:rFonts w:ascii="Menlo" w:hAnsi="Menlo" w:eastAsia="Menlo"/>
          <w:b w:val="0"/>
          <w:sz w:val="18"/>
        </w:rPr>
        <w:t>-- 1. 实例 TOP 大表清单（按本规范 L1 起判阈值 1GB / 300万行）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SELECT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TABLE_SCHEMA, TABLE_NAME,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ROUND((DATA_LENGTH + INDEX_LENGTH)/1024/1024/1024, 2) AS size_gb,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TABLE_ROWS,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CASE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WHEN (DATA_LENGTH + INDEX_LENGTH) &gt;= 50*1024*1024*1024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OR TABLE_ROWS &gt;= 200000000 THEN 'L3 特大表'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WHEN (DATA_LENGTH + INDEX_LENGTH) &gt;= 10*1024*1024*1024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OR TABLE_ROWS &gt;= 30000000  THEN 'L2 重点大表'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WHEN (DATA_LENGTH + INDEX_LENGTH) &gt;=  1*1024*1024*1024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   OR TABLE_ROWS &gt;= 3000000   THEN 'L1 一般大表'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ELSE '一般表'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END AS level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FROM information_schema.TABLES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WHERE TABLE_SCHEMA NOT IN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('information_schema','mysql','performance_schema','sys',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'sysdb','xa','query_rewrite')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AND ( (DATA_LENGTH + INDEX_LENGTH) &gt;= 1*1024*1024*1024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OR TABLE_ROWS &gt;= 3000000 )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ORDER BY size_gb DESC, TABLE_ROWS DESC;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-- 2. 二级分区表盘点（≥ 600 即告警，≥ 800 紧急）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SELECT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SUBSTRING(TABLE_NAME, 1, LOCATE('_tdsql_subp', TABLE_NAME) - 1)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 AS main_table_name,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COUNT(*) AS subpartition_count,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CASE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WHEN COUNT(*) &gt;= 800 THEN '🔴 紧急（≥80%水位）'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WHEN COUNT(*) &gt;= 600 THEN '🟠 告警（≥60%水位）'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WHEN COUNT(*) &gt;= 256 THEN '🟡 关注'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ELSE '正常'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END AS status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FROM INFORMATION_SCHEMA.TABLES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WHERE TABLE_SCHEMA NOT IN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('information_schema','mysql','performance_schema','sys',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'sysdb','xa','query_rewrite')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AND TABLE_NAME LIKE '%_tdsql_subp%'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GROUP BY 1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ORDER BY subpartition_count DESC;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-- 3. 一级分区表分区列表（评估清理对象）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SELECT TABLE_SCHEMA, TABLE_NAME, PARTITION_NAME, PARTITION_DESCRIPTION,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     ROUND(DATA_LENGTH/1024/1024/1024, 2) AS size_gb, TABLE_ROWS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FROM information_schema.PARTITIONS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WHERE PARTITION_NAME IS NOT NULL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AND TABLE_SCHEMA = '&lt;your_db&gt;'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 xml:space="preserve">  AND TABLE_NAME = '&lt;your_table&gt;'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ORDER BY PARTITION_ORDINAL_POSITION;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-- 4. 日增量评估（按业务时间字段统计）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SELECT DATE(create_time) AS dt, COUNT(*) AS rows_per_day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FROM &lt;your_db&gt;.&lt;your_table&gt;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WHERE create_time &gt;= DATE_SUB(CURDATE(), INTERVAL 30 DAY)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GROUP BY dt</w:t>
      </w:r>
      <w:r>
        <w:rPr>
          <w:rFonts w:ascii="Menlo" w:hAnsi="Menlo" w:eastAsia="Menlo"/>
          <w:b w:val="0"/>
          <w:sz w:val="18"/>
        </w:rPr>
        <w:br w:type="textWrapping"/>
      </w:r>
      <w:r>
        <w:rPr>
          <w:rFonts w:ascii="Menlo" w:hAnsi="Menlo" w:eastAsia="Menlo"/>
          <w:b w:val="0"/>
          <w:sz w:val="18"/>
        </w:rPr>
        <w:t>ORDER BY dt;</w:t>
      </w:r>
      <w:r>
        <w:rPr>
          <w:rFonts w:ascii="Menlo" w:hAnsi="Menlo" w:eastAsia="Menlo"/>
          <w:b w:val="0"/>
          <w:sz w:val="18"/>
        </w:rPr>
        <w:br w:type="textWrapping"/>
      </w:r>
    </w:p>
    <w:p w14:paraId="42E84119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>七、变更管控（强制）</w:t>
      </w:r>
    </w:p>
    <w:p w14:paraId="779805CA"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凡涉及 L2/L3 大表的变更操作，必须遵守下表流程：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65BF35C">
        <w:trPr>
          <w:jc w:val="center"/>
        </w:trPr>
        <w:tc>
          <w:tcPr>
            <w:tcW w:w="1417" w:type="dxa"/>
            <w:shd w:val="clear" w:color="auto" w:fill="1F497D"/>
            <w:vAlign w:val="center"/>
          </w:tcPr>
          <w:p w14:paraId="0A6EB3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4B5FD4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动作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2C746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责任方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324F28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产出物</w:t>
            </w:r>
          </w:p>
        </w:tc>
      </w:tr>
      <w:tr w14:paraId="46846EEC">
        <w:trPr>
          <w:jc w:val="center"/>
        </w:trPr>
        <w:tc>
          <w:tcPr>
            <w:tcW w:w="1417" w:type="dxa"/>
            <w:vAlign w:val="center"/>
          </w:tcPr>
          <w:p w14:paraId="63A8772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  申报</w:t>
            </w:r>
          </w:p>
        </w:tc>
        <w:tc>
          <w:tcPr>
            <w:tcW w:w="4535" w:type="dxa"/>
            <w:vAlign w:val="center"/>
          </w:tcPr>
          <w:p w14:paraId="77152FF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提交变更申请，附《大表清理方案》、影响评估、回退预案</w:t>
            </w:r>
          </w:p>
        </w:tc>
        <w:tc>
          <w:tcPr>
            <w:tcW w:w="1984" w:type="dxa"/>
            <w:vAlign w:val="center"/>
          </w:tcPr>
          <w:p w14:paraId="1C2F1D5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应用方</w:t>
            </w:r>
          </w:p>
        </w:tc>
        <w:tc>
          <w:tcPr>
            <w:tcW w:w="1701" w:type="dxa"/>
            <w:vAlign w:val="center"/>
          </w:tcPr>
          <w:p w14:paraId="7E74568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变更单</w:t>
            </w:r>
          </w:p>
        </w:tc>
      </w:tr>
      <w:tr w14:paraId="4D36F666"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4EF6878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②  评审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0FC6CFC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 + 应用架构 + 安全 三方会签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EF3885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 / 架构 / 安全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08C79B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评审纪要</w:t>
            </w:r>
          </w:p>
        </w:tc>
      </w:tr>
      <w:tr w14:paraId="6EAEE96A">
        <w:trPr>
          <w:jc w:val="center"/>
        </w:trPr>
        <w:tc>
          <w:tcPr>
            <w:tcW w:w="1417" w:type="dxa"/>
            <w:vAlign w:val="center"/>
          </w:tcPr>
          <w:p w14:paraId="03A4CDE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③  演练</w:t>
            </w:r>
          </w:p>
        </w:tc>
        <w:tc>
          <w:tcPr>
            <w:tcW w:w="4535" w:type="dxa"/>
            <w:vAlign w:val="center"/>
          </w:tcPr>
          <w:p w14:paraId="6DD3B46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在测试环境完成同等规模演练，记录耗时与影响面</w:t>
            </w:r>
          </w:p>
        </w:tc>
        <w:tc>
          <w:tcPr>
            <w:tcW w:w="1984" w:type="dxa"/>
            <w:vAlign w:val="center"/>
          </w:tcPr>
          <w:p w14:paraId="31E1E47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应用方 + DBA</w:t>
            </w:r>
          </w:p>
        </w:tc>
        <w:tc>
          <w:tcPr>
            <w:tcW w:w="1701" w:type="dxa"/>
            <w:vAlign w:val="center"/>
          </w:tcPr>
          <w:p w14:paraId="3B16A5D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演练报告</w:t>
            </w:r>
          </w:p>
        </w:tc>
      </w:tr>
      <w:tr w14:paraId="64D82FCD"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285502B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④  实施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0030F60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在变更窗口内（02:00-05:00）执行；DBA 全程值守；监控同步开启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75DAA4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386ACF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执行记录</w:t>
            </w:r>
          </w:p>
        </w:tc>
      </w:tr>
      <w:tr w14:paraId="243B395F">
        <w:trPr>
          <w:jc w:val="center"/>
        </w:trPr>
        <w:tc>
          <w:tcPr>
            <w:tcW w:w="1417" w:type="dxa"/>
            <w:vAlign w:val="center"/>
          </w:tcPr>
          <w:p w14:paraId="6B13A0D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⑤  验证</w:t>
            </w:r>
          </w:p>
        </w:tc>
        <w:tc>
          <w:tcPr>
            <w:tcW w:w="4535" w:type="dxa"/>
            <w:vAlign w:val="center"/>
          </w:tcPr>
          <w:p w14:paraId="0B09FCB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业务回归 + 数据一致性校验 + 主备同步状态确认</w:t>
            </w:r>
          </w:p>
        </w:tc>
        <w:tc>
          <w:tcPr>
            <w:tcW w:w="1984" w:type="dxa"/>
            <w:vAlign w:val="center"/>
          </w:tcPr>
          <w:p w14:paraId="0AC1FB3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应用方 + DBA</w:t>
            </w:r>
          </w:p>
        </w:tc>
        <w:tc>
          <w:tcPr>
            <w:tcW w:w="1701" w:type="dxa"/>
            <w:vAlign w:val="center"/>
          </w:tcPr>
          <w:p w14:paraId="753EAA7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验证报告</w:t>
            </w:r>
          </w:p>
        </w:tc>
      </w:tr>
      <w:tr w14:paraId="31A3C4F4"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3816C03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⑥  闭环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79414B5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变更工单关闭；归档变更记录至运维知识库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97BCEE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801F56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知识沉淀</w:t>
            </w:r>
          </w:p>
        </w:tc>
      </w:tr>
    </w:tbl>
    <w:p w14:paraId="0B581472">
      <w:pPr>
        <w:spacing w:after="8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⚠ 本规范明令禁止：① 未经评审直接执行 DROP/TRUNCATE；② 业务时段执行任何 L2/L3 表的清理；③ 未做备份直接 DROP；④ 通过 rm -rf 删除物理文件。</w:t>
      </w:r>
    </w:p>
    <w:p w14:paraId="5DCFB43C"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6"/>
        </w:rPr>
        <w:t>八、应急预案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06DF713">
        <w:trPr>
          <w:jc w:val="center"/>
        </w:trPr>
        <w:tc>
          <w:tcPr>
            <w:tcW w:w="2268" w:type="dxa"/>
            <w:shd w:val="clear" w:color="auto" w:fill="1F497D"/>
            <w:vAlign w:val="center"/>
          </w:tcPr>
          <w:p w14:paraId="2CB782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3E8EB1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现象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00E695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应急操作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5857BC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联系人 / 升级</w:t>
            </w:r>
          </w:p>
        </w:tc>
      </w:tr>
      <w:tr w14:paraId="56E2E2AF">
        <w:trPr>
          <w:jc w:val="center"/>
        </w:trPr>
        <w:tc>
          <w:tcPr>
            <w:tcW w:w="2268" w:type="dxa"/>
            <w:vAlign w:val="center"/>
          </w:tcPr>
          <w:p w14:paraId="2BA42A8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大事务引发主备延迟</w:t>
            </w:r>
          </w:p>
        </w:tc>
        <w:tc>
          <w:tcPr>
            <w:tcW w:w="2268" w:type="dxa"/>
            <w:vAlign w:val="center"/>
          </w:tcPr>
          <w:p w14:paraId="7F3AE8A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Seconds_Behind_Master 持续上涨</w:t>
            </w:r>
          </w:p>
        </w:tc>
        <w:tc>
          <w:tcPr>
            <w:tcW w:w="3402" w:type="dxa"/>
            <w:vAlign w:val="center"/>
          </w:tcPr>
          <w:p w14:paraId="2C0776D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kill 大事务；停止上游业务；DBA 介入分析</w:t>
            </w:r>
          </w:p>
        </w:tc>
        <w:tc>
          <w:tcPr>
            <w:tcW w:w="1701" w:type="dxa"/>
            <w:vAlign w:val="center"/>
          </w:tcPr>
          <w:p w14:paraId="69E6A8B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 + 应用方</w:t>
            </w:r>
          </w:p>
        </w:tc>
      </w:tr>
      <w:tr w14:paraId="26208B1A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798D111C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DROP/TRUNCATE 引发主备切换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147557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主节点心跳超时、VIP 漂移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1D9582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确认切换状态；保留 core；按事故流程上报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12C664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 → 二线 → 腾讯支持</w:t>
            </w:r>
          </w:p>
        </w:tc>
      </w:tr>
      <w:tr w14:paraId="467F8DB8">
        <w:trPr>
          <w:jc w:val="center"/>
        </w:trPr>
        <w:tc>
          <w:tcPr>
            <w:tcW w:w="2268" w:type="dxa"/>
            <w:vAlign w:val="center"/>
          </w:tcPr>
          <w:p w14:paraId="6642239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分区数突破 800（80% 水位）</w:t>
            </w:r>
          </w:p>
        </w:tc>
        <w:tc>
          <w:tcPr>
            <w:tcW w:w="2268" w:type="dxa"/>
            <w:vAlign w:val="center"/>
          </w:tcPr>
          <w:p w14:paraId="6DACFA3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巡检告警</w:t>
            </w:r>
          </w:p>
        </w:tc>
        <w:tc>
          <w:tcPr>
            <w:tcW w:w="3402" w:type="dxa"/>
            <w:vAlign w:val="center"/>
          </w:tcPr>
          <w:p w14:paraId="5E0735D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立即停止该表新分区创建；启动应急清理变更</w:t>
            </w:r>
          </w:p>
        </w:tc>
        <w:tc>
          <w:tcPr>
            <w:tcW w:w="1701" w:type="dxa"/>
            <w:vAlign w:val="center"/>
          </w:tcPr>
          <w:p w14:paraId="4128C8C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 + 应用方</w:t>
            </w:r>
          </w:p>
        </w:tc>
      </w:tr>
      <w:tr w14:paraId="000EB298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41E8991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分区数已达 1000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69D4A92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scheduler grouppriv 拒绝服务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A46037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立即清理过期分区；如紧急可临时调高 shard_num（需谨慎）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1975EC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DBA → 腾讯支持</w:t>
            </w:r>
          </w:p>
        </w:tc>
      </w:tr>
      <w:tr w14:paraId="1105EFDE">
        <w:trPr>
          <w:jc w:val="center"/>
        </w:trPr>
        <w:tc>
          <w:tcPr>
            <w:tcW w:w="2268" w:type="dxa"/>
            <w:vAlign w:val="center"/>
          </w:tcPr>
          <w:p w14:paraId="6943C3B1">
            <w:pPr>
              <w:spacing w:after="0" w:line="312" w:lineRule="auto"/>
            </w:pPr>
          </w:p>
        </w:tc>
        <w:tc>
          <w:tcPr>
            <w:tcW w:w="2268" w:type="dxa"/>
            <w:vAlign w:val="center"/>
          </w:tcPr>
          <w:p w14:paraId="74A53AD0">
            <w:pPr>
              <w:spacing w:after="0" w:line="312" w:lineRule="auto"/>
            </w:pPr>
          </w:p>
        </w:tc>
        <w:tc>
          <w:tcPr>
            <w:tcW w:w="3402" w:type="dxa"/>
            <w:vAlign w:val="center"/>
          </w:tcPr>
          <w:p w14:paraId="2FF0EAF4">
            <w:pPr>
              <w:spacing w:after="0" w:line="312" w:lineRule="auto"/>
            </w:pPr>
          </w:p>
        </w:tc>
        <w:tc>
          <w:tcPr>
            <w:tcW w:w="1701" w:type="dxa"/>
            <w:vAlign w:val="center"/>
          </w:tcPr>
          <w:p w14:paraId="7E2AC274">
            <w:pPr>
              <w:spacing w:after="0" w:line="312" w:lineRule="auto"/>
            </w:pPr>
          </w:p>
        </w:tc>
      </w:tr>
    </w:tbl>
    <w:p w14:paraId="6F7FEF9D">
      <w:pPr>
        <w:spacing w:before="240" w:after="120"/>
        <w:outlineLvl w:val="0"/>
      </w:pPr>
      <w:r>
        <w:rPr>
          <w:rFonts w:ascii="微软雅黑" w:hAnsi="微软雅黑" w:eastAsia="微软雅黑"/>
          <w:b/>
          <w:color w:val="1F497D"/>
          <w:sz w:val="36"/>
        </w:rPr>
        <w:t xml:space="preserve">附录 </w:t>
      </w:r>
      <w:r>
        <w:rPr>
          <w:rFonts w:hint="eastAsia" w:ascii="微软雅黑" w:hAnsi="微软雅黑" w:eastAsia="微软雅黑"/>
          <w:b/>
          <w:color w:val="1F497D"/>
          <w:sz w:val="36"/>
          <w:lang w:val="en-US" w:eastAsia="zh-CN"/>
        </w:rPr>
        <w:t>A</w:t>
      </w:r>
      <w:r>
        <w:rPr>
          <w:rFonts w:ascii="微软雅黑" w:hAnsi="微软雅黑" w:eastAsia="微软雅黑"/>
          <w:b/>
          <w:color w:val="1F497D"/>
          <w:sz w:val="36"/>
        </w:rPr>
        <w:t>. 与一般运维规范的差异点对照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C7A907B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1D62CA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条目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7FA41A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一般运维口径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5FA843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本规范（银行严格口径）</w:t>
            </w:r>
          </w:p>
        </w:tc>
      </w:tr>
      <w:tr w14:paraId="35B0893A">
        <w:trPr>
          <w:jc w:val="center"/>
        </w:trPr>
        <w:tc>
          <w:tcPr>
            <w:tcW w:w="2835" w:type="dxa"/>
            <w:vAlign w:val="center"/>
          </w:tcPr>
          <w:p w14:paraId="7095952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L1 一般大表阈值</w:t>
            </w:r>
          </w:p>
        </w:tc>
        <w:tc>
          <w:tcPr>
            <w:tcW w:w="2835" w:type="dxa"/>
            <w:vAlign w:val="center"/>
          </w:tcPr>
          <w:p w14:paraId="69BAED10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≥ 50 GB / 1 亿行</w:t>
            </w:r>
          </w:p>
        </w:tc>
        <w:tc>
          <w:tcPr>
            <w:tcW w:w="3969" w:type="dxa"/>
            <w:vAlign w:val="center"/>
          </w:tcPr>
          <w:p w14:paraId="351A97E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1 GB / 300 万行**</w:t>
            </w:r>
          </w:p>
        </w:tc>
      </w:tr>
      <w:tr w14:paraId="1405C6FF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E80E5C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L2 重点大表阈值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52423F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≥ 100 GB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4F5D931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10 GB / 3000 万行（强制分区）**</w:t>
            </w:r>
          </w:p>
        </w:tc>
      </w:tr>
      <w:tr w14:paraId="092D09DD">
        <w:trPr>
          <w:jc w:val="center"/>
        </w:trPr>
        <w:tc>
          <w:tcPr>
            <w:tcW w:w="2835" w:type="dxa"/>
            <w:vAlign w:val="center"/>
          </w:tcPr>
          <w:p w14:paraId="495E695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L3 特大表阈值</w:t>
            </w:r>
          </w:p>
        </w:tc>
        <w:tc>
          <w:tcPr>
            <w:tcW w:w="2835" w:type="dxa"/>
            <w:vAlign w:val="center"/>
          </w:tcPr>
          <w:p w14:paraId="207892C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3969" w:type="dxa"/>
            <w:vAlign w:val="center"/>
          </w:tcPr>
          <w:p w14:paraId="6324484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50 GB / 2 亿行（强制分区+归档+独立监控）**</w:t>
            </w:r>
          </w:p>
        </w:tc>
      </w:tr>
      <w:tr w14:paraId="4B16375F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50F9892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流水类主库保留期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373149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90 天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707F1FE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**≤ 30 天**</w:t>
            </w:r>
          </w:p>
        </w:tc>
      </w:tr>
      <w:tr w14:paraId="5CCDDF80">
        <w:trPr>
          <w:jc w:val="center"/>
        </w:trPr>
        <w:tc>
          <w:tcPr>
            <w:tcW w:w="2835" w:type="dxa"/>
            <w:vAlign w:val="center"/>
          </w:tcPr>
          <w:p w14:paraId="3B532B1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监管类主库保留期</w:t>
            </w:r>
          </w:p>
        </w:tc>
        <w:tc>
          <w:tcPr>
            <w:tcW w:w="2835" w:type="dxa"/>
            <w:vAlign w:val="center"/>
          </w:tcPr>
          <w:p w14:paraId="3B18DA16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年</w:t>
            </w:r>
          </w:p>
        </w:tc>
        <w:tc>
          <w:tcPr>
            <w:tcW w:w="3969" w:type="dxa"/>
            <w:vAlign w:val="center"/>
          </w:tcPr>
          <w:p w14:paraId="631B7511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**≤ 6 个月**</w:t>
            </w:r>
          </w:p>
        </w:tc>
      </w:tr>
      <w:tr w14:paraId="51A2F59B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3E4C7F0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分区数推荐上限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5959A4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≤ 256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1337A2EF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**≤ 128**</w:t>
            </w:r>
          </w:p>
        </w:tc>
      </w:tr>
      <w:tr w14:paraId="0E7C0C1D">
        <w:trPr>
          <w:jc w:val="center"/>
        </w:trPr>
        <w:tc>
          <w:tcPr>
            <w:tcW w:w="2835" w:type="dxa"/>
            <w:vAlign w:val="center"/>
          </w:tcPr>
          <w:p w14:paraId="2849009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分区水位告警</w:t>
            </w:r>
          </w:p>
        </w:tc>
        <w:tc>
          <w:tcPr>
            <w:tcW w:w="2835" w:type="dxa"/>
            <w:vAlign w:val="center"/>
          </w:tcPr>
          <w:p w14:paraId="077749DD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≥ 900</w:t>
            </w:r>
          </w:p>
        </w:tc>
        <w:tc>
          <w:tcPr>
            <w:tcW w:w="3969" w:type="dxa"/>
            <w:vAlign w:val="center"/>
          </w:tcPr>
          <w:p w14:paraId="738194A7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**≥ 600（60%）**</w:t>
            </w:r>
          </w:p>
        </w:tc>
      </w:tr>
      <w:tr w14:paraId="51C4F182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3CDC69E9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DDL 执行时段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A08337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低峰期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18FCFBA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**仅变更窗口（02:00-05:00）**</w:t>
            </w:r>
          </w:p>
        </w:tc>
      </w:tr>
      <w:tr w14:paraId="26E6148B">
        <w:trPr>
          <w:jc w:val="center"/>
        </w:trPr>
        <w:tc>
          <w:tcPr>
            <w:tcW w:w="2835" w:type="dxa"/>
            <w:vAlign w:val="center"/>
          </w:tcPr>
          <w:p w14:paraId="3A8AE51A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TRUNCATE PARTITION</w:t>
            </w:r>
          </w:p>
        </w:tc>
        <w:tc>
          <w:tcPr>
            <w:tcW w:w="2835" w:type="dxa"/>
            <w:vAlign w:val="center"/>
          </w:tcPr>
          <w:p w14:paraId="5FFD256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可选用</w:t>
            </w:r>
          </w:p>
        </w:tc>
        <w:tc>
          <w:tcPr>
            <w:tcW w:w="3969" w:type="dxa"/>
            <w:vAlign w:val="center"/>
          </w:tcPr>
          <w:p w14:paraId="28AB27AE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**禁止使用**</w:t>
            </w:r>
          </w:p>
        </w:tc>
      </w:tr>
      <w:tr w14:paraId="0F918CDF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50ABC728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DROP TABLE 模式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6B4DD92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721CD863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**强制 ASYNC_DROP**</w:t>
            </w:r>
          </w:p>
        </w:tc>
      </w:tr>
      <w:tr w14:paraId="27B68E70">
        <w:trPr>
          <w:jc w:val="center"/>
        </w:trPr>
        <w:tc>
          <w:tcPr>
            <w:tcW w:w="2835" w:type="dxa"/>
            <w:vAlign w:val="center"/>
          </w:tcPr>
          <w:p w14:paraId="79DF0EE5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大表清理评审</w:t>
            </w:r>
          </w:p>
        </w:tc>
        <w:tc>
          <w:tcPr>
            <w:tcW w:w="2835" w:type="dxa"/>
            <w:vAlign w:val="center"/>
          </w:tcPr>
          <w:p w14:paraId="55D88794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3969" w:type="dxa"/>
            <w:vAlign w:val="center"/>
          </w:tcPr>
          <w:p w14:paraId="11AC100B"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**强制三方会签**</w:t>
            </w:r>
          </w:p>
        </w:tc>
      </w:tr>
    </w:tbl>
    <w:p w14:paraId="49F36290">
      <w:pPr>
        <w:spacing w:before="600"/>
        <w:jc w:val="center"/>
      </w:pP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BDB019"/>
    <w:rsid w:val="3F3F8E86"/>
    <w:rsid w:val="48EE9D6B"/>
    <w:rsid w:val="54FB03FE"/>
    <w:rsid w:val="6F960D90"/>
    <w:rsid w:val="75FD7CD0"/>
    <w:rsid w:val="7AFDB97F"/>
    <w:rsid w:val="7C0F7666"/>
    <w:rsid w:val="7CBFB3C9"/>
    <w:rsid w:val="7D2B1387"/>
    <w:rsid w:val="7DA4E858"/>
    <w:rsid w:val="7EF3A342"/>
    <w:rsid w:val="7FEAEF34"/>
    <w:rsid w:val="97FF2B77"/>
    <w:rsid w:val="B76E5BA5"/>
    <w:rsid w:val="BFB9F444"/>
    <w:rsid w:val="CEAF3C9A"/>
    <w:rsid w:val="D7EDB7A5"/>
    <w:rsid w:val="D7EED310"/>
    <w:rsid w:val="DDEF90C6"/>
    <w:rsid w:val="DEDA104F"/>
    <w:rsid w:val="EBF76C9C"/>
    <w:rsid w:val="F3DFC857"/>
    <w:rsid w:val="FFF78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差不多先生</cp:lastModifiedBy>
  <dcterms:modified xsi:type="dcterms:W3CDTF">2026-05-28T16:31:08Z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A9DAABB6780F37442673056A93425E90_42</vt:lpwstr>
  </property>
</Properties>
</file>