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39CA2">
      <w:pPr>
        <w:pStyle w:val="5"/>
        <w:rPr>
          <w:rFonts w:ascii="微软雅黑" w:hAnsi="微软雅黑" w:eastAsia="微软雅黑" w:cs="微软雅黑"/>
        </w:rPr>
      </w:pPr>
      <w:r>
        <w:rPr>
          <w:rFonts w:ascii="微软雅黑" w:hAnsi="微软雅黑" w:eastAsia="微软雅黑" w:cs="微软雅黑"/>
        </w:rPr>
        <w:t>TDSQL数据库开发规范</w:t>
      </w:r>
    </w:p>
    <w:p w14:paraId="663CF49F">
      <w:pPr>
        <w:pStyle w:val="2"/>
        <w:numPr>
          <w:ilvl w:val="0"/>
          <w:numId w:val="1"/>
        </w:numPr>
        <w:pBdr>
          <w:bottom w:val="none" w:color="auto" w:sz="0" w:space="0"/>
        </w:pBdr>
      </w:pPr>
      <w:r>
        <w:t>概述</w:t>
      </w:r>
      <w:r>
        <w:rPr>
          <w:b w:val="0"/>
          <w:i w:val="0"/>
          <w:strike w:val="0"/>
          <w:spacing w:val="0"/>
          <w:u w:val="none"/>
        </w:rPr>
        <w:t>分片键</w:t>
      </w:r>
    </w:p>
    <w:p w14:paraId="3CCE0FE7">
      <w:pPr>
        <w:pStyle w:val="3"/>
        <w:snapToGrid/>
        <w:spacing w:before="260" w:after="260" w:line="413" w:lineRule="auto"/>
        <w:ind w:left="425" w:right="0" w:hanging="425"/>
        <w:rPr>
          <w:rFonts w:ascii="微软雅黑" w:hAnsi="微软雅黑" w:eastAsia="微软雅黑" w:cs="微软雅黑"/>
        </w:rPr>
      </w:pPr>
      <w:bookmarkStart w:id="0" w:name="_Toc19112"/>
      <w:r>
        <w:rPr>
          <w:rFonts w:ascii="微软雅黑" w:hAnsi="微软雅黑" w:eastAsia="微软雅黑" w:cs="微软雅黑"/>
          <w:i w:val="0"/>
          <w:strike w:val="0"/>
          <w:color w:val="000000"/>
          <w:sz w:val="32"/>
          <w:u w:val="none"/>
        </w:rPr>
        <w:t>1.文档说明</w:t>
      </w:r>
      <w:bookmarkEnd w:id="0"/>
    </w:p>
    <w:p w14:paraId="0BCC1D5C">
      <w:pPr>
        <w:snapToGrid/>
        <w:spacing w:before="0" w:after="0" w:line="240" w:lineRule="auto"/>
        <w:ind w:left="0" w:right="0" w:firstLine="420"/>
        <w:rPr>
          <w:rFonts w:ascii="微软雅黑" w:hAnsi="微软雅黑" w:eastAsia="微软雅黑" w:cs="微软雅黑"/>
        </w:rPr>
      </w:pPr>
      <w:r>
        <w:rPr>
          <w:rFonts w:ascii="微软雅黑" w:hAnsi="微软雅黑" w:eastAsia="微软雅黑" w:cs="微软雅黑"/>
          <w:b/>
          <w:i w:val="0"/>
          <w:strike w:val="0"/>
          <w:color w:val="000000"/>
          <w:sz w:val="24"/>
          <w:u w:val="none"/>
        </w:rPr>
        <w:t>本文档说明TDSQ分布式数据库设计和开发相关的规范。</w:t>
      </w:r>
    </w:p>
    <w:p w14:paraId="7B273194">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55C773A6">
      <w:pPr>
        <w:pStyle w:val="3"/>
        <w:snapToGrid/>
        <w:spacing w:before="260" w:after="260" w:line="413" w:lineRule="auto"/>
        <w:ind w:left="425" w:right="0" w:hanging="425"/>
        <w:rPr>
          <w:rFonts w:ascii="微软雅黑" w:hAnsi="微软雅黑" w:eastAsia="微软雅黑" w:cs="微软雅黑"/>
        </w:rPr>
      </w:pPr>
      <w:bookmarkStart w:id="1" w:name="_Toc16933"/>
      <w:r>
        <w:rPr>
          <w:rFonts w:ascii="微软雅黑" w:hAnsi="微软雅黑" w:eastAsia="微软雅黑" w:cs="微软雅黑"/>
          <w:i w:val="0"/>
          <w:strike w:val="0"/>
          <w:color w:val="000000"/>
          <w:sz w:val="32"/>
          <w:u w:val="none"/>
        </w:rPr>
        <w:t>2.规范级别</w:t>
      </w:r>
      <w:bookmarkEnd w:id="1"/>
    </w:p>
    <w:p w14:paraId="0CF2EA0E">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本文所有规范会按照【强制】、【推荐】两个级别进行标注，遵守优先级从高到低。</w:t>
      </w:r>
    </w:p>
    <w:p w14:paraId="4A571971">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标明【分布式】为分布式数据库特有。</w:t>
      </w:r>
    </w:p>
    <w:p w14:paraId="3FC41A5D">
      <w:pPr>
        <w:pStyle w:val="3"/>
        <w:snapToGrid/>
        <w:spacing w:before="260" w:after="260" w:line="413" w:lineRule="auto"/>
        <w:ind w:left="425" w:right="0" w:hanging="425"/>
        <w:rPr>
          <w:rFonts w:ascii="微软雅黑" w:hAnsi="微软雅黑" w:eastAsia="微软雅黑" w:cs="微软雅黑"/>
        </w:rPr>
      </w:pPr>
      <w:bookmarkStart w:id="2" w:name="_Toc24403"/>
      <w:r>
        <w:rPr>
          <w:rFonts w:ascii="微软雅黑" w:hAnsi="微软雅黑" w:eastAsia="微软雅黑" w:cs="微软雅黑"/>
          <w:i w:val="0"/>
          <w:strike w:val="0"/>
          <w:color w:val="000000"/>
          <w:sz w:val="32"/>
          <w:u w:val="none"/>
        </w:rPr>
        <w:t>3.适用范围</w:t>
      </w:r>
      <w:bookmarkEnd w:id="2"/>
    </w:p>
    <w:p w14:paraId="1B73673D">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数据库设计人员、应用架构人员、应用开发人员、数据库管理员</w:t>
      </w:r>
    </w:p>
    <w:p w14:paraId="4D9AB383">
      <w:pPr>
        <w:pStyle w:val="3"/>
        <w:snapToGrid/>
        <w:spacing w:before="260" w:after="260" w:line="413" w:lineRule="auto"/>
        <w:ind w:left="425" w:right="0" w:hanging="425"/>
        <w:rPr>
          <w:rFonts w:ascii="微软雅黑" w:hAnsi="微软雅黑" w:eastAsia="微软雅黑" w:cs="微软雅黑"/>
        </w:rPr>
      </w:pPr>
      <w:bookmarkStart w:id="3" w:name="_Toc29386"/>
      <w:r>
        <w:rPr>
          <w:rFonts w:ascii="微软雅黑" w:hAnsi="微软雅黑" w:eastAsia="微软雅黑" w:cs="微软雅黑"/>
          <w:i w:val="0"/>
          <w:strike w:val="0"/>
          <w:color w:val="000000"/>
          <w:sz w:val="32"/>
          <w:u w:val="none"/>
        </w:rPr>
        <w:t>4.名词解释</w:t>
      </w:r>
      <w:bookmarkEnd w:id="3"/>
    </w:p>
    <w:p w14:paraId="030F7C7E">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OLTP</w:t>
      </w:r>
      <w:r>
        <w:rPr>
          <w:rFonts w:ascii="微软雅黑" w:hAnsi="微软雅黑" w:eastAsia="微软雅黑" w:cs="微软雅黑"/>
          <w:i w:val="0"/>
          <w:strike w:val="0"/>
          <w:color w:val="000000"/>
          <w:sz w:val="24"/>
          <w:u w:val="none"/>
        </w:rPr>
        <w:t>：OnLine transaction processing 联机事务处理</w:t>
      </w:r>
    </w:p>
    <w:p w14:paraId="0F911638">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OLAP</w:t>
      </w:r>
      <w:r>
        <w:rPr>
          <w:rFonts w:ascii="微软雅黑" w:hAnsi="微软雅黑" w:eastAsia="微软雅黑" w:cs="微软雅黑"/>
          <w:i w:val="0"/>
          <w:strike w:val="0"/>
          <w:color w:val="000000"/>
          <w:sz w:val="24"/>
          <w:u w:val="none"/>
        </w:rPr>
        <w:t>：OnLine anaytica processing 联机分析处理</w:t>
      </w:r>
    </w:p>
    <w:p w14:paraId="66090092">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TDSQ集群：</w:t>
      </w:r>
      <w:r>
        <w:rPr>
          <w:rFonts w:ascii="微软雅黑" w:hAnsi="微软雅黑" w:eastAsia="微软雅黑" w:cs="微软雅黑"/>
          <w:i w:val="0"/>
          <w:strike w:val="0"/>
          <w:color w:val="000000"/>
          <w:sz w:val="24"/>
          <w:u w:val="none"/>
        </w:rPr>
        <w:t>一组物理机组成的分布式数据库集群。一个集群有独立的管控组件，以及proxy和数据节点。</w:t>
      </w:r>
    </w:p>
    <w:p w14:paraId="66631EE4">
      <w:pPr>
        <w:pBdr>
          <w:bottom w:val="none" w:color="auto" w:sz="0" w:space="0"/>
        </w:pBd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TXSQL：</w:t>
      </w:r>
      <w:r>
        <w:rPr>
          <w:rFonts w:ascii="微软雅黑" w:hAnsi="微软雅黑" w:eastAsia="微软雅黑" w:cs="微软雅黑"/>
          <w:i w:val="0"/>
          <w:strike w:val="0"/>
          <w:color w:val="000000"/>
          <w:sz w:val="24"/>
          <w:u w:val="none"/>
        </w:rPr>
        <w:t>是腾讯云数据库团队自研 MySQ 内核分支，100%兼容原生 MySQ 版本，针对企业级的重要场景，自研众多核心特性，如企业级透明数据加密、审计、线程池、热点更新保护、SQ 限流、快速加列等功能。</w:t>
      </w:r>
    </w:p>
    <w:p w14:paraId="6C276512">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节点：</w:t>
      </w:r>
      <w:r>
        <w:rPr>
          <w:rFonts w:ascii="微软雅黑" w:hAnsi="微软雅黑" w:eastAsia="微软雅黑" w:cs="微软雅黑"/>
          <w:i w:val="0"/>
          <w:strike w:val="0"/>
          <w:color w:val="000000"/>
          <w:sz w:val="24"/>
          <w:u w:val="none"/>
        </w:rPr>
        <w:t>即物理服务器节点。</w:t>
      </w:r>
    </w:p>
    <w:p w14:paraId="6EA225EE">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分片：</w:t>
      </w:r>
      <w:r>
        <w:rPr>
          <w:rFonts w:ascii="微软雅黑" w:hAnsi="微软雅黑" w:eastAsia="微软雅黑" w:cs="微软雅黑"/>
          <w:i w:val="0"/>
          <w:strike w:val="0"/>
          <w:color w:val="000000"/>
          <w:sz w:val="24"/>
          <w:u w:val="none"/>
        </w:rPr>
        <w:t>是一种水平拆分数据表的方式。分片表将一个表的数据水平拆分成多个子表，存放在不同的物理节点服务器上。分片表在逻辑上是一张表。</w:t>
      </w:r>
    </w:p>
    <w:p w14:paraId="51BD503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Set：由一个主副本和m个从副本组成的一份数据，一个set可以存放一个分片数据，也可以存储多个分片数据。一主m从组成的set也可以简称为一个shard。</w:t>
      </w:r>
    </w:p>
    <w:p w14:paraId="1517282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TDSQ分布式实例：</w:t>
      </w:r>
      <w:r>
        <w:rPr>
          <w:rFonts w:ascii="微软雅黑" w:hAnsi="微软雅黑" w:eastAsia="微软雅黑" w:cs="微软雅黑"/>
          <w:i w:val="0"/>
          <w:strike w:val="0"/>
          <w:color w:val="000000"/>
          <w:sz w:val="24"/>
          <w:u w:val="none"/>
        </w:rPr>
        <w:t>即Group_Shard，数据经过分片后，分布在n个set 上面，逻辑上组成一个实例对外服务。</w:t>
      </w:r>
    </w:p>
    <w:p w14:paraId="01F047EA">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TDSQ集中式实例：</w:t>
      </w:r>
      <w:r>
        <w:rPr>
          <w:rFonts w:ascii="微软雅黑" w:hAnsi="微软雅黑" w:eastAsia="微软雅黑" w:cs="微软雅黑"/>
          <w:i w:val="0"/>
          <w:strike w:val="0"/>
          <w:color w:val="000000"/>
          <w:sz w:val="24"/>
          <w:u w:val="none"/>
        </w:rPr>
        <w:t>所有数据都存放在一个set上，数据不进行分片处理。一个集中式实例只有一个主副本，以及多个从副本。</w:t>
      </w:r>
    </w:p>
    <w:p w14:paraId="0210280A">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副本：</w:t>
      </w:r>
      <w:r>
        <w:rPr>
          <w:rFonts w:ascii="微软雅黑" w:hAnsi="微软雅黑" w:eastAsia="微软雅黑" w:cs="微软雅黑"/>
          <w:i w:val="0"/>
          <w:strike w:val="0"/>
          <w:color w:val="000000"/>
          <w:sz w:val="24"/>
          <w:u w:val="none"/>
        </w:rPr>
        <w:t>由一个TXSQ进程承载（即单个节点上的txsq实例）的分片；</w:t>
      </w:r>
    </w:p>
    <w:p w14:paraId="527A1F77">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分片键：</w:t>
      </w:r>
      <w:r>
        <w:rPr>
          <w:rFonts w:ascii="微软雅黑" w:hAnsi="微软雅黑" w:eastAsia="微软雅黑" w:cs="微软雅黑"/>
          <w:i w:val="0"/>
          <w:strike w:val="0"/>
          <w:color w:val="000000"/>
          <w:sz w:val="24"/>
          <w:u w:val="none"/>
        </w:rPr>
        <w:t>决定数据水平拆分依据的表字段。</w:t>
      </w:r>
    </w:p>
    <w:p w14:paraId="63000BF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分区</w:t>
      </w:r>
      <w:r>
        <w:rPr>
          <w:rFonts w:ascii="微软雅黑" w:hAnsi="微软雅黑" w:eastAsia="微软雅黑" w:cs="微软雅黑"/>
          <w:i w:val="0"/>
          <w:strike w:val="0"/>
          <w:color w:val="000000"/>
          <w:sz w:val="24"/>
          <w:u w:val="none"/>
        </w:rPr>
        <w:t>：分区是将特定条件的数据进行分区处理，逻辑上数据还在同一表内，但是表的物理存储文件分开，是提高单表容量的一种方法。</w:t>
      </w:r>
    </w:p>
    <w:p w14:paraId="5F0D0E2A">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单片表：</w:t>
      </w:r>
      <w:r>
        <w:rPr>
          <w:rFonts w:ascii="微软雅黑" w:hAnsi="微软雅黑" w:eastAsia="微软雅黑" w:cs="微软雅黑"/>
          <w:i w:val="0"/>
          <w:strike w:val="0"/>
          <w:color w:val="000000"/>
          <w:sz w:val="24"/>
          <w:u w:val="none"/>
        </w:rPr>
        <w:t>即单表，用于存储一些无需分片的表，通常该表的数据全量存在第一个set中。</w:t>
      </w:r>
    </w:p>
    <w:p w14:paraId="12801AC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广播表：</w:t>
      </w:r>
      <w:r>
        <w:rPr>
          <w:rFonts w:ascii="微软雅黑" w:hAnsi="微软雅黑" w:eastAsia="微软雅黑" w:cs="微软雅黑"/>
          <w:i w:val="0"/>
          <w:strike w:val="0"/>
          <w:color w:val="000000"/>
          <w:sz w:val="24"/>
          <w:u w:val="none"/>
        </w:rPr>
        <w:t>又名复制表，该表的所有操作都将广播到所有节点中，每个节点都有该表的全量数据，常用于业务系统的配置表等。</w:t>
      </w:r>
    </w:p>
    <w:p w14:paraId="6C7EF9B2">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副本：</w:t>
      </w:r>
    </w:p>
    <w:p w14:paraId="1600CC0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rPr>
        <w:drawing>
          <wp:inline distT="0" distB="0" distL="0" distR="0">
            <wp:extent cx="5760085" cy="456184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a:blip r:embed="rId6"/>
                    <a:stretch>
                      <a:fillRect/>
                    </a:stretch>
                  </pic:blipFill>
                  <pic:spPr>
                    <a:xfrm>
                      <a:off x="0" y="0"/>
                      <a:ext cx="5760085" cy="4562051"/>
                    </a:xfrm>
                    <a:prstGeom prst="rect">
                      <a:avLst/>
                    </a:prstGeom>
                  </pic:spPr>
                </pic:pic>
              </a:graphicData>
            </a:graphic>
          </wp:inline>
        </w:drawing>
      </w:r>
    </w:p>
    <w:p w14:paraId="4A02D0CD">
      <w:pPr>
        <w:rPr>
          <w:rFonts w:ascii="微软雅黑" w:hAnsi="微软雅黑" w:eastAsia="微软雅黑" w:cs="微软雅黑"/>
        </w:rPr>
      </w:pPr>
    </w:p>
    <w:p w14:paraId="4593E9BC">
      <w:pPr>
        <w:pStyle w:val="2"/>
        <w:numPr>
          <w:ilvl w:val="0"/>
          <w:numId w:val="1"/>
        </w:numPr>
      </w:pPr>
      <w:r>
        <w:t>分布式数据库使用限制(不含集中式）</w:t>
      </w:r>
    </w:p>
    <w:p w14:paraId="6ED6766F"/>
    <w:p w14:paraId="489C6E60">
      <w:pPr>
        <w:pStyle w:val="3"/>
        <w:numPr>
          <w:ilvl w:val="0"/>
          <w:numId w:val="2"/>
        </w:numPr>
        <w:pBdr>
          <w:bottom w:val="none" w:color="auto" w:sz="0" w:space="0"/>
        </w:pBdr>
        <w:snapToGrid/>
        <w:spacing w:line="240" w:lineRule="auto"/>
        <w:rPr>
          <w:i w:val="0"/>
          <w:strike w:val="0"/>
          <w:color w:val="000000"/>
          <w:u w:val="none"/>
        </w:rPr>
      </w:pPr>
      <w:r>
        <w:rPr>
          <w:i w:val="0"/>
          <w:strike w:val="0"/>
          <w:color w:val="000000"/>
          <w:u w:val="none"/>
        </w:rPr>
        <w:t>大特性限制</w:t>
      </w:r>
    </w:p>
    <w:p w14:paraId="1BD8BA25">
      <w:pPr>
        <w:snapToGrid/>
        <w:spacing w:line="240" w:lineRule="auto"/>
      </w:pPr>
      <w:r>
        <w:rPr>
          <w:i w:val="0"/>
          <w:strike w:val="0"/>
          <w:color w:val="000000"/>
          <w:u w:val="none"/>
        </w:rPr>
        <w:t>不支持自定义函数、事件、表空间。</w:t>
      </w:r>
    </w:p>
    <w:p w14:paraId="47F36DBD">
      <w:pPr>
        <w:snapToGrid/>
        <w:spacing w:line="240" w:lineRule="auto"/>
      </w:pPr>
      <w:r>
        <w:rPr>
          <w:i w:val="0"/>
          <w:strike w:val="0"/>
          <w:color w:val="000000"/>
          <w:u w:val="none"/>
        </w:rPr>
        <w:t>不支持存储过程、触发器、游标。</w:t>
      </w:r>
    </w:p>
    <w:p w14:paraId="329C4B86">
      <w:pPr>
        <w:snapToGrid/>
        <w:spacing w:line="240" w:lineRule="auto"/>
      </w:pPr>
      <w:r>
        <w:rPr>
          <w:i w:val="0"/>
          <w:strike w:val="0"/>
          <w:color w:val="000000"/>
          <w:u w:val="none"/>
        </w:rPr>
        <w:t>不支持外键、自建分区。</w:t>
      </w:r>
    </w:p>
    <w:p w14:paraId="5E582052">
      <w:pPr>
        <w:snapToGrid/>
        <w:spacing w:line="240" w:lineRule="auto"/>
        <w:rPr>
          <w:i w:val="0"/>
          <w:strike w:val="0"/>
          <w:color w:val="000000"/>
          <w:u w:val="none"/>
        </w:rPr>
      </w:pPr>
      <w:r>
        <w:rPr>
          <w:i w:val="0"/>
          <w:strike w:val="0"/>
          <w:color w:val="000000"/>
          <w:u w:val="none"/>
        </w:rPr>
        <w:t>不支持复合语句，如 BEGIN END、LOOP。</w:t>
      </w:r>
    </w:p>
    <w:p w14:paraId="3F40EA44">
      <w:pPr>
        <w:snapToGrid/>
        <w:spacing w:line="240" w:lineRule="auto"/>
        <w:rPr>
          <w:i w:val="0"/>
          <w:strike w:val="0"/>
          <w:color w:val="000000"/>
          <w:u w:val="none"/>
        </w:rPr>
      </w:pPr>
      <w:r>
        <w:rPr>
          <w:i w:val="0"/>
          <w:strike w:val="0"/>
          <w:color w:val="000000"/>
          <w:u w:val="none"/>
        </w:rPr>
        <w:t>不支持窗口函数（CTE）</w:t>
      </w:r>
    </w:p>
    <w:p w14:paraId="09745DE1">
      <w:pPr>
        <w:snapToGrid/>
        <w:spacing w:line="240" w:lineRule="auto"/>
      </w:pPr>
    </w:p>
    <w:p w14:paraId="09800CFE">
      <w:pPr>
        <w:pStyle w:val="3"/>
        <w:numPr>
          <w:ilvl w:val="0"/>
          <w:numId w:val="2"/>
        </w:numPr>
        <w:pBdr>
          <w:bottom w:val="none" w:color="auto" w:sz="0" w:space="0"/>
        </w:pBdr>
        <w:snapToGrid/>
        <w:spacing w:line="240" w:lineRule="auto"/>
        <w:rPr>
          <w:i w:val="0"/>
          <w:strike w:val="0"/>
          <w:color w:val="000000"/>
          <w:u w:val="none"/>
        </w:rPr>
      </w:pPr>
      <w:r>
        <w:rPr>
          <w:i w:val="0"/>
          <w:strike w:val="0"/>
          <w:color w:val="000000"/>
          <w:u w:val="none"/>
        </w:rPr>
        <w:t>小语法限制</w:t>
      </w:r>
    </w:p>
    <w:p w14:paraId="04BD601D">
      <w:pPr>
        <w:snapToGrid/>
        <w:spacing w:line="240" w:lineRule="auto"/>
      </w:pPr>
    </w:p>
    <w:p w14:paraId="7C19353E">
      <w:pPr>
        <w:pStyle w:val="4"/>
        <w:snapToGrid/>
        <w:spacing w:line="240" w:lineRule="auto"/>
      </w:pPr>
      <w:r>
        <w:rPr>
          <w:i w:val="0"/>
          <w:strike w:val="0"/>
          <w:color w:val="000000"/>
          <w:u w:val="none"/>
        </w:rPr>
        <w:t>DDL</w:t>
      </w:r>
    </w:p>
    <w:p w14:paraId="61C26854">
      <w:pPr>
        <w:snapToGrid/>
        <w:spacing w:line="240" w:lineRule="auto"/>
      </w:pPr>
      <w:r>
        <w:rPr>
          <w:i w:val="0"/>
          <w:strike w:val="0"/>
          <w:color w:val="000000"/>
          <w:u w:val="none"/>
        </w:rPr>
        <w:t xml:space="preserve">不支持 CREATE TABLE ... SELECT </w:t>
      </w:r>
    </w:p>
    <w:p w14:paraId="270C6CF0">
      <w:pPr>
        <w:snapToGrid/>
        <w:spacing w:line="240" w:lineRule="auto"/>
      </w:pPr>
      <w:r>
        <w:rPr>
          <w:i w:val="0"/>
          <w:strike w:val="0"/>
          <w:color w:val="000000"/>
          <w:u w:val="none"/>
        </w:rPr>
        <w:t xml:space="preserve">不支持 CREATE TEMPORARY TABLE </w:t>
      </w:r>
    </w:p>
    <w:p w14:paraId="34DEA3C1">
      <w:pPr>
        <w:snapToGrid/>
        <w:spacing w:line="240" w:lineRule="auto"/>
      </w:pPr>
      <w:r>
        <w:rPr>
          <w:i w:val="0"/>
          <w:strike w:val="0"/>
          <w:color w:val="000000"/>
          <w:u w:val="none"/>
        </w:rPr>
        <w:t>不支持 CREATE/DROP/ALTER SERVER/LOGFILE GROUP</w:t>
      </w:r>
    </w:p>
    <w:p w14:paraId="40B47819">
      <w:pPr>
        <w:snapToGrid/>
        <w:spacing w:line="240" w:lineRule="auto"/>
      </w:pPr>
      <w:r>
        <w:rPr>
          <w:i w:val="0"/>
          <w:strike w:val="0"/>
          <w:color w:val="000000"/>
          <w:u w:val="none"/>
        </w:rPr>
        <w:t>不支持 ALTER 对分表键（shardkey）进行改名。</w:t>
      </w:r>
    </w:p>
    <w:p w14:paraId="2614F9A4">
      <w:pPr>
        <w:pStyle w:val="4"/>
        <w:snapToGrid/>
        <w:spacing w:line="240" w:lineRule="auto"/>
      </w:pPr>
      <w:r>
        <w:rPr>
          <w:i w:val="0"/>
          <w:strike w:val="0"/>
          <w:color w:val="000000"/>
          <w:u w:val="none"/>
        </w:rPr>
        <w:t>DML</w:t>
      </w:r>
    </w:p>
    <w:p w14:paraId="5688E17C">
      <w:pPr>
        <w:snapToGrid/>
        <w:spacing w:line="240" w:lineRule="auto"/>
      </w:pPr>
      <w:r>
        <w:rPr>
          <w:i w:val="0"/>
          <w:strike w:val="0"/>
          <w:color w:val="000000"/>
          <w:u w:val="none"/>
        </w:rPr>
        <w:t>不支持 SELECT INTO OUTFILE/INTO DUMPFILE/INTO var_name</w:t>
      </w:r>
    </w:p>
    <w:p w14:paraId="65A09DD3">
      <w:pPr>
        <w:snapToGrid/>
        <w:spacing w:line="240" w:lineRule="auto"/>
      </w:pPr>
      <w:r>
        <w:rPr>
          <w:i w:val="0"/>
          <w:strike w:val="0"/>
          <w:color w:val="000000"/>
          <w:u w:val="none"/>
        </w:rPr>
        <w:t>不支持 query_expression_options，如：HIGH_PRIORITY/STRAIGHT_JOIN/SQL_SMALL_RESULT/SQL_BIG_RESULT/SQL_BUFFER_RESULT/SQL_CACHE/SQL_NO_CACHE/SQL_CALC_FOUND_ROWS。</w:t>
      </w:r>
    </w:p>
    <w:p w14:paraId="40D52611">
      <w:pPr>
        <w:snapToGrid/>
        <w:spacing w:line="240" w:lineRule="auto"/>
      </w:pPr>
      <w:r>
        <w:rPr>
          <w:i w:val="0"/>
          <w:strike w:val="0"/>
          <w:color w:val="000000"/>
          <w:u w:val="none"/>
        </w:rPr>
        <w:t>不支持不带列名的 INSERT/REPLACE</w:t>
      </w:r>
    </w:p>
    <w:p w14:paraId="20E7D7FA">
      <w:pPr>
        <w:snapToGrid/>
        <w:spacing w:line="240" w:lineRule="auto"/>
      </w:pPr>
      <w:r>
        <w:rPr>
          <w:i w:val="0"/>
          <w:strike w:val="0"/>
          <w:color w:val="000000"/>
          <w:u w:val="none"/>
        </w:rPr>
        <w:t>不支持全局的 DELETE/UPDATE 使用 ORDER BY/LIMIT（版本&gt;=1.14.4支持）</w:t>
      </w:r>
    </w:p>
    <w:p w14:paraId="74CA3343">
      <w:pPr>
        <w:snapToGrid/>
        <w:spacing w:line="240" w:lineRule="auto"/>
      </w:pPr>
      <w:r>
        <w:rPr>
          <w:i w:val="0"/>
          <w:strike w:val="0"/>
          <w:color w:val="000000"/>
          <w:u w:val="none"/>
        </w:rPr>
        <w:t>不支持不带 WHERE 条件的 UPDATE/DELETE</w:t>
      </w:r>
    </w:p>
    <w:p w14:paraId="3E6C0DD8">
      <w:pPr>
        <w:snapToGrid/>
        <w:spacing w:line="240" w:lineRule="auto"/>
      </w:pPr>
      <w:r>
        <w:rPr>
          <w:i w:val="0"/>
          <w:strike w:val="0"/>
          <w:color w:val="000000"/>
          <w:u w:val="none"/>
        </w:rPr>
        <w:t>不支持 LOAD DATA/XML</w:t>
      </w:r>
    </w:p>
    <w:p w14:paraId="39BCEDBF">
      <w:pPr>
        <w:snapToGrid/>
        <w:spacing w:line="240" w:lineRule="auto"/>
      </w:pPr>
      <w:r>
        <w:rPr>
          <w:i w:val="0"/>
          <w:strike w:val="0"/>
          <w:color w:val="000000"/>
          <w:u w:val="none"/>
        </w:rPr>
        <w:t>不支持 SQL 中使用 DELAYED 和 LOW_PRIORITY，没有效果。</w:t>
      </w:r>
    </w:p>
    <w:p w14:paraId="63618D1B">
      <w:pPr>
        <w:snapToGrid/>
        <w:spacing w:line="240" w:lineRule="auto"/>
      </w:pPr>
      <w:r>
        <w:rPr>
          <w:i w:val="0"/>
          <w:strike w:val="0"/>
          <w:color w:val="000000"/>
          <w:u w:val="none"/>
        </w:rPr>
        <w:t>不支持 INSERT ... SELECT（版本&gt;1.14.4支持）</w:t>
      </w:r>
    </w:p>
    <w:p w14:paraId="51A862C6">
      <w:pPr>
        <w:snapToGrid/>
        <w:spacing w:line="240" w:lineRule="auto"/>
      </w:pPr>
      <w:r>
        <w:rPr>
          <w:i w:val="0"/>
          <w:strike w:val="0"/>
          <w:color w:val="000000"/>
          <w:u w:val="none"/>
        </w:rPr>
        <w:t>不支持 SQL 中对于变量的引用和操作，如：SET @c=1, @d=@c+1; SELECT @c, @d</w:t>
      </w:r>
    </w:p>
    <w:p w14:paraId="5E948539">
      <w:pPr>
        <w:snapToGrid/>
        <w:spacing w:line="240" w:lineRule="auto"/>
      </w:pPr>
      <w:r>
        <w:rPr>
          <w:i w:val="0"/>
          <w:strike w:val="0"/>
          <w:color w:val="000000"/>
          <w:u w:val="none"/>
        </w:rPr>
        <w:t>不支持 index_hint</w:t>
      </w:r>
    </w:p>
    <w:p w14:paraId="6F771B26">
      <w:pPr>
        <w:snapToGrid/>
        <w:spacing w:line="240" w:lineRule="auto"/>
      </w:pPr>
      <w:r>
        <w:rPr>
          <w:i w:val="0"/>
          <w:strike w:val="0"/>
          <w:color w:val="000000"/>
          <w:u w:val="none"/>
        </w:rPr>
        <w:t>不支持 HANDLER/DO</w:t>
      </w:r>
    </w:p>
    <w:p w14:paraId="156CAC2B">
      <w:pPr>
        <w:pStyle w:val="4"/>
        <w:snapToGrid/>
        <w:spacing w:line="240" w:lineRule="auto"/>
      </w:pPr>
      <w:r>
        <w:rPr>
          <w:i w:val="0"/>
          <w:strike w:val="0"/>
          <w:color w:val="000000"/>
          <w:u w:val="none"/>
        </w:rPr>
        <w:t>管理 SQL</w:t>
      </w:r>
    </w:p>
    <w:p w14:paraId="3FDB84DE">
      <w:pPr>
        <w:snapToGrid/>
        <w:spacing w:line="240" w:lineRule="auto"/>
      </w:pPr>
      <w:r>
        <w:rPr>
          <w:i w:val="0"/>
          <w:strike w:val="0"/>
          <w:color w:val="000000"/>
          <w:u w:val="none"/>
        </w:rPr>
        <w:t>不支持 ANALYZE/CHECK/CHECKSUM/OPTIMIZE/REPAIR TABLE，需要用透传语法。</w:t>
      </w:r>
    </w:p>
    <w:p w14:paraId="6D651929">
      <w:pPr>
        <w:snapToGrid/>
        <w:spacing w:line="240" w:lineRule="auto"/>
      </w:pPr>
      <w:r>
        <w:rPr>
          <w:i w:val="0"/>
          <w:strike w:val="0"/>
          <w:color w:val="000000"/>
          <w:u w:val="none"/>
        </w:rPr>
        <w:t>不支持 CACHE INDEX</w:t>
      </w:r>
    </w:p>
    <w:p w14:paraId="17BE426B">
      <w:pPr>
        <w:snapToGrid/>
        <w:spacing w:line="240" w:lineRule="auto"/>
      </w:pPr>
      <w:r>
        <w:rPr>
          <w:i w:val="0"/>
          <w:strike w:val="0"/>
          <w:color w:val="000000"/>
          <w:u w:val="none"/>
        </w:rPr>
        <w:t>不支持 FLUSH</w:t>
      </w:r>
    </w:p>
    <w:p w14:paraId="65A1A366">
      <w:pPr>
        <w:snapToGrid/>
        <w:spacing w:line="240" w:lineRule="auto"/>
      </w:pPr>
      <w:r>
        <w:rPr>
          <w:i w:val="0"/>
          <w:strike w:val="0"/>
          <w:color w:val="000000"/>
          <w:u w:val="none"/>
        </w:rPr>
        <w:t>不支持 KILL</w:t>
      </w:r>
    </w:p>
    <w:p w14:paraId="3A2182D4">
      <w:pPr>
        <w:snapToGrid/>
        <w:spacing w:line="240" w:lineRule="auto"/>
      </w:pPr>
      <w:r>
        <w:rPr>
          <w:i w:val="0"/>
          <w:strike w:val="0"/>
          <w:color w:val="000000"/>
          <w:u w:val="none"/>
        </w:rPr>
        <w:t>不支持 LOAD INDEX INTO CACHE</w:t>
      </w:r>
    </w:p>
    <w:p w14:paraId="6555C4EC">
      <w:pPr>
        <w:snapToGrid/>
        <w:spacing w:line="240" w:lineRule="auto"/>
      </w:pPr>
      <w:r>
        <w:rPr>
          <w:i w:val="0"/>
          <w:strike w:val="0"/>
          <w:color w:val="000000"/>
          <w:u w:val="none"/>
        </w:rPr>
        <w:t>不支持 RESET</w:t>
      </w:r>
    </w:p>
    <w:p w14:paraId="19E79D8E">
      <w:pPr>
        <w:snapToGrid/>
        <w:spacing w:line="240" w:lineRule="auto"/>
      </w:pPr>
      <w:r>
        <w:rPr>
          <w:i w:val="0"/>
          <w:strike w:val="0"/>
          <w:color w:val="000000"/>
          <w:u w:val="none"/>
        </w:rPr>
        <w:t>不支持 SHUTDOWN</w:t>
      </w:r>
    </w:p>
    <w:p w14:paraId="294E338C">
      <w:pPr>
        <w:snapToGrid/>
        <w:spacing w:line="240" w:lineRule="auto"/>
      </w:pPr>
      <w:r>
        <w:rPr>
          <w:i w:val="0"/>
          <w:strike w:val="0"/>
          <w:color w:val="000000"/>
          <w:u w:val="none"/>
        </w:rPr>
        <w:t>不支持 SHOW BINARY LOGS/BINLOG EVENTS</w:t>
      </w:r>
    </w:p>
    <w:p w14:paraId="7A6F4F0E">
      <w:pPr>
        <w:snapToGrid/>
        <w:spacing w:line="240" w:lineRule="auto"/>
      </w:pPr>
      <w:r>
        <w:rPr>
          <w:i w:val="0"/>
          <w:strike w:val="0"/>
          <w:color w:val="000000"/>
          <w:u w:val="none"/>
        </w:rPr>
        <w:t>不支持 SHOW WARNINGS/ERRORS和LIMIT/COUNT 的组合。</w:t>
      </w:r>
    </w:p>
    <w:p w14:paraId="40579862">
      <w:pPr>
        <w:snapToGrid/>
        <w:spacing w:line="240" w:lineRule="auto"/>
      </w:pPr>
      <w:r>
        <w:rPr>
          <w:i w:val="0"/>
          <w:strike w:val="0"/>
          <w:color w:val="000000"/>
          <w:u w:val="none"/>
        </w:rPr>
        <w:t>不支持 SHOW GRANTS FOR CURRENT_USER 语句，需使用 SHOW GRANTS FOR &lt;用户名称&gt;进行查询。</w:t>
      </w:r>
    </w:p>
    <w:p w14:paraId="5975D1BA"/>
    <w:p w14:paraId="5E3909BE">
      <w:pPr>
        <w:pStyle w:val="2"/>
        <w:numPr>
          <w:ilvl w:val="0"/>
          <w:numId w:val="1"/>
        </w:numPr>
        <w:pBdr>
          <w:bottom w:val="none" w:color="auto" w:sz="0" w:space="0"/>
        </w:pBdr>
      </w:pPr>
      <w:r>
        <w:t>设计规范</w:t>
      </w:r>
    </w:p>
    <w:p w14:paraId="2BBE680D">
      <w:pPr>
        <w:pStyle w:val="3"/>
        <w:snapToGrid/>
        <w:spacing w:before="260" w:after="260" w:line="413" w:lineRule="auto"/>
        <w:ind w:left="425" w:right="0" w:hanging="425"/>
        <w:rPr>
          <w:rFonts w:ascii="微软雅黑" w:hAnsi="微软雅黑" w:eastAsia="微软雅黑" w:cs="微软雅黑"/>
        </w:rPr>
      </w:pPr>
      <w:bookmarkStart w:id="4" w:name="_Toc28727"/>
      <w:r>
        <w:rPr>
          <w:rFonts w:ascii="微软雅黑" w:hAnsi="微软雅黑" w:eastAsia="微软雅黑" w:cs="微软雅黑"/>
          <w:i w:val="0"/>
          <w:strike w:val="0"/>
          <w:color w:val="000000"/>
          <w:sz w:val="32"/>
          <w:u w:val="none"/>
        </w:rPr>
        <w:t>1.总体规范</w:t>
      </w:r>
      <w:bookmarkEnd w:id="4"/>
    </w:p>
    <w:p w14:paraId="37F503DB">
      <w:pPr>
        <w:pStyle w:val="4"/>
        <w:snapToGrid/>
        <w:spacing w:before="260" w:after="260" w:line="413" w:lineRule="auto"/>
        <w:ind w:left="425" w:right="0" w:hanging="425"/>
        <w:rPr>
          <w:rFonts w:ascii="微软雅黑" w:hAnsi="微软雅黑" w:eastAsia="微软雅黑" w:cs="微软雅黑"/>
        </w:rPr>
      </w:pPr>
      <w:bookmarkStart w:id="5" w:name="_Toc12395"/>
      <w:r>
        <w:rPr>
          <w:rFonts w:ascii="微软雅黑" w:hAnsi="微软雅黑" w:eastAsia="微软雅黑" w:cs="微软雅黑"/>
          <w:i w:val="0"/>
          <w:strike w:val="0"/>
          <w:color w:val="000000"/>
          <w:sz w:val="32"/>
          <w:u w:val="none"/>
        </w:rPr>
        <w:t>(1)总体要求</w:t>
      </w:r>
      <w:bookmarkEnd w:id="5"/>
    </w:p>
    <w:p w14:paraId="1DB2BA95">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TDSQL分布式数据库的层次，依次为实例（分布式实例或者集中式实例）、数据库（database）、表、分片、分区，多个实例可以部署在一套物理机集群上；在每个层面上都可以实现拆分，以支持单元化、微服务等应用架构，并实现性能扩展性。物理集群规划主要通过应用架构设计实现，不在本开发和设计规范内容内。本文主要规范实例、数据库、表、分片、分区和开发人员直接相关内容。</w:t>
      </w:r>
    </w:p>
    <w:p w14:paraId="4284A554">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使用分布式数据库是为了承载海量在线数据、满足高并发的联机访问要求。因此，在此类场景下，数据库的使用思路是尽量降低数据库的CPU和IO负载，使用数据库最基本的增删改查满足业务要求，通过应用层横向扩展提高性能。</w:t>
      </w:r>
    </w:p>
    <w:p w14:paraId="68E4740E">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另外新项目上线或旧项目重构前，一定要做数据量/访问量/数据增量/访问增长的评估，预先估计哪些表会是性能瓶颈，提前规划分片和分区方案。</w:t>
      </w:r>
    </w:p>
    <w:p w14:paraId="5EB52512">
      <w:pPr>
        <w:pStyle w:val="4"/>
        <w:snapToGrid/>
        <w:spacing w:before="260" w:after="260" w:line="413" w:lineRule="auto"/>
        <w:ind w:left="425" w:right="0" w:hanging="425"/>
        <w:rPr>
          <w:rFonts w:ascii="微软雅黑" w:hAnsi="微软雅黑" w:eastAsia="微软雅黑" w:cs="微软雅黑"/>
        </w:rPr>
      </w:pPr>
      <w:bookmarkStart w:id="6" w:name="_Toc24329"/>
      <w:r>
        <w:rPr>
          <w:rFonts w:ascii="微软雅黑" w:hAnsi="微软雅黑" w:eastAsia="微软雅黑" w:cs="微软雅黑"/>
          <w:i w:val="0"/>
          <w:strike w:val="0"/>
          <w:color w:val="000000"/>
          <w:sz w:val="32"/>
          <w:u w:val="none"/>
        </w:rPr>
        <w:t>(2)架构设计规范</w:t>
      </w:r>
      <w:bookmarkEnd w:id="6"/>
    </w:p>
    <w:p w14:paraId="74E1D57C">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当存在海量在线数据并需要高性能的访问时，可根据使用的分布式数据的类型考虑采用分片、分区、读写分离和冷热库（实例）等设计方式。</w:t>
      </w:r>
    </w:p>
    <w:p w14:paraId="16C04606">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ECB7DB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分片表：根据创建表时指定的分片键和拆分算法自动将数据落入对应的set，以此来减少单表造成的IO压力和单库容量的压力，并使存储和性能获得线性扩展的能力。</w:t>
      </w:r>
    </w:p>
    <w:p w14:paraId="6F66865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分区：在分片表基础上，对数据进一步分成许多小子集。以增强单表数据的承载量并保证单表查询性能。分区可以进一步提高单表的可操作性，可以根据分区更容易的维护数据。例如日期分区，对于历史数据清理有很大帮助。</w:t>
      </w:r>
    </w:p>
    <w:p w14:paraId="1BA6792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单片表：存储一些小型数据的表。</w:t>
      </w:r>
    </w:p>
    <w:p w14:paraId="472E3C9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广播表：常用于业务系统的配置表等。</w:t>
      </w:r>
    </w:p>
    <w:p w14:paraId="7E3E7A5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热冷库：对于在线数据库，推荐设计热表和冷表。对于不太访问，超过一定年限的历史数据，将历史数据迁移至另一数据库实例或者物理集群中，降低在线分布式数据库的压力，降低在线库集群硬件需求。</w:t>
      </w:r>
    </w:p>
    <w:p w14:paraId="36EFA6AD">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读写分离：需根据实际需求和运行情况决定。对数据一致性要求不高的查询、历史数据的查询、统计、复杂sql、长耗时的sql操作可考虑使用读写分离。</w:t>
      </w:r>
    </w:p>
    <w:p w14:paraId="3CD6801C">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7B20BB02">
      <w:pPr>
        <w:pStyle w:val="4"/>
        <w:snapToGrid/>
        <w:spacing w:before="260" w:after="260" w:line="413" w:lineRule="auto"/>
        <w:ind w:left="425" w:right="0" w:hanging="425"/>
        <w:rPr>
          <w:rFonts w:ascii="微软雅黑" w:hAnsi="微软雅黑" w:eastAsia="微软雅黑" w:cs="微软雅黑"/>
        </w:rPr>
      </w:pPr>
      <w:bookmarkStart w:id="7" w:name="_Toc24045"/>
      <w:r>
        <w:rPr>
          <w:rFonts w:ascii="微软雅黑" w:hAnsi="微软雅黑" w:eastAsia="微软雅黑" w:cs="微软雅黑"/>
          <w:i w:val="0"/>
          <w:strike w:val="0"/>
          <w:color w:val="000000"/>
          <w:sz w:val="32"/>
          <w:u w:val="none"/>
        </w:rPr>
        <w:t>(3)表对象分类</w:t>
      </w:r>
      <w:bookmarkEnd w:id="7"/>
    </w:p>
    <w:p w14:paraId="3A48E17D">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应用需要提前分析数据存储和使用的需求，根据不同的使用场景和要求选择最佳的方案。</w:t>
      </w:r>
    </w:p>
    <w:p w14:paraId="339256AD">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5A8868D9">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常见的数据表按特性可分为业务模型表，业务流水表，参数表和日志表。表特性主要如下：</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275"/>
        <w:gridCol w:w="2805"/>
        <w:gridCol w:w="1320"/>
        <w:gridCol w:w="1230"/>
        <w:gridCol w:w="1080"/>
      </w:tblGrid>
      <w:tr w14:paraId="4A0C8C6C">
        <w:tc>
          <w:tcPr>
            <w:tcW w:w="127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599185C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表类型</w:t>
            </w:r>
          </w:p>
        </w:tc>
        <w:tc>
          <w:tcPr>
            <w:tcW w:w="280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5E4DC3F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属性</w:t>
            </w:r>
          </w:p>
        </w:tc>
        <w:tc>
          <w:tcPr>
            <w:tcW w:w="132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346D1419">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写入</w:t>
            </w:r>
          </w:p>
        </w:tc>
        <w:tc>
          <w:tcPr>
            <w:tcW w:w="123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1ED9589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读取</w:t>
            </w:r>
          </w:p>
        </w:tc>
        <w:tc>
          <w:tcPr>
            <w:tcW w:w="108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6A76E0B5">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数据总量</w:t>
            </w:r>
          </w:p>
        </w:tc>
      </w:tr>
      <w:tr w14:paraId="78FF058F">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4661006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业务模型表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2D3AB45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是为了表述基本的业务模型，通常由业务对象实体表和业务对象关联关系表两类</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2FE9AC3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一般</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790E32E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频繁</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6386DD9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小~大</w:t>
            </w:r>
          </w:p>
        </w:tc>
      </w:tr>
      <w:tr w14:paraId="7E870BB7">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07E9B35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业务流水表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08E8225">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用来记录业务开展的相关信息，同时会记录业务的状态，常见的有交易订单表，交易流水表等</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005B7A8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频繁</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16E8F7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频繁</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4D022206">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大</w:t>
            </w:r>
          </w:p>
        </w:tc>
      </w:tr>
      <w:tr w14:paraId="56DA7E1F">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E901D1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参数表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7723C965">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用于维护业务系统的配置信息，常见的有数据字典表，系统参数表，各类业务参数表</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1FE4B0A2">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极少</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0DAB36E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极少</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067FAE5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小</w:t>
            </w:r>
          </w:p>
        </w:tc>
      </w:tr>
      <w:tr w14:paraId="6D40F5BB">
        <w:tc>
          <w:tcPr>
            <w:tcW w:w="127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773D0E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日志表</w:t>
            </w:r>
          </w:p>
        </w:tc>
        <w:tc>
          <w:tcPr>
            <w:tcW w:w="280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D4C38E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主要用于记录系统必要的操作记录，审计日志，上下游交互信息，不会保留业务的状态。常见的有系统接入接出报文表、审计日志表等</w:t>
            </w:r>
          </w:p>
        </w:tc>
        <w:tc>
          <w:tcPr>
            <w:tcW w:w="132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4746377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频繁</w:t>
            </w:r>
          </w:p>
        </w:tc>
        <w:tc>
          <w:tcPr>
            <w:tcW w:w="123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1F961E0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极少</w:t>
            </w:r>
          </w:p>
        </w:tc>
        <w:tc>
          <w:tcPr>
            <w:tcW w:w="10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4A80D02">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大</w:t>
            </w:r>
          </w:p>
        </w:tc>
      </w:tr>
    </w:tbl>
    <w:p w14:paraId="09E1A712">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FEE8A0A">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725D21B6">
      <w:pPr>
        <w:pStyle w:val="3"/>
        <w:snapToGrid/>
        <w:spacing w:before="260" w:after="260" w:line="413" w:lineRule="auto"/>
        <w:ind w:left="425" w:right="0" w:hanging="425"/>
        <w:rPr>
          <w:rFonts w:ascii="微软雅黑" w:hAnsi="微软雅黑" w:eastAsia="微软雅黑" w:cs="微软雅黑"/>
        </w:rPr>
      </w:pPr>
      <w:bookmarkStart w:id="8" w:name="_Toc30647"/>
      <w:r>
        <w:rPr>
          <w:rFonts w:ascii="微软雅黑" w:hAnsi="微软雅黑" w:eastAsia="微软雅黑" w:cs="微软雅黑"/>
          <w:i w:val="0"/>
          <w:strike w:val="0"/>
          <w:color w:val="000000"/>
          <w:sz w:val="32"/>
          <w:u w:val="none"/>
        </w:rPr>
        <w:t>2.分布式设计规范</w:t>
      </w:r>
      <w:bookmarkEnd w:id="8"/>
    </w:p>
    <w:p w14:paraId="35F9C28D">
      <w:pPr>
        <w:pStyle w:val="4"/>
        <w:snapToGrid/>
        <w:spacing w:before="260" w:after="260" w:line="413" w:lineRule="auto"/>
        <w:ind w:left="425" w:right="0" w:hanging="425"/>
        <w:rPr>
          <w:rFonts w:ascii="微软雅黑" w:hAnsi="微软雅黑" w:eastAsia="微软雅黑" w:cs="微软雅黑"/>
        </w:rPr>
      </w:pPr>
      <w:bookmarkStart w:id="9" w:name="_Toc744"/>
      <w:r>
        <w:rPr>
          <w:rFonts w:ascii="微软雅黑" w:hAnsi="微软雅黑" w:eastAsia="微软雅黑" w:cs="微软雅黑"/>
          <w:i w:val="0"/>
          <w:strike w:val="0"/>
          <w:color w:val="000000"/>
          <w:sz w:val="32"/>
          <w:u w:val="none"/>
        </w:rPr>
        <w:t>(1)实例类型设计</w:t>
      </w:r>
      <w:bookmarkEnd w:id="9"/>
    </w:p>
    <w:p w14:paraId="28607AB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xml:space="preserve">     优先建议使用集中式实例模式，集中式实例开发和运维正对简单；</w:t>
      </w:r>
    </w:p>
    <w:p w14:paraId="12E9FBB7">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xml:space="preserve">     对于并发量高，数据量大的交易系统，满足一定条件建议使用分布式实例。若以下条件满足4条，则推荐使用分布式数据库。</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975"/>
        <w:gridCol w:w="6090"/>
      </w:tblGrid>
      <w:tr w14:paraId="341EE625">
        <w:trPr>
          <w:trHeight w:val="313"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5566EDD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i w:val="0"/>
                <w:strike w:val="0"/>
                <w:color w:val="000000"/>
                <w:spacing w:val="0"/>
                <w:sz w:val="22"/>
                <w:u w:val="none"/>
                <w:vertAlign w:val="baseline"/>
              </w:rPr>
              <w:t>序号</w:t>
            </w:r>
          </w:p>
        </w:tc>
        <w:tc>
          <w:tcPr>
            <w:tcW w:w="6090"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678F3F3">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i w:val="0"/>
                <w:strike w:val="0"/>
                <w:color w:val="000000"/>
                <w:spacing w:val="0"/>
                <w:sz w:val="22"/>
                <w:u w:val="none"/>
                <w:vertAlign w:val="baseline"/>
              </w:rPr>
              <w:t>条件</w:t>
            </w:r>
          </w:p>
        </w:tc>
      </w:tr>
      <w:tr w14:paraId="7E70D53C">
        <w:trPr>
          <w:trHeight w:val="313"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2E299D4">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1</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0BC24B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是否存在严重的热点访问表（非热点行）</w:t>
            </w:r>
          </w:p>
        </w:tc>
      </w:tr>
      <w:tr w14:paraId="21919177">
        <w:trPr>
          <w:trHeight w:val="313"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8E883F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2</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26E7268">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数据存储总空间量，2年内是否超过1TB</w:t>
            </w:r>
          </w:p>
        </w:tc>
      </w:tr>
      <w:tr w14:paraId="44F41705">
        <w:trPr>
          <w:trHeight w:val="615"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D8DA794">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3</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0001FA7">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最大5张单表数据量行数，2年内是否超过5000万行</w:t>
            </w:r>
          </w:p>
        </w:tc>
      </w:tr>
      <w:tr w14:paraId="6D22DB3E">
        <w:trPr>
          <w:trHeight w:val="313"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ABAFCB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4</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0F05DA6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交易量，2年内数据库侧TPS超过3000（金融常见TP交易）</w:t>
            </w:r>
          </w:p>
        </w:tc>
      </w:tr>
      <w:tr w14:paraId="0DE2CD50">
        <w:trPr>
          <w:trHeight w:val="313"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D211FE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5</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788520A9">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rPr>
              <w:t>已投产MySQL单实例存在资源瓶颈</w:t>
            </w:r>
          </w:p>
        </w:tc>
      </w:tr>
      <w:tr w14:paraId="272B5B4E">
        <w:trPr>
          <w:trHeight w:val="615"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4709B3B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6</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12CD9676">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应用不能垂直拆分数据库实例（不同表放到不同实例）</w:t>
            </w:r>
          </w:p>
        </w:tc>
      </w:tr>
      <w:tr w14:paraId="3131E91E">
        <w:trPr>
          <w:trHeight w:val="625" w:hRule="atLeast"/>
        </w:trPr>
        <w:tc>
          <w:tcPr>
            <w:tcW w:w="975" w:type="dxa"/>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34A27CB6">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7</w:t>
            </w:r>
          </w:p>
        </w:tc>
        <w:tc>
          <w:tcPr>
            <w:tcW w:w="6090" w:type="dxa"/>
            <w:tcBorders>
              <w:top w:val="single" w:color="CBCDD1" w:sz="6" w:space="0"/>
              <w:left w:val="single" w:color="000000" w:sz="6" w:space="0"/>
              <w:bottom w:val="single" w:color="000000" w:sz="6" w:space="0"/>
              <w:right w:val="single" w:color="000000" w:sz="6" w:space="0"/>
            </w:tcBorders>
            <w:tcMar>
              <w:top w:w="0" w:type="dxa"/>
              <w:left w:w="108" w:type="dxa"/>
              <w:bottom w:w="0" w:type="dxa"/>
              <w:right w:w="108" w:type="dxa"/>
            </w:tcMar>
            <w:vAlign w:val="center"/>
          </w:tcPr>
          <w:p w14:paraId="62B9CD4E">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val="0"/>
                <w:i w:val="0"/>
                <w:strike w:val="0"/>
                <w:color w:val="000000"/>
                <w:spacing w:val="0"/>
                <w:sz w:val="22"/>
                <w:u w:val="none"/>
                <w:vertAlign w:val="baseline"/>
              </w:rPr>
              <w:t>应用无水平拆分数据能力（同一张表按照一定规则放到不同实例，如按照客户号取模）</w:t>
            </w:r>
          </w:p>
        </w:tc>
      </w:tr>
    </w:tbl>
    <w:p w14:paraId="514361B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5EAB547">
      <w:pPr>
        <w:pStyle w:val="4"/>
        <w:snapToGrid/>
        <w:spacing w:before="260" w:after="260" w:line="413" w:lineRule="auto"/>
        <w:ind w:left="425" w:right="0" w:hanging="425"/>
        <w:rPr>
          <w:rFonts w:ascii="微软雅黑" w:hAnsi="微软雅黑" w:eastAsia="微软雅黑" w:cs="微软雅黑"/>
        </w:rPr>
      </w:pPr>
      <w:bookmarkStart w:id="10" w:name="_Toc17372"/>
      <w:r>
        <w:rPr>
          <w:rFonts w:ascii="微软雅黑" w:hAnsi="微软雅黑" w:eastAsia="微软雅黑" w:cs="微软雅黑"/>
          <w:i w:val="0"/>
          <w:strike w:val="0"/>
          <w:color w:val="000000"/>
          <w:sz w:val="32"/>
          <w:u w:val="none"/>
        </w:rPr>
        <w:t>(2)表类型设计</w:t>
      </w:r>
      <w:bookmarkEnd w:id="10"/>
    </w:p>
    <w:p w14:paraId="37A8F27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对于分布式实例，优先考虑使用分片表</w:t>
      </w:r>
      <w:r>
        <w:rPr>
          <w:rFonts w:hint="eastAsia" w:ascii="微软雅黑" w:hAnsi="微软雅黑" w:eastAsia="微软雅黑" w:cs="微软雅黑"/>
          <w:i w:val="0"/>
          <w:strike w:val="0"/>
          <w:color w:val="000000"/>
          <w:sz w:val="24"/>
          <w:u w:val="none"/>
          <w:lang w:eastAsia="zh-CN"/>
        </w:rPr>
        <w:t>（</w:t>
      </w:r>
      <w:r>
        <w:rPr>
          <w:rFonts w:hint="eastAsia" w:ascii="微软雅黑" w:hAnsi="微软雅黑" w:eastAsia="微软雅黑" w:cs="微软雅黑"/>
          <w:i w:val="0"/>
          <w:strike w:val="0"/>
          <w:color w:val="000000"/>
          <w:sz w:val="24"/>
          <w:u w:val="none"/>
          <w:lang w:val="en-US" w:eastAsia="zh-CN"/>
        </w:rPr>
        <w:t>数据量超过20万，如果无关联场景，获取关联场景涉及的表有共同的分片字段必须改造为分片表</w:t>
      </w:r>
      <w:r>
        <w:rPr>
          <w:rFonts w:hint="eastAsia" w:ascii="微软雅黑" w:hAnsi="微软雅黑" w:eastAsia="微软雅黑" w:cs="微软雅黑"/>
          <w:i w:val="0"/>
          <w:strike w:val="0"/>
          <w:color w:val="000000"/>
          <w:sz w:val="24"/>
          <w:u w:val="none"/>
          <w:lang w:eastAsia="zh-CN"/>
        </w:rPr>
        <w:t>）</w:t>
      </w:r>
      <w:r>
        <w:rPr>
          <w:rFonts w:ascii="微软雅黑" w:hAnsi="微软雅黑" w:eastAsia="微软雅黑" w:cs="微软雅黑"/>
          <w:i w:val="0"/>
          <w:strike w:val="0"/>
          <w:color w:val="000000"/>
          <w:sz w:val="24"/>
          <w:u w:val="none"/>
        </w:rPr>
        <w:t>，保障数据均衡和各SET负载均衡；</w:t>
      </w:r>
    </w:p>
    <w:p w14:paraId="59861B4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b/>
          <w:i w:val="0"/>
          <w:strike w:val="0"/>
          <w:color w:val="000000"/>
          <w:sz w:val="24"/>
          <w:u w:val="none"/>
        </w:rPr>
        <w:t>【强制】【分布式】</w:t>
      </w:r>
      <w:r>
        <w:rPr>
          <w:rFonts w:ascii="微软雅黑" w:hAnsi="微软雅黑" w:eastAsia="微软雅黑" w:cs="微软雅黑"/>
          <w:i w:val="0"/>
          <w:strike w:val="0"/>
          <w:color w:val="000000"/>
          <w:sz w:val="24"/>
          <w:u w:val="none"/>
        </w:rPr>
        <w:t>广播表只适用于表数据量小，且需要经常和其他分片表关联；大表或频繁变更的表不允许使用广播表；</w:t>
      </w:r>
    </w:p>
    <w:p w14:paraId="3EDDB19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b/>
          <w:i w:val="0"/>
          <w:strike w:val="0"/>
          <w:color w:val="000000"/>
          <w:sz w:val="24"/>
          <w:u w:val="none"/>
        </w:rPr>
        <w:t>【强制】【分布式】</w:t>
      </w:r>
      <w:r>
        <w:rPr>
          <w:rFonts w:ascii="微软雅黑" w:hAnsi="微软雅黑" w:eastAsia="微软雅黑" w:cs="微软雅黑"/>
          <w:i w:val="0"/>
          <w:strike w:val="0"/>
          <w:color w:val="000000"/>
          <w:sz w:val="24"/>
          <w:u w:val="none"/>
        </w:rPr>
        <w:t>单表主要用于一些小型数据，且和其他关联不多的表。</w:t>
      </w:r>
    </w:p>
    <w:p w14:paraId="7BD7D59B">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b/>
          <w:i w:val="0"/>
          <w:strike w:val="0"/>
          <w:color w:val="000000"/>
          <w:sz w:val="24"/>
          <w:u w:val="none"/>
        </w:rPr>
        <w:t>【推荐】【分布式】</w:t>
      </w:r>
      <w:r>
        <w:rPr>
          <w:rFonts w:ascii="微软雅黑" w:hAnsi="微软雅黑" w:eastAsia="微软雅黑" w:cs="微软雅黑"/>
          <w:i w:val="0"/>
          <w:strike w:val="0"/>
          <w:color w:val="000000"/>
          <w:sz w:val="24"/>
          <w:u w:val="none"/>
        </w:rPr>
        <w:t>表类型建议：</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485"/>
        <w:gridCol w:w="5880"/>
      </w:tblGrid>
      <w:tr w14:paraId="2611108B">
        <w:tc>
          <w:tcPr>
            <w:tcW w:w="148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0F910D6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表类型</w:t>
            </w:r>
          </w:p>
        </w:tc>
        <w:tc>
          <w:tcPr>
            <w:tcW w:w="588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65AC48E2">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表类型</w:t>
            </w:r>
          </w:p>
        </w:tc>
      </w:tr>
      <w:tr w14:paraId="41D40B91">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7FB553C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业务模型表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746ED8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分片表</w:t>
            </w:r>
          </w:p>
        </w:tc>
      </w:tr>
      <w:tr w14:paraId="55799103">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518AAF89">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业务流水表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1202CC8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分片表，以及二级分区</w:t>
            </w:r>
          </w:p>
        </w:tc>
      </w:tr>
      <w:tr w14:paraId="6E4D84A0">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BFAF6C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参数表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323EFF40">
            <w:pPr>
              <w:pBdr>
                <w:bottom w:val="none" w:color="auto" w:sz="0" w:space="0"/>
              </w:pBd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单表或者广播表</w:t>
            </w:r>
          </w:p>
        </w:tc>
      </w:tr>
      <w:tr w14:paraId="088F5788">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736C15AB">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日志表</w:t>
            </w:r>
          </w:p>
        </w:tc>
        <w:tc>
          <w:tcPr>
            <w:tcW w:w="588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7E94CFA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分片表，以及二级分区</w:t>
            </w:r>
          </w:p>
        </w:tc>
      </w:tr>
    </w:tbl>
    <w:p w14:paraId="6A8020D6">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507C4EC5">
      <w:pPr>
        <w:pStyle w:val="4"/>
        <w:snapToGrid/>
        <w:spacing w:before="260" w:after="260" w:line="413" w:lineRule="auto"/>
        <w:ind w:left="425" w:right="0" w:hanging="425"/>
        <w:rPr>
          <w:rFonts w:ascii="微软雅黑" w:hAnsi="微软雅黑" w:eastAsia="微软雅黑" w:cs="微软雅黑"/>
        </w:rPr>
      </w:pPr>
      <w:bookmarkStart w:id="11" w:name="_Toc21720"/>
      <w:r>
        <w:rPr>
          <w:rFonts w:ascii="微软雅黑" w:hAnsi="微软雅黑" w:eastAsia="微软雅黑" w:cs="微软雅黑"/>
          <w:i w:val="0"/>
          <w:strike w:val="0"/>
          <w:color w:val="000000"/>
          <w:sz w:val="32"/>
          <w:u w:val="none"/>
        </w:rPr>
        <w:t>(3)分片</w:t>
      </w:r>
      <w:bookmarkEnd w:id="11"/>
      <w:r>
        <w:rPr>
          <w:rFonts w:ascii="微软雅黑" w:hAnsi="微软雅黑" w:eastAsia="微软雅黑" w:cs="微软雅黑"/>
          <w:i w:val="0"/>
          <w:strike w:val="0"/>
          <w:color w:val="000000"/>
          <w:sz w:val="32"/>
          <w:u w:val="none"/>
        </w:rPr>
        <w:t>键设计规范</w:t>
      </w:r>
    </w:p>
    <w:p w14:paraId="423546F7">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数据库可根据指定的分片键，自动计算操作对应的分片。但是分片的设计是固化的，投产后无法更改。因此，数据库分片键的选择及表设计需要经过严格的评审。尽量要选择能够使数据在各分片之间分布均匀的分片键。每个实例的分片数一旦设定，则对所有表是固定的，除非是单表或者复制表。</w:t>
      </w:r>
    </w:p>
    <w:p w14:paraId="1CC24C05">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332B94B2">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数据库分片键设计评审维度：</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4260"/>
        <w:gridCol w:w="4260"/>
      </w:tblGrid>
      <w:tr w14:paraId="3A0AB62E">
        <w:tc>
          <w:tcPr>
            <w:tcW w:w="426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19C9D1E6">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维度</w:t>
            </w:r>
          </w:p>
        </w:tc>
        <w:tc>
          <w:tcPr>
            <w:tcW w:w="4260"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4F9FAAA3">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说明</w:t>
            </w:r>
          </w:p>
        </w:tc>
      </w:tr>
      <w:tr w14:paraId="5C0572BA">
        <w:trPr>
          <w:trHeight w:val="320" w:hRule="atLeast"/>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336ACFF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数据分布</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60C9A557">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拆分后的数据是否能均匀分布在不同数据库set上</w:t>
            </w:r>
          </w:p>
        </w:tc>
      </w:tr>
      <w:tr w14:paraId="3B6B6F63">
        <w:trPr>
          <w:trHeight w:val="293" w:hRule="atLeast"/>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5523CCB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查询关联度</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46357F8">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是否是DML语句中常用的或者必须的条件</w:t>
            </w:r>
          </w:p>
        </w:tc>
      </w:tr>
      <w:tr w14:paraId="156757E5">
        <w:trPr>
          <w:trHeight w:val="293" w:hRule="atLeast"/>
        </w:trPr>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BE7E50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字段关联度</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2182C6E">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是否是表连接的主要关联字段</w:t>
            </w:r>
          </w:p>
        </w:tc>
      </w:tr>
      <w:tr w14:paraId="3504E4AC">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5D36099">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字段属性</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E2C9CE2">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不使用TIMESTAMP，字段长度需小于255，不带有中文，大小写敏感等。</w:t>
            </w:r>
          </w:p>
        </w:tc>
      </w:tr>
      <w:tr w14:paraId="46F9BF89">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5F657C1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唯一性约束</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19271753">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分片键破坏了原来的主键和唯一索引的唯一性，因此业务系统是否能支撑</w:t>
            </w:r>
          </w:p>
        </w:tc>
      </w:tr>
      <w:tr w14:paraId="6B43A903">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747CF841">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拆分方式</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190047D">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Hash、Range、List</w:t>
            </w:r>
          </w:p>
        </w:tc>
      </w:tr>
      <w:tr w14:paraId="060A2338">
        <w:tc>
          <w:tcPr>
            <w:tcW w:w="4260"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116FC1A6">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 </w:t>
            </w:r>
          </w:p>
        </w:tc>
        <w:tc>
          <w:tcPr>
            <w:tcW w:w="4260"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0C8D14A">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 </w:t>
            </w:r>
          </w:p>
        </w:tc>
      </w:tr>
    </w:tbl>
    <w:p w14:paraId="39AB6B93">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53F57F82">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839E382">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数据库分片键规范：</w:t>
      </w:r>
    </w:p>
    <w:p w14:paraId="33F2813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分片键的选取应考虑分片键不会被更新，大部分的语句查询条件都应包含该字段，该字段会使各个分表中的数据分配比较平均。</w:t>
      </w:r>
    </w:p>
    <w:p w14:paraId="2850A02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建议不同的表使用同样的分片键，即不同表关联查询时使用的主要列（虽然可以使用不同的分片键，但会造成数据在不同set之间传输，性能下降），让相关数据落到同一个set上，提高关联查询性能。</w:t>
      </w:r>
    </w:p>
    <w:p w14:paraId="2029C4A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分片键必须是主键以及所有唯一索引的一部分，如不是的情况下需要业务自己保证唯一性。例：b列业务上要求唯一，但是又要用a列来做拆分，前提：分片键必须是主键以及所有唯一索引的一部分，所以只能在ab上建立联合主键，则b列的唯一性被破坏，需要采用其他方式保证b列数据的唯一性。</w:t>
      </w:r>
    </w:p>
    <w:p w14:paraId="52F385BF">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分片键的类型必须为int，bigint，smallint，char，varchar，如果分片键是char或者varchar类型，长度不超255。（注意varchar等字符类字段定义超过500，在分布式场景下force index时指定该字段会报错）</w:t>
      </w:r>
    </w:p>
    <w:p w14:paraId="594E0C5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drawing>
          <wp:inline distT="0" distB="0" distL="0" distR="0">
            <wp:extent cx="5493385" cy="58610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7"/>
                    <a:stretch>
                      <a:fillRect/>
                    </a:stretch>
                  </pic:blipFill>
                  <pic:spPr>
                    <a:xfrm>
                      <a:off x="0" y="0"/>
                      <a:ext cx="5493385" cy="586517"/>
                    </a:xfrm>
                    <a:prstGeom prst="rect">
                      <a:avLst/>
                    </a:prstGeom>
                  </pic:spPr>
                </pic:pic>
              </a:graphicData>
            </a:graphic>
          </wp:inline>
        </w:drawing>
      </w:r>
    </w:p>
    <w:p w14:paraId="01C4DFD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分片键的值不能为中文，因为Proxy不会转换字符集，所以不同字符集可能会路由到不同的分区</w:t>
      </w:r>
    </w:p>
    <w:p w14:paraId="2E239CF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避免使用TIMESTAMP类型作为分区键，timestamp只能使用到2038年</w:t>
      </w:r>
    </w:p>
    <w:p w14:paraId="3DAABA0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一级分库尽量不要使用Range或List的方式，城商行尽量使用Hash，使用Range或List方式进行的分表时，需要进行容量估计，以保证数据尽可能的均匀落在各个分表中。</w:t>
      </w:r>
    </w:p>
    <w:p w14:paraId="5D5E00D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b/>
          <w:i w:val="0"/>
          <w:strike w:val="0"/>
          <w:color w:val="000000"/>
          <w:sz w:val="24"/>
          <w:u w:val="none"/>
        </w:rPr>
        <w:t>【推荐】【分布式】</w:t>
      </w:r>
      <w:r>
        <w:rPr>
          <w:rFonts w:ascii="微软雅黑" w:hAnsi="微软雅黑" w:eastAsia="微软雅黑" w:cs="微软雅黑"/>
          <w:i w:val="0"/>
          <w:strike w:val="0"/>
          <w:color w:val="000000"/>
          <w:sz w:val="24"/>
          <w:u w:val="none"/>
        </w:rPr>
        <w:t>表分片建议：</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485"/>
        <w:gridCol w:w="2175"/>
        <w:gridCol w:w="2595"/>
      </w:tblGrid>
      <w:tr w14:paraId="175D8BB6">
        <w:tc>
          <w:tcPr>
            <w:tcW w:w="148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5050B2F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表类型</w:t>
            </w:r>
          </w:p>
        </w:tc>
        <w:tc>
          <w:tcPr>
            <w:tcW w:w="217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2BABE88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分片键</w:t>
            </w:r>
          </w:p>
        </w:tc>
        <w:tc>
          <w:tcPr>
            <w:tcW w:w="2595"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3DD995E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分片类型</w:t>
            </w:r>
          </w:p>
        </w:tc>
      </w:tr>
      <w:tr w14:paraId="53774ED3">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650E51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业务模型表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C62A111">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081D2F6">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根据实际情况选择</w:t>
            </w:r>
          </w:p>
        </w:tc>
      </w:tr>
      <w:tr w14:paraId="23629342">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6707C613">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业务流水表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3A8FB73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34610D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hash分片；</w:t>
            </w:r>
          </w:p>
          <w:p w14:paraId="20893A93">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二级分区推荐使用日期类型创建</w:t>
            </w:r>
          </w:p>
        </w:tc>
      </w:tr>
      <w:tr w14:paraId="3FD42F83">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6CC939CD">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参数表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56D66CD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A04F6BC">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w:t>
            </w:r>
          </w:p>
        </w:tc>
      </w:tr>
      <w:tr w14:paraId="7010018E">
        <w:tc>
          <w:tcPr>
            <w:tcW w:w="1485"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center"/>
          </w:tcPr>
          <w:p w14:paraId="33419152">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日志表</w:t>
            </w:r>
          </w:p>
        </w:tc>
        <w:tc>
          <w:tcPr>
            <w:tcW w:w="217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C4D2D9B">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客户号或者账号或者卡号</w:t>
            </w:r>
          </w:p>
        </w:tc>
        <w:tc>
          <w:tcPr>
            <w:tcW w:w="2595"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7E99409">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hash分片；</w:t>
            </w:r>
          </w:p>
          <w:p w14:paraId="6EC6DC85">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二级分区推荐使用日期类型创建</w:t>
            </w:r>
          </w:p>
        </w:tc>
      </w:tr>
    </w:tbl>
    <w:p w14:paraId="1C8AA60D">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12A45E2B">
      <w:pPr>
        <w:pStyle w:val="4"/>
        <w:snapToGrid/>
        <w:spacing w:before="260" w:after="260" w:line="413" w:lineRule="auto"/>
        <w:ind w:left="425" w:right="0" w:hanging="425"/>
        <w:rPr>
          <w:rFonts w:ascii="微软雅黑" w:hAnsi="微软雅黑" w:eastAsia="微软雅黑" w:cs="微软雅黑"/>
        </w:rPr>
      </w:pPr>
      <w:bookmarkStart w:id="12" w:name="_Toc29709"/>
      <w:r>
        <w:rPr>
          <w:rFonts w:ascii="微软雅黑" w:hAnsi="微软雅黑" w:eastAsia="微软雅黑" w:cs="微软雅黑"/>
          <w:i w:val="0"/>
          <w:strike w:val="0"/>
          <w:color w:val="000000"/>
          <w:sz w:val="32"/>
          <w:u w:val="none"/>
        </w:rPr>
        <w:t>(4)分区设计规范</w:t>
      </w:r>
      <w:bookmarkEnd w:id="12"/>
    </w:p>
    <w:p w14:paraId="296D831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【强制】根据业务长期场景合理设计表结构，二级分区适用于表结构创建后长期都不需要DDL变更、需要定期进行分区数据清理和裁剪的场景，比如日志流水表。</w:t>
      </w:r>
    </w:p>
    <w:p w14:paraId="473FDD9D">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【强制】在对二级分区表进行join查询时，为保证查询效率，查询条件必须带上一级分区和二级分区的键值。</w:t>
      </w:r>
    </w:p>
    <w:p w14:paraId="2801A53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【推荐】合理设计二级分区的粒度，二级分区的粒度推荐不要划分得太细，避免产生过多的二级子表。比如流水表按月进行二级分区，而不是按天/小时进行分区，避免文件系统上数据文件个数过多。</w:t>
      </w:r>
    </w:p>
    <w:p w14:paraId="0B1E607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【推荐】单分片总量超过10GB或</w:t>
      </w:r>
      <w:r>
        <w:rPr>
          <w:rFonts w:hint="eastAsia" w:ascii="微软雅黑" w:hAnsi="微软雅黑" w:eastAsia="微软雅黑" w:cs="微软雅黑"/>
          <w:i w:val="0"/>
          <w:strike w:val="0"/>
          <w:color w:val="000000"/>
          <w:sz w:val="24"/>
          <w:u w:val="none"/>
          <w:lang w:val="en-US" w:eastAsia="zh-CN"/>
        </w:rPr>
        <w:t>3</w:t>
      </w:r>
      <w:bookmarkStart w:id="27" w:name="_GoBack"/>
      <w:bookmarkEnd w:id="27"/>
      <w:r>
        <w:rPr>
          <w:rFonts w:ascii="微软雅黑" w:hAnsi="微软雅黑" w:eastAsia="微软雅黑" w:cs="微软雅黑"/>
          <w:i w:val="0"/>
          <w:strike w:val="0"/>
          <w:color w:val="000000"/>
          <w:sz w:val="24"/>
          <w:u w:val="none"/>
        </w:rPr>
        <w:t>000万行的表建议考虑使用分区设计。</w:t>
      </w:r>
    </w:p>
    <w:p w14:paraId="55F498A4">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15C479AC">
      <w:pPr>
        <w:pStyle w:val="4"/>
        <w:snapToGrid/>
        <w:spacing w:before="260" w:after="260" w:line="413" w:lineRule="auto"/>
        <w:ind w:left="425" w:right="0" w:hanging="425"/>
        <w:rPr>
          <w:rFonts w:ascii="微软雅黑" w:hAnsi="微软雅黑" w:eastAsia="微软雅黑" w:cs="微软雅黑"/>
        </w:rPr>
      </w:pPr>
      <w:bookmarkStart w:id="13" w:name="_Toc30436"/>
      <w:r>
        <w:rPr>
          <w:rFonts w:ascii="微软雅黑" w:hAnsi="微软雅黑" w:eastAsia="微软雅黑" w:cs="微软雅黑"/>
          <w:i w:val="0"/>
          <w:strike w:val="0"/>
          <w:color w:val="000000"/>
          <w:sz w:val="32"/>
          <w:u w:val="none"/>
        </w:rPr>
        <w:t>(5)冷热库设计规范</w:t>
      </w:r>
      <w:bookmarkEnd w:id="13"/>
    </w:p>
    <w:p w14:paraId="16CD712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【强制】在线库建议控制大小。做好历史数据定期转存历史库。</w:t>
      </w:r>
    </w:p>
    <w:p w14:paraId="4FE12A4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【推荐】热库的对应冷库表参数、结构必须一致。</w:t>
      </w:r>
    </w:p>
    <w:p w14:paraId="2D1BC624">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【推荐】已迁移至冷库的数据不再有增删改操作。</w:t>
      </w:r>
    </w:p>
    <w:p w14:paraId="16D87830">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7D46585A">
      <w:pPr>
        <w:pStyle w:val="3"/>
        <w:snapToGrid/>
        <w:spacing w:before="260" w:after="260" w:line="413" w:lineRule="auto"/>
        <w:ind w:left="425" w:right="0" w:hanging="425"/>
        <w:rPr>
          <w:rFonts w:ascii="微软雅黑" w:hAnsi="微软雅黑" w:eastAsia="微软雅黑" w:cs="微软雅黑"/>
        </w:rPr>
      </w:pPr>
      <w:bookmarkStart w:id="14" w:name="_Toc2095"/>
      <w:r>
        <w:rPr>
          <w:rFonts w:ascii="微软雅黑" w:hAnsi="微软雅黑" w:eastAsia="微软雅黑" w:cs="微软雅黑"/>
          <w:i w:val="0"/>
          <w:strike w:val="0"/>
          <w:color w:val="000000"/>
          <w:sz w:val="32"/>
          <w:u w:val="none"/>
        </w:rPr>
        <w:t>3.通过</w:t>
      </w:r>
      <w:bookmarkEnd w:id="14"/>
      <w:r>
        <w:rPr>
          <w:rFonts w:ascii="微软雅黑" w:hAnsi="微软雅黑" w:eastAsia="微软雅黑" w:cs="微软雅黑"/>
          <w:i w:val="0"/>
          <w:strike w:val="0"/>
          <w:color w:val="000000"/>
          <w:sz w:val="32"/>
          <w:u w:val="none"/>
        </w:rPr>
        <w:t>设计规范</w:t>
      </w:r>
    </w:p>
    <w:p w14:paraId="6BFD2369">
      <w:pPr>
        <w:pStyle w:val="4"/>
        <w:snapToGrid/>
        <w:spacing w:before="260" w:after="260" w:line="413" w:lineRule="auto"/>
        <w:ind w:left="425" w:right="0" w:hanging="425"/>
        <w:rPr>
          <w:rFonts w:ascii="微软雅黑" w:hAnsi="微软雅黑" w:eastAsia="微软雅黑" w:cs="微软雅黑"/>
        </w:rPr>
      </w:pPr>
      <w:bookmarkStart w:id="15" w:name="_Toc5450"/>
      <w:r>
        <w:rPr>
          <w:rFonts w:ascii="微软雅黑" w:hAnsi="微软雅黑" w:eastAsia="微软雅黑" w:cs="微软雅黑"/>
          <w:i w:val="0"/>
          <w:strike w:val="0"/>
          <w:color w:val="000000"/>
          <w:sz w:val="32"/>
          <w:u w:val="none"/>
        </w:rPr>
        <w:t>(1)库设计规范</w:t>
      </w:r>
      <w:bookmarkEnd w:id="15"/>
    </w:p>
    <w:p w14:paraId="57A63FBF">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【强制】默认存储引擎设置为 InnoDB；</w:t>
      </w:r>
    </w:p>
    <w:p w14:paraId="55B33A3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【强制】禁止使用MyISAM引擎；</w:t>
      </w:r>
    </w:p>
    <w:p w14:paraId="013DCDD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【强制】InnoDB 存储引擎的事务隔离级别使用Read Committed；</w:t>
      </w:r>
    </w:p>
    <w:p w14:paraId="033CAE5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【强制】同一个数据库中所有表、字段必须使用相同的字符集，应保证应用程序连接、数据库、表、字段字符集一致</w:t>
      </w:r>
    </w:p>
    <w:p w14:paraId="103017C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【强制】不同业务域数据放到不同库中</w:t>
      </w:r>
    </w:p>
    <w:p w14:paraId="73326A14">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【强制】创建数据库时必须显式指定字符集，字符集建议统一为 utf8mb4；</w:t>
      </w:r>
    </w:p>
    <w:p w14:paraId="50494D39">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【强制】规则不使用utf8mb4_general_ci（不区分大小写），应使用utf8mb4_bin（区分大小写）</w:t>
      </w:r>
    </w:p>
    <w:p w14:paraId="254449F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drawing>
          <wp:inline distT="0" distB="0" distL="0" distR="0">
            <wp:extent cx="4304030" cy="466598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8"/>
                    <a:srcRect/>
                    <a:stretch>
                      <a:fillRect/>
                    </a:stretch>
                  </pic:blipFill>
                  <pic:spPr>
                    <a:xfrm>
                      <a:off x="0" y="0"/>
                      <a:ext cx="4304232" cy="4666270"/>
                    </a:xfrm>
                    <a:prstGeom prst="rect">
                      <a:avLst/>
                    </a:prstGeom>
                  </pic:spPr>
                </pic:pic>
              </a:graphicData>
            </a:graphic>
          </wp:inline>
        </w:drawing>
      </w:r>
    </w:p>
    <w:p w14:paraId="2955588E">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【强制】库的名称必须控制在32 个字符以内</w:t>
      </w:r>
    </w:p>
    <w:p w14:paraId="715E4C5C">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【强制】必须统一用英文小写字母命名数据库名,不得使用中文命名，不得使用符号（下划线除外）</w:t>
      </w:r>
    </w:p>
    <w:p w14:paraId="54423137">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【推荐】库的名称格式：业务系统名称_子系统名，同一模块使用的表名尽量使用统一前缀</w:t>
      </w:r>
    </w:p>
    <w:p w14:paraId="5A4C4FC4">
      <w:pPr>
        <w:snapToGrid/>
        <w:spacing w:before="0" w:after="0" w:line="240" w:lineRule="auto"/>
        <w:ind w:left="0" w:right="0"/>
        <w:rPr>
          <w:rFonts w:ascii="微软雅黑" w:hAnsi="微软雅黑" w:eastAsia="微软雅黑" w:cs="微软雅黑"/>
        </w:rPr>
      </w:pPr>
    </w:p>
    <w:p w14:paraId="081F1DA8">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7AEA82E7">
      <w:pPr>
        <w:pStyle w:val="4"/>
        <w:snapToGrid/>
        <w:spacing w:before="260" w:after="260" w:line="413" w:lineRule="auto"/>
        <w:ind w:left="425" w:right="0" w:hanging="425"/>
        <w:rPr>
          <w:rFonts w:ascii="微软雅黑" w:hAnsi="微软雅黑" w:eastAsia="微软雅黑" w:cs="微软雅黑"/>
        </w:rPr>
      </w:pPr>
      <w:bookmarkStart w:id="16" w:name="_Toc16305"/>
      <w:r>
        <w:rPr>
          <w:rFonts w:ascii="微软雅黑" w:hAnsi="微软雅黑" w:eastAsia="微软雅黑" w:cs="微软雅黑"/>
          <w:i w:val="0"/>
          <w:strike w:val="0"/>
          <w:color w:val="000000"/>
          <w:sz w:val="32"/>
          <w:u w:val="none"/>
        </w:rPr>
        <w:t>(2)表设计规范</w:t>
      </w:r>
      <w:bookmarkEnd w:id="16"/>
    </w:p>
    <w:p w14:paraId="30AE1196">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表大小主要有三个维度：表的数据量，每行数据大小。小表：数据量级别在10万以下、单行小于1K、读频率高，写频率低。大表：数据量级别在百万以上或单行数据量大于10K或写频率高。</w:t>
      </w:r>
    </w:p>
    <w:p w14:paraId="094A26C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113724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1"/>
          <w:u w:val="none"/>
        </w:rPr>
        <w:t>【强制】表必须有主键，且主键值禁止被更新；</w:t>
      </w:r>
    </w:p>
    <w:p w14:paraId="2F73EEFB">
      <w:pPr>
        <w:snapToGrid/>
        <w:spacing w:before="0" w:after="0" w:line="240" w:lineRule="auto"/>
        <w:ind w:left="0" w:right="0" w:firstLine="0"/>
        <w:rPr>
          <w:rFonts w:ascii="微软雅黑" w:hAnsi="微软雅黑" w:eastAsia="微软雅黑" w:cs="微软雅黑"/>
        </w:rPr>
      </w:pPr>
      <w:r>
        <w:rPr>
          <w:rFonts w:ascii="微软雅黑" w:hAnsi="微软雅黑" w:eastAsia="微软雅黑" w:cs="微软雅黑"/>
          <w:i w:val="0"/>
          <w:strike w:val="0"/>
          <w:color w:val="000000"/>
          <w:sz w:val="24"/>
          <w:u w:val="none"/>
        </w:rPr>
        <w:t>【推荐】常见的数据表主键可参考下表：</w:t>
      </w:r>
    </w:p>
    <w:tbl>
      <w:tblPr>
        <w:tblStyle w:val="7"/>
        <w:tblW w:w="0" w:type="auto"/>
        <w:tblInd w:w="0" w:type="dxa"/>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fixed"/>
        <w:tblCellMar>
          <w:top w:w="0" w:type="dxa"/>
          <w:left w:w="108" w:type="dxa"/>
          <w:bottom w:w="0" w:type="dxa"/>
          <w:right w:w="108" w:type="dxa"/>
        </w:tblCellMar>
      </w:tblPr>
      <w:tblGrid>
        <w:gridCol w:w="1236"/>
        <w:gridCol w:w="3909"/>
        <w:gridCol w:w="3909"/>
      </w:tblGrid>
      <w:tr w14:paraId="20C48ABC">
        <w:tc>
          <w:tcPr>
            <w:tcW w:w="1236"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0AA38004">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表类型</w:t>
            </w:r>
          </w:p>
        </w:tc>
        <w:tc>
          <w:tcPr>
            <w:tcW w:w="3909"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5825CD09">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FFFFFF"/>
                <w:spacing w:val="0"/>
                <w:sz w:val="24"/>
                <w:u w:val="none"/>
              </w:rPr>
              <w:t>主键规范</w:t>
            </w:r>
          </w:p>
        </w:tc>
        <w:tc>
          <w:tcPr>
            <w:tcW w:w="3909" w:type="dxa"/>
            <w:tcBorders>
              <w:top w:val="single" w:color="000000" w:sz="6" w:space="0"/>
              <w:left w:val="single" w:color="000000" w:sz="6" w:space="0"/>
              <w:bottom w:val="single" w:color="000000" w:sz="6" w:space="0"/>
              <w:right w:val="single" w:color="000000" w:sz="6" w:space="0"/>
            </w:tcBorders>
            <w:shd w:val="clear" w:color="auto" w:fill="4F81BD"/>
            <w:tcMar>
              <w:top w:w="0" w:type="dxa"/>
              <w:left w:w="108" w:type="dxa"/>
              <w:bottom w:w="0" w:type="dxa"/>
              <w:right w:w="108" w:type="dxa"/>
            </w:tcMar>
            <w:vAlign w:val="top"/>
          </w:tcPr>
          <w:p w14:paraId="0A2BA749">
            <w:pPr>
              <w:snapToGrid/>
              <w:spacing w:before="0" w:after="0" w:line="240" w:lineRule="auto"/>
              <w:ind w:left="0" w:right="0"/>
              <w:jc w:val="both"/>
              <w:rPr>
                <w:rFonts w:ascii="微软雅黑" w:hAnsi="微软雅黑" w:eastAsia="微软雅黑" w:cs="微软雅黑"/>
              </w:rPr>
            </w:pPr>
            <w:r>
              <w:rPr>
                <w:rFonts w:ascii="微软雅黑" w:hAnsi="微软雅黑" w:eastAsia="微软雅黑" w:cs="微软雅黑"/>
              </w:rPr>
              <w:t>推荐</w:t>
            </w:r>
          </w:p>
        </w:tc>
      </w:tr>
      <w:tr w14:paraId="722E83E6">
        <w:tc>
          <w:tcPr>
            <w:tcW w:w="1236"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330102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业务模型表</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0D484D35">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可以使用自增序列</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FFEA113">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rPr>
              <w:t>推荐使用业务区分度较高的字段，且有业务属性字段</w:t>
            </w:r>
          </w:p>
        </w:tc>
      </w:tr>
      <w:tr w14:paraId="0921BC84">
        <w:trPr>
          <w:trHeight w:val="285" w:hRule="atLeast"/>
        </w:trPr>
        <w:tc>
          <w:tcPr>
            <w:tcW w:w="1236"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674D9678">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参数表</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D81FD4A">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可以使用自增序列</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6FD63120">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rPr>
              <w:t>推荐使用业务区分度较高的字段，且有业务属性字段</w:t>
            </w:r>
          </w:p>
          <w:p w14:paraId="47A21061">
            <w:pPr>
              <w:snapToGrid/>
              <w:spacing w:before="0" w:after="0" w:line="240" w:lineRule="auto"/>
              <w:ind w:left="0" w:right="0"/>
              <w:jc w:val="center"/>
              <w:rPr>
                <w:rFonts w:ascii="微软雅黑" w:hAnsi="微软雅黑" w:eastAsia="微软雅黑" w:cs="微软雅黑"/>
              </w:rPr>
            </w:pPr>
          </w:p>
        </w:tc>
      </w:tr>
      <w:tr w14:paraId="4F0DFDBA">
        <w:tc>
          <w:tcPr>
            <w:tcW w:w="1236"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1F0F80F">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交易流水表</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514BD64">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应用通过分布式算法生成唯一主键</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2936EA7C">
            <w:pPr>
              <w:pBdr>
                <w:bottom w:val="none" w:color="auto" w:sz="0" w:space="0"/>
              </w:pBd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rPr>
              <w:t>推荐使用业务区分度较高的字段，且有业务属性字段</w:t>
            </w:r>
          </w:p>
        </w:tc>
      </w:tr>
      <w:tr w14:paraId="0BC39CF0">
        <w:tc>
          <w:tcPr>
            <w:tcW w:w="1236" w:type="dxa"/>
            <w:tcBorders>
              <w:top w:val="single" w:color="000000"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30F79D81">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日志表</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435DC4F7">
            <w:pP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b w:val="0"/>
                <w:i w:val="0"/>
                <w:strike w:val="0"/>
                <w:color w:val="000000"/>
                <w:spacing w:val="0"/>
                <w:sz w:val="24"/>
                <w:u w:val="none"/>
              </w:rPr>
              <w:t>应用通过分布式算法生成唯一主键</w:t>
            </w:r>
          </w:p>
        </w:tc>
        <w:tc>
          <w:tcPr>
            <w:tcW w:w="3909" w:type="dxa"/>
            <w:tcBorders>
              <w:top w:val="single" w:color="CBCDD1" w:sz="6" w:space="0"/>
              <w:left w:val="single" w:color="000000" w:sz="6" w:space="0"/>
              <w:bottom w:val="single" w:color="000000" w:sz="6" w:space="0"/>
              <w:right w:val="single" w:color="000000" w:sz="6" w:space="0"/>
            </w:tcBorders>
            <w:shd w:val="clear" w:color="auto" w:fill="FFFFFF"/>
            <w:tcMar>
              <w:top w:w="0" w:type="dxa"/>
              <w:left w:w="108" w:type="dxa"/>
              <w:bottom w:w="0" w:type="dxa"/>
              <w:right w:w="108" w:type="dxa"/>
            </w:tcMar>
            <w:vAlign w:val="top"/>
          </w:tcPr>
          <w:p w14:paraId="32050B5C">
            <w:pPr>
              <w:pBdr>
                <w:bottom w:val="none" w:color="auto" w:sz="0" w:space="0"/>
              </w:pBdr>
              <w:snapToGrid/>
              <w:spacing w:before="0" w:after="0" w:line="240" w:lineRule="auto"/>
              <w:ind w:left="0" w:right="0"/>
              <w:jc w:val="center"/>
              <w:rPr>
                <w:rFonts w:ascii="微软雅黑" w:hAnsi="微软雅黑" w:eastAsia="微软雅黑" w:cs="微软雅黑"/>
              </w:rPr>
            </w:pPr>
            <w:r>
              <w:rPr>
                <w:rFonts w:ascii="微软雅黑" w:hAnsi="微软雅黑" w:eastAsia="微软雅黑" w:cs="微软雅黑"/>
              </w:rPr>
              <w:t>推荐使用业务区分度较高的字段，且有业务属性字段</w:t>
            </w:r>
          </w:p>
        </w:tc>
      </w:tr>
    </w:tbl>
    <w:p w14:paraId="7C51E0F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【强制】对于写入量非常大的表不允许使用自增列作为主键，推荐由应用系统使用分布式算法（如雪花算法）生成主键防止表的主键写入热点</w:t>
      </w:r>
    </w:p>
    <w:p w14:paraId="0035E52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【强制】活跃表中禁止使用 blob、text、varchar(&gt;500) 等大字段，不在数据库中存储图片、文件；</w:t>
      </w:r>
    </w:p>
    <w:p w14:paraId="01604DDD">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【强制】不使用外键做数据一致性保证，从业务上控制</w:t>
      </w:r>
    </w:p>
    <w:p w14:paraId="7B3A3FF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【强制】表名 &lt;= 32个字符 ，只能使用字母小写、数字和_</w:t>
      </w:r>
    </w:p>
    <w:p w14:paraId="475F721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【强制】表必须有主键，且主键值禁止被更新</w:t>
      </w:r>
    </w:p>
    <w:p w14:paraId="56693794">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【强制】建表必须显式指定存储引擎engine=innodb</w:t>
      </w:r>
    </w:p>
    <w:p w14:paraId="65B289BA">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【强制】必须有表级别comment</w:t>
      </w:r>
    </w:p>
    <w:p w14:paraId="39E59C4A">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【强制】多个表中同一类型与含义字段类型与属性必须相同</w:t>
      </w:r>
    </w:p>
    <w:p w14:paraId="0B49B1E4">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【强制】建表必须显式指定字符集default charset=utf8mb4</w:t>
      </w:r>
    </w:p>
    <w:p w14:paraId="52300348">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【强制】表名不使用复数名词</w:t>
      </w:r>
    </w:p>
    <w:p w14:paraId="04A196B9">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【强制】禁止使用MySQL已有的关键字</w:t>
      </w:r>
    </w:p>
    <w:p w14:paraId="7CBAAF0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【推荐】表包含创建时间字段 create_time和最后更新时间字段update_time</w:t>
      </w:r>
    </w:p>
    <w:p w14:paraId="247404A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【推荐】表设计需要达到BCNF或3NF，但是也要考虑适当的反范式设计</w:t>
      </w:r>
    </w:p>
    <w:p w14:paraId="0E619A1C">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【推荐】不建议直接delete数据，因此表需要设计逻辑删除字段（id_delete），在业务低峰期批量删除。</w:t>
      </w:r>
    </w:p>
    <w:p w14:paraId="3234748D">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【推荐】对重要数据userid、orderid 等业务关键特性字段，除了从应用层面控制数据唯一性，从数据库层面增加唯一性检查，最终保证数据完整性</w:t>
      </w:r>
    </w:p>
    <w:p w14:paraId="03E3055D">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【推荐】备份表名字格式 原表名_年月日 例如：test_20210510</w:t>
      </w:r>
    </w:p>
    <w:p w14:paraId="2D2CCEDA">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【推荐】历史表和流水表建议使用时间range分区，清理数据直接drop分区</w:t>
      </w:r>
    </w:p>
    <w:p w14:paraId="77381AB1">
      <w:pPr>
        <w:snapToGrid/>
        <w:spacing w:before="0" w:after="0" w:line="240" w:lineRule="auto"/>
        <w:ind w:left="420" w:right="0" w:hanging="420"/>
        <w:rPr>
          <w:rFonts w:ascii="微软雅黑" w:hAnsi="微软雅黑" w:eastAsia="微软雅黑" w:cs="微软雅黑"/>
          <w:i w:val="0"/>
          <w:strike w:val="0"/>
          <w:color w:val="000000"/>
          <w:sz w:val="24"/>
          <w:u w:val="none"/>
        </w:rPr>
      </w:pPr>
    </w:p>
    <w:p w14:paraId="3CDC2297">
      <w:pPr>
        <w:snapToGrid/>
        <w:spacing w:before="0" w:after="0" w:line="240" w:lineRule="auto"/>
        <w:ind w:left="0" w:right="0"/>
        <w:rPr>
          <w:rFonts w:ascii="微软雅黑" w:hAnsi="微软雅黑" w:eastAsia="微软雅黑" w:cs="微软雅黑"/>
        </w:rPr>
      </w:pPr>
    </w:p>
    <w:p w14:paraId="78B55BAE">
      <w:pPr>
        <w:pStyle w:val="4"/>
        <w:snapToGrid/>
        <w:spacing w:before="260" w:after="260" w:line="413" w:lineRule="auto"/>
        <w:ind w:left="425" w:right="0" w:hanging="425"/>
        <w:rPr>
          <w:rFonts w:ascii="微软雅黑" w:hAnsi="微软雅黑" w:eastAsia="微软雅黑" w:cs="微软雅黑"/>
        </w:rPr>
      </w:pPr>
      <w:bookmarkStart w:id="17" w:name="_Toc19783"/>
      <w:r>
        <w:rPr>
          <w:rFonts w:ascii="微软雅黑" w:hAnsi="微软雅黑" w:eastAsia="微软雅黑" w:cs="微软雅黑"/>
          <w:i w:val="0"/>
          <w:strike w:val="0"/>
          <w:color w:val="000000"/>
          <w:sz w:val="32"/>
          <w:u w:val="none"/>
        </w:rPr>
        <w:t>(3)列设计规范</w:t>
      </w:r>
      <w:bookmarkEnd w:id="17"/>
    </w:p>
    <w:p w14:paraId="2E7F862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【强制】禁止列级别自定义字符集与排序规则, 使用表级默认</w:t>
      </w:r>
    </w:p>
    <w:p w14:paraId="58BCC9DF">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【强制】禁止使用 enum，set，使用 tinyint（0~255） 或 smallint（0~65535） 代替，因为增加新的枚举值属于ddl操作</w:t>
      </w:r>
    </w:p>
    <w:p w14:paraId="1034E4F4">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【强制】对于财务货币数据，禁止使用float和double浮点类型，这两种浮点类型无法确保精度，很容易产生误差。推荐使用DECIMAL类型或者将对应金额转换成分或厘，使用整数类型（如int或者bigint）去存储</w:t>
      </w:r>
    </w:p>
    <w:p w14:paraId="3198DC2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【强制】设计时应从数据字典中寻找对应的数据标准字段，如未能找到，则应提起新增数据标准字段申请。</w:t>
      </w:r>
    </w:p>
    <w:p w14:paraId="64848A0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【强制】多个数据表中都有相同业务含义字段时，其名称、类型、长度必需保持一致</w:t>
      </w:r>
    </w:p>
    <w:p w14:paraId="41C2A61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【推荐】业务中 IPV4 地址字段推荐使用 unsigned int 类型，使用inet_aton() 函数将ip地址的字符串转为数字，inet_ntoa()函数做逆向操作。不推荐用 char(15)</w:t>
      </w:r>
    </w:p>
    <w:p w14:paraId="35D0C3E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【推荐】尽量使用字段固有属性，不要用varchar代替 int 或datetime</w:t>
      </w:r>
    </w:p>
    <w:p w14:paraId="6FCCA5A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【推荐】如果存储的字符串长度几乎相等，则使用char定长字段类型</w:t>
      </w:r>
    </w:p>
    <w:p w14:paraId="7F22E49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【强制】字段含义或字段状态追加时，需要及时更新字段注释</w:t>
      </w:r>
    </w:p>
    <w:p w14:paraId="07B7F7A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【推荐】为表字段设置合适的字符存储长度，以最小化满足为标准</w:t>
      </w:r>
    </w:p>
    <w:p w14:paraId="1380A937">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列的自增属性仅保证唯一，仅能保证在单个计算节点中自增，不保证多个计算节点中自增，不保证自动分配的值的连续性。业务不应该依赖自增属性的连续性和有序性，如记录的插入顺序排序应按照记录的创建时间。带有自增属性的列出现空洞和跳跃插入的现象是正常现象</w:t>
      </w:r>
    </w:p>
    <w:p w14:paraId="44982FFB">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【推荐】一个数据表中，如果有部分字段需要频繁更新，而其他字段不需要，那么推荐把它们拆分到不同表中，以提升更新的效率和节省IO消耗。</w:t>
      </w:r>
    </w:p>
    <w:p w14:paraId="3954097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【推荐】预留部分冗余字段，以备后用，减少影响较大的DDL操作。</w:t>
      </w:r>
    </w:p>
    <w:p w14:paraId="056D801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【推荐】表达是与否概念的字段，必须使用is_xxx或isxxx的方式命名，数据类型是unsingned tinyint（1表示是，0表示否）</w:t>
      </w:r>
    </w:p>
    <w:p w14:paraId="7373B3DD">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【推荐】业务中选择性很少的状态 status、类型type等字段推荐使用 tinytint 或者smallint</w:t>
      </w:r>
    </w:p>
    <w:p w14:paraId="3CB2B9A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【推荐】添加字段 NOT NULL 属性，业务可以根据需要定义 DEFAULT 值</w:t>
      </w:r>
    </w:p>
    <w:p w14:paraId="117D4A1B">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【推荐】明确没有负值的数值字段建议定义为无符号类型以扩大可支持的数值范围</w:t>
      </w:r>
    </w:p>
    <w:p w14:paraId="32A40D3F">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【推荐】尽量不使用text/blob等类型，如业务刚需所有使用TEXT 类型的字段建议和原表进行分拆，与原表主键单独组成另外一个表进行存放。</w:t>
      </w:r>
    </w:p>
    <w:p w14:paraId="5DC363A7">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【推荐】不在数据库中存储图片</w:t>
      </w:r>
    </w:p>
    <w:p w14:paraId="1555C2F3">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【推荐】varchar长度尽量小于 100</w:t>
      </w:r>
    </w:p>
    <w:p w14:paraId="4289E28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【推荐】单表字段数尽量控制在30 个</w:t>
      </w:r>
    </w:p>
    <w:p w14:paraId="313140BC">
      <w:pPr>
        <w:snapToGrid/>
        <w:spacing w:before="0" w:after="0" w:line="240" w:lineRule="auto"/>
        <w:ind w:left="420" w:right="0" w:hanging="420"/>
        <w:rPr>
          <w:rFonts w:ascii="微软雅黑" w:hAnsi="微软雅黑" w:eastAsia="微软雅黑" w:cs="微软雅黑"/>
        </w:rPr>
      </w:pPr>
    </w:p>
    <w:p w14:paraId="7CFD0FE0">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606C8C43">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165BBDEA">
      <w:pPr>
        <w:pStyle w:val="4"/>
        <w:numPr>
          <w:ilvl w:val="0"/>
          <w:numId w:val="3"/>
        </w:numPr>
        <w:snapToGrid/>
        <w:spacing w:before="260" w:after="260" w:line="413" w:lineRule="auto"/>
        <w:rPr>
          <w:rFonts w:ascii="微软雅黑" w:hAnsi="微软雅黑" w:eastAsia="微软雅黑" w:cs="微软雅黑"/>
          <w:i w:val="0"/>
          <w:strike w:val="0"/>
          <w:color w:val="000000"/>
          <w:sz w:val="32"/>
          <w:u w:val="none"/>
        </w:rPr>
      </w:pPr>
      <w:r>
        <w:rPr>
          <w:rFonts w:ascii="微软雅黑" w:hAnsi="微软雅黑" w:eastAsia="微软雅黑" w:cs="微软雅黑"/>
          <w:i w:val="0"/>
          <w:strike w:val="0"/>
          <w:color w:val="000000"/>
          <w:sz w:val="32"/>
          <w:u w:val="none"/>
        </w:rPr>
        <w:t>索引设计规范</w:t>
      </w:r>
    </w:p>
    <w:p w14:paraId="1DF30B95">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【强制】名称规则 == 前缀 + 后缀</w:t>
      </w:r>
    </w:p>
    <w:p w14:paraId="438CE2C1">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ab/>
      </w:r>
      <w:r>
        <w:rPr>
          <w:rFonts w:ascii="微软雅黑" w:hAnsi="微软雅黑" w:eastAsia="微软雅黑" w:cs="微软雅黑"/>
          <w:i w:val="0"/>
          <w:strike w:val="0"/>
          <w:color w:val="000000"/>
          <w:sz w:val="24"/>
          <w:u w:val="none"/>
        </w:rPr>
        <w:t>1. 前缀主键 pk_，唯一键uniq_，普通索引idx_</w:t>
      </w:r>
    </w:p>
    <w:p w14:paraId="6F5C235B">
      <w:pPr>
        <w:pBdr>
          <w:bottom w:val="none" w:color="auto" w:sz="0" w:space="0"/>
        </w:pBd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 xml:space="preserve"> </w:t>
      </w:r>
      <w:r>
        <w:rPr>
          <w:rFonts w:ascii="微软雅黑" w:hAnsi="微软雅黑" w:eastAsia="微软雅黑" w:cs="微软雅黑"/>
          <w:i w:val="0"/>
          <w:strike w:val="0"/>
          <w:color w:val="000000"/>
          <w:sz w:val="24"/>
          <w:u w:val="none"/>
        </w:rPr>
        <w:tab/>
      </w:r>
      <w:r>
        <w:rPr>
          <w:rFonts w:ascii="微软雅黑" w:hAnsi="微软雅黑" w:eastAsia="微软雅黑" w:cs="微软雅黑"/>
          <w:i w:val="0"/>
          <w:strike w:val="0"/>
          <w:color w:val="000000"/>
          <w:sz w:val="24"/>
          <w:u w:val="none"/>
        </w:rPr>
        <w:t>2. 后缀一律使用字段小写的名称，多个字段使用_连接</w:t>
      </w:r>
    </w:p>
    <w:p w14:paraId="22A3F77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【强制】避免过多的创建索引，单表上的索引最好不超过5个</w:t>
      </w:r>
    </w:p>
    <w:p w14:paraId="1147394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【强制】业务上具有唯一特性的字段，即使是多个字段的组合，也必须建成唯一索引。</w:t>
      </w:r>
    </w:p>
    <w:p w14:paraId="794668B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【推荐】单个索引中每个索引记录的长度不能超过 2KB，索引列太长，可以使用前缀索引</w:t>
      </w:r>
    </w:p>
    <w:p w14:paraId="334B969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【推荐】在建立索引时，多考虑建立联合索引，按索引最左原则，按查询条件中等值字段查询频率顺序创建</w:t>
      </w:r>
    </w:p>
    <w:p w14:paraId="02FFD85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【推荐】建表或加索引时，保证表里互相不存在冗余索引。如果表里已经存在 key(a,b)，则 key(a)为冗余索引，需要删除</w:t>
      </w:r>
    </w:p>
    <w:p w14:paraId="1495D428">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【推荐】在较长的varchar字段上建立索引时，必须指定索引长度，没必要对全字段建立索引，根据实际文本区分度决定索引长度即可。比较短的varchar可建立全字段索引。</w:t>
      </w:r>
    </w:p>
    <w:p w14:paraId="5AB6E62E">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【推荐】在建立索引时，多考虑建立联合索引，并把区分度最高的字段放在最前面。如列userid的区分度可由select count(distinct userid)计算出来</w:t>
      </w:r>
    </w:p>
    <w:p w14:paraId="74C15CB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【推荐】低选择性的列不加索引，如：性别</w:t>
      </w:r>
    </w:p>
    <w:p w14:paraId="7DCCB26B">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【推荐】需要经常排序的字段可加到索引中，字段顺序和最常用的排序一致</w:t>
      </w:r>
    </w:p>
    <w:p w14:paraId="6843DB67">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 xml:space="preserve">【推荐】 </w:t>
      </w:r>
      <w:r>
        <w:rPr>
          <w:rFonts w:ascii="微软雅黑" w:hAnsi="微软雅黑" w:eastAsia="微软雅黑" w:cs="微软雅黑"/>
          <w:strike w:val="0"/>
          <w:color w:val="000000"/>
          <w:sz w:val="24"/>
          <w:u w:val="none"/>
        </w:rPr>
        <w:t>不使用</w:t>
      </w:r>
      <w:r>
        <w:rPr>
          <w:rFonts w:ascii="微软雅黑" w:hAnsi="微软雅黑" w:eastAsia="微软雅黑" w:cs="微软雅黑"/>
          <w:i w:val="0"/>
          <w:strike w:val="0"/>
          <w:color w:val="000000"/>
          <w:sz w:val="24"/>
          <w:u w:val="none"/>
        </w:rPr>
        <w:t>全文索引</w:t>
      </w:r>
    </w:p>
    <w:p w14:paraId="475CB4DF">
      <w:pPr>
        <w:snapToGrid/>
        <w:spacing w:before="0" w:after="0" w:line="240" w:lineRule="auto"/>
        <w:ind w:left="420" w:right="0" w:hanging="420"/>
        <w:rPr>
          <w:rFonts w:ascii="微软雅黑" w:hAnsi="微软雅黑" w:eastAsia="微软雅黑" w:cs="微软雅黑"/>
        </w:rPr>
      </w:pPr>
    </w:p>
    <w:p w14:paraId="70815B34">
      <w:pPr>
        <w:pStyle w:val="4"/>
        <w:snapToGrid/>
        <w:spacing w:before="260" w:after="260" w:line="413" w:lineRule="auto"/>
        <w:ind w:left="425" w:right="0" w:hanging="425"/>
        <w:rPr>
          <w:rFonts w:ascii="微软雅黑" w:hAnsi="微软雅黑" w:eastAsia="微软雅黑" w:cs="微软雅黑"/>
        </w:rPr>
      </w:pPr>
      <w:bookmarkStart w:id="18" w:name="_Toc19729"/>
      <w:r>
        <w:rPr>
          <w:rFonts w:ascii="微软雅黑" w:hAnsi="微软雅黑" w:eastAsia="微软雅黑" w:cs="微软雅黑"/>
          <w:i w:val="0"/>
          <w:strike w:val="0"/>
          <w:color w:val="000000"/>
          <w:sz w:val="32"/>
          <w:u w:val="none"/>
        </w:rPr>
        <w:t>(5)其他对象</w:t>
      </w:r>
      <w:bookmarkEnd w:id="18"/>
      <w:r>
        <w:rPr>
          <w:rFonts w:ascii="微软雅黑" w:hAnsi="微软雅黑" w:eastAsia="微软雅黑" w:cs="微软雅黑"/>
          <w:i w:val="0"/>
          <w:strike w:val="0"/>
          <w:color w:val="000000"/>
          <w:sz w:val="32"/>
          <w:u w:val="none"/>
        </w:rPr>
        <w:t>设计规范</w:t>
      </w:r>
    </w:p>
    <w:p w14:paraId="148E8A2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【强制】不允许使用自定义函数、事件、表空间</w:t>
      </w:r>
    </w:p>
    <w:p w14:paraId="1955D3F7">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【强制】不允许使用视图、存储过程、触发器、游标</w:t>
      </w:r>
    </w:p>
    <w:p w14:paraId="6406095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【强制】不允许使用临时表</w:t>
      </w:r>
    </w:p>
    <w:p w14:paraId="77626511">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1E5C7CB7">
      <w:pPr>
        <w:pStyle w:val="2"/>
        <w:numPr>
          <w:ilvl w:val="0"/>
          <w:numId w:val="1"/>
        </w:numPr>
        <w:pBdr>
          <w:bottom w:val="none" w:color="auto" w:sz="0" w:space="0"/>
        </w:pBdr>
      </w:pPr>
      <w:r>
        <w:t>开发规范</w:t>
      </w:r>
    </w:p>
    <w:p w14:paraId="7052BF3A">
      <w:pPr>
        <w:pStyle w:val="3"/>
        <w:snapToGrid/>
        <w:spacing w:before="260" w:after="260" w:line="413" w:lineRule="auto"/>
        <w:ind w:left="425" w:right="0" w:hanging="425"/>
        <w:rPr>
          <w:rFonts w:ascii="微软雅黑" w:hAnsi="微软雅黑" w:eastAsia="微软雅黑" w:cs="微软雅黑"/>
        </w:rPr>
      </w:pPr>
      <w:bookmarkStart w:id="19" w:name="_Toc13539"/>
      <w:r>
        <w:rPr>
          <w:rFonts w:ascii="微软雅黑" w:hAnsi="微软雅黑" w:eastAsia="微软雅黑" w:cs="微软雅黑"/>
          <w:i w:val="0"/>
          <w:strike w:val="0"/>
          <w:color w:val="000000"/>
          <w:sz w:val="32"/>
          <w:u w:val="none"/>
        </w:rPr>
        <w:t>1.数据库连接规范</w:t>
      </w:r>
      <w:bookmarkEnd w:id="19"/>
    </w:p>
    <w:p w14:paraId="3FFBF465">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16097D25">
      <w:pPr>
        <w:snapToGrid/>
        <w:spacing w:before="0" w:after="0" w:line="240" w:lineRule="auto"/>
        <w:ind w:left="0" w:right="0" w:firstLine="480" w:firstLineChars="200"/>
        <w:rPr>
          <w:rFonts w:ascii="微软雅黑" w:hAnsi="微软雅黑" w:eastAsia="微软雅黑" w:cs="微软雅黑"/>
        </w:rPr>
      </w:pPr>
      <w:r>
        <w:rPr>
          <w:rFonts w:ascii="微软雅黑" w:hAnsi="微软雅黑" w:eastAsia="微软雅黑" w:cs="微软雅黑"/>
          <w:i w:val="0"/>
          <w:strike w:val="0"/>
          <w:color w:val="000000"/>
          <w:sz w:val="24"/>
          <w:u w:val="none"/>
        </w:rPr>
        <w:t>数据库连接方式及连接参数请参考具体使用的分布式数据库的开发手册，应用系统使用数据库连接池的时候的详细配置参考连接池配置规范，使用JDBC连接时需要务必保证：</w:t>
      </w:r>
    </w:p>
    <w:p w14:paraId="6CA1116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【强制】应用需要有失败重连，可以使用连接池工具如druid之类；</w:t>
      </w:r>
    </w:p>
    <w:p w14:paraId="5BE6649D">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【强制】对于有连接池的前端程序，必须根据业务需要配置初始、最小、最大连接数，超时时间以及连接回收机制</w:t>
      </w:r>
    </w:p>
    <w:p w14:paraId="510A275B">
      <w:pPr>
        <w:snapToGrid/>
        <w:spacing w:before="0" w:after="0" w:line="240" w:lineRule="auto"/>
        <w:ind w:left="0" w:right="0" w:firstLine="0"/>
        <w:rPr>
          <w:rFonts w:ascii="微软雅黑" w:hAnsi="微软雅黑" w:eastAsia="微软雅黑" w:cs="微软雅黑"/>
        </w:rPr>
      </w:pPr>
      <w:r>
        <w:rPr>
          <w:rFonts w:ascii="微软雅黑" w:hAnsi="微软雅黑" w:eastAsia="微软雅黑" w:cs="微软雅黑"/>
          <w:i w:val="0"/>
          <w:strike w:val="0"/>
          <w:color w:val="000000"/>
          <w:sz w:val="24"/>
          <w:u w:val="none"/>
        </w:rPr>
        <w:t>【强制】应用系统连接分布式数据库必须设置连接超时时间:connectTimeout</w:t>
      </w:r>
    </w:p>
    <w:p w14:paraId="2B4DBA1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【强制】应用系统连接分布式数据库必须设置开启useLocalSessionState</w:t>
      </w:r>
    </w:p>
    <w:p w14:paraId="250392B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【强制】使用单独线程定期检查连接是否可用。</w:t>
      </w:r>
    </w:p>
    <w:p w14:paraId="4458B18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【强制】定期发送 test query 保证连接可用。</w:t>
      </w:r>
    </w:p>
    <w:p w14:paraId="518874D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【强制】数据库连接密码必须加密存放</w:t>
      </w:r>
    </w:p>
    <w:p w14:paraId="22003CD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【推荐】建议国内业务显式指定时区serverTimezone配置为GMT+8</w:t>
      </w:r>
    </w:p>
    <w:p w14:paraId="0D18C10B">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【推荐】建议开启allowMultiQueries</w:t>
      </w:r>
    </w:p>
    <w:p w14:paraId="2140FC8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【推荐】使用流式读取时，建议按需求调整netTimeoutForStreamingResults超时参数</w:t>
      </w:r>
    </w:p>
    <w:p w14:paraId="2902A46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【推荐】建议使用TDSQL提供的JDBC驱动。</w:t>
      </w:r>
    </w:p>
    <w:p w14:paraId="637F9621">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41AAFA44">
      <w:pPr>
        <w:pStyle w:val="3"/>
        <w:snapToGrid/>
        <w:spacing w:before="260" w:after="260" w:line="413" w:lineRule="auto"/>
        <w:ind w:left="425" w:right="0" w:hanging="425"/>
        <w:rPr>
          <w:rFonts w:ascii="微软雅黑" w:hAnsi="微软雅黑" w:eastAsia="微软雅黑" w:cs="微软雅黑"/>
        </w:rPr>
      </w:pPr>
      <w:bookmarkStart w:id="20" w:name="_Toc19445"/>
      <w:r>
        <w:rPr>
          <w:rFonts w:ascii="微软雅黑" w:hAnsi="微软雅黑" w:eastAsia="微软雅黑" w:cs="微软雅黑"/>
          <w:i w:val="0"/>
          <w:strike w:val="0"/>
          <w:color w:val="000000"/>
          <w:sz w:val="32"/>
          <w:u w:val="none"/>
        </w:rPr>
        <w:t>2.SQ</w:t>
      </w:r>
      <w:bookmarkEnd w:id="20"/>
      <w:r>
        <w:rPr>
          <w:rFonts w:ascii="微软雅黑" w:hAnsi="微软雅黑" w:eastAsia="微软雅黑" w:cs="微软雅黑"/>
          <w:i w:val="0"/>
          <w:strike w:val="0"/>
          <w:color w:val="000000"/>
          <w:sz w:val="32"/>
          <w:u w:val="none"/>
        </w:rPr>
        <w:t>L规范</w:t>
      </w:r>
    </w:p>
    <w:p w14:paraId="62024BAF">
      <w:pPr>
        <w:pStyle w:val="4"/>
        <w:snapToGrid/>
        <w:spacing w:before="260" w:after="260" w:line="413" w:lineRule="auto"/>
        <w:ind w:left="425" w:right="0" w:hanging="425"/>
        <w:rPr>
          <w:rFonts w:ascii="微软雅黑" w:hAnsi="微软雅黑" w:eastAsia="微软雅黑" w:cs="微软雅黑"/>
        </w:rPr>
      </w:pPr>
      <w:bookmarkStart w:id="21" w:name="_Toc18732"/>
      <w:r>
        <w:rPr>
          <w:rFonts w:ascii="微软雅黑" w:hAnsi="微软雅黑" w:eastAsia="微软雅黑" w:cs="微软雅黑"/>
          <w:i w:val="0"/>
          <w:strike w:val="0"/>
          <w:color w:val="000000"/>
          <w:sz w:val="32"/>
          <w:u w:val="none"/>
        </w:rPr>
        <w:t>(1)查询</w:t>
      </w:r>
      <w:bookmarkEnd w:id="21"/>
    </w:p>
    <w:p w14:paraId="736275CF">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执行Select指令时，推荐在查询条件中包含分片键字段；</w:t>
      </w:r>
    </w:p>
    <w:p w14:paraId="2DF65D19">
      <w:pPr>
        <w:snapToGrid/>
        <w:spacing w:before="0" w:after="0" w:line="240" w:lineRule="auto"/>
        <w:ind w:left="0" w:right="0" w:firstLineChars="0"/>
        <w:rPr>
          <w:rFonts w:ascii="微软雅黑" w:hAnsi="微软雅黑" w:eastAsia="微软雅黑" w:cs="微软雅黑"/>
        </w:rPr>
      </w:pPr>
      <w:r>
        <w:rPr>
          <w:rFonts w:ascii="微软雅黑" w:hAnsi="微软雅黑" w:eastAsia="微软雅黑" w:cs="微软雅黑"/>
          <w:i w:val="0"/>
          <w:strike w:val="0"/>
          <w:color w:val="000000"/>
          <w:sz w:val="24"/>
          <w:u w:val="none"/>
        </w:rPr>
        <w:t>【强制】单个事务操作的行数不宜超过5000行；单个事务binlog最大不超过1.5G，默认配置下超过1.5G事务会报错并回滚</w:t>
      </w:r>
      <w:r>
        <w:rPr>
          <w:rFonts w:ascii="微软雅黑" w:hAnsi="微软雅黑" w:eastAsia="微软雅黑" w:cs="微软雅黑"/>
          <w:i w:val="0"/>
          <w:strike w:val="0"/>
          <w:color w:val="000000"/>
          <w:sz w:val="21"/>
          <w:u w:val="none"/>
        </w:rPr>
        <w:t>。</w:t>
      </w:r>
    </w:p>
    <w:p w14:paraId="61BBD007">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不允许使用SELECT INTO OUTFILE/INTO DUMPFILE/INTO var_name，不支持分布式；</w:t>
      </w:r>
    </w:p>
    <w:p w14:paraId="5DEBE38F">
      <w:pPr>
        <w:pBdr>
          <w:bottom w:val="none" w:color="auto" w:sz="0" w:space="0"/>
        </w:pBd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【强制】不允许 SQL 中使用 DELAYED和 LOW PRIORITY</w:t>
      </w:r>
    </w:p>
    <w:p w14:paraId="3AD59FC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排序和分组语句需要带上shardkey列。不带shardkey，会导致所有分片进行排序和分组；</w:t>
      </w:r>
    </w:p>
    <w:p w14:paraId="676CA84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【推荐】使用select ... for update语句，或者update使用limit子句时，宜匹配索引，否则可能造成表中所有行都加上行锁，产生与表锁相同的效果。</w:t>
      </w:r>
    </w:p>
    <w:p w14:paraId="6163597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【推荐】生产环境不宜使用HINT，如 Sql_No_Cache，Force Index，Ignore Key，Straight_join 等</w:t>
      </w:r>
    </w:p>
    <w:p w14:paraId="1C1C859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【强制】不允许超过三层的嵌套子查询</w:t>
      </w:r>
    </w:p>
    <w:p w14:paraId="0CDEE11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【推荐】尽量减小order by、group by、distinct，如使用建议利用索引直接检索出排序好的数据。如where a=1 order byb可以利用 key(a,b)</w:t>
      </w:r>
    </w:p>
    <w:p w14:paraId="56E2E3B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【推荐】包含了order by、group by、distinct这些查询的语句，where 条件过滤出来的结果集请保持在1000行以内，否则导致 IO/CPU 过高</w:t>
      </w:r>
    </w:p>
    <w:p w14:paraId="65FD6D5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【强制】嵌套 SQL 语句应该为不同表指定不同别名；</w:t>
      </w:r>
    </w:p>
    <w:p w14:paraId="7DF29AF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【推荐】不建议使用左外连接或右外连接查询，可拆分为两次查询，或者在程序端加工。</w:t>
      </w:r>
    </w:p>
    <w:p w14:paraId="02C6D11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【推荐】大数据量的表不建议使用limit（start , max）分页；</w:t>
      </w:r>
    </w:p>
    <w:p w14:paraId="00E4AFE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【强制】不在数据库端做复杂运算，比如：md5()、sha()等；</w:t>
      </w:r>
    </w:p>
    <w:p w14:paraId="45C4D55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【强制】尽量不要在 OLTP 数据库上进行模糊检索、统计查询操作；</w:t>
      </w:r>
    </w:p>
    <w:p w14:paraId="53C5CF27">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【推荐】不允许使用SELECT *进行查询。建议按需求选择合适的字段列，杜绝直接 SELECT * 读取全部字段，减少网络带宽消耗，有效利用覆盖索引；</w:t>
      </w:r>
    </w:p>
    <w:p w14:paraId="6F2694FE">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【推荐】不建议SQL中对于变量的引用和操作，比如 SET @c=1, @d=@c+1; SELECT @c, @d</w:t>
      </w:r>
    </w:p>
    <w:p w14:paraId="58417FA4">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41B012BF">
      <w:pPr>
        <w:pStyle w:val="4"/>
        <w:snapToGrid/>
        <w:spacing w:before="260" w:after="260" w:line="413" w:lineRule="auto"/>
        <w:ind w:left="425" w:right="0" w:hanging="425"/>
        <w:rPr>
          <w:rFonts w:ascii="微软雅黑" w:hAnsi="微软雅黑" w:eastAsia="微软雅黑" w:cs="微软雅黑"/>
        </w:rPr>
      </w:pPr>
      <w:bookmarkStart w:id="22" w:name="_Toc15600"/>
      <w:r>
        <w:rPr>
          <w:rFonts w:ascii="微软雅黑" w:hAnsi="微软雅黑" w:eastAsia="微软雅黑" w:cs="微软雅黑"/>
          <w:i w:val="0"/>
          <w:strike w:val="0"/>
          <w:color w:val="000000"/>
          <w:sz w:val="32"/>
          <w:u w:val="none"/>
        </w:rPr>
        <w:t>(2)DD</w:t>
      </w:r>
      <w:bookmarkEnd w:id="22"/>
      <w:r>
        <w:rPr>
          <w:rFonts w:ascii="微软雅黑" w:hAnsi="微软雅黑" w:eastAsia="微软雅黑" w:cs="微软雅黑"/>
          <w:i w:val="0"/>
          <w:strike w:val="0"/>
          <w:color w:val="000000"/>
          <w:sz w:val="32"/>
          <w:u w:val="none"/>
        </w:rPr>
        <w:t>L</w:t>
      </w:r>
    </w:p>
    <w:p w14:paraId="4116D2A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不允许使用CREATE TABLE ... SELECT语句，会影响主从复制；</w:t>
      </w:r>
    </w:p>
    <w:p w14:paraId="76F541D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不允许使用CREATE TEMPORARY TABLE语句</w:t>
      </w:r>
    </w:p>
    <w:p w14:paraId="2E3A040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不允许使用ALTER对分片键进行改名和类型，但可以修改长度</w:t>
      </w:r>
    </w:p>
    <w:p w14:paraId="44DF8D5D">
      <w:pPr>
        <w:snapToGrid/>
        <w:spacing w:before="0" w:after="0" w:line="240" w:lineRule="auto"/>
        <w:ind w:left="0" w:right="0" w:firstLine="0"/>
        <w:rPr>
          <w:rFonts w:ascii="微软雅黑" w:hAnsi="微软雅黑" w:eastAsia="微软雅黑" w:cs="微软雅黑"/>
        </w:rPr>
      </w:pPr>
      <w:r>
        <w:rPr>
          <w:rFonts w:ascii="微软雅黑" w:hAnsi="微软雅黑" w:eastAsia="微软雅黑" w:cs="微软雅黑"/>
          <w:i w:val="0"/>
          <w:strike w:val="0"/>
          <w:color w:val="000000"/>
          <w:sz w:val="24"/>
          <w:u w:val="none"/>
        </w:rPr>
        <w:t>【推荐】不建议单条 ALTER TABLE 语句中完成多个操作</w:t>
      </w:r>
    </w:p>
    <w:p w14:paraId="0B189B4B">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【强制】不允许对将列的长度由长变短</w:t>
      </w:r>
    </w:p>
    <w:p w14:paraId="255E4284">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【强制】drop、truncate命令必须通过 DBA 审核才能操作</w:t>
      </w:r>
    </w:p>
    <w:p w14:paraId="582EFB6D">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【强制】drop index、drop column命令必须通过 DBA 审核才能操作</w:t>
      </w:r>
    </w:p>
    <w:p w14:paraId="2BFEFB89">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【强制】不允许执行drop database 命令</w:t>
      </w:r>
    </w:p>
    <w:p w14:paraId="73C7D317">
      <w:pPr>
        <w:snapToGrid/>
        <w:spacing w:before="0" w:after="0" w:line="240" w:lineRule="auto"/>
        <w:ind w:left="0" w:right="0"/>
        <w:rPr>
          <w:rFonts w:ascii="微软雅黑" w:hAnsi="微软雅黑" w:eastAsia="微软雅黑" w:cs="微软雅黑"/>
        </w:rPr>
      </w:pPr>
    </w:p>
    <w:p w14:paraId="3B8C50B4">
      <w:pPr>
        <w:pStyle w:val="4"/>
        <w:snapToGrid/>
        <w:spacing w:before="260" w:after="260" w:line="413" w:lineRule="auto"/>
        <w:ind w:left="425" w:right="0" w:hanging="425"/>
        <w:rPr>
          <w:rFonts w:ascii="微软雅黑" w:hAnsi="微软雅黑" w:eastAsia="微软雅黑" w:cs="微软雅黑"/>
        </w:rPr>
      </w:pPr>
      <w:bookmarkStart w:id="23" w:name="_Toc18264"/>
      <w:r>
        <w:rPr>
          <w:rFonts w:ascii="微软雅黑" w:hAnsi="微软雅黑" w:eastAsia="微软雅黑" w:cs="微软雅黑"/>
          <w:i w:val="0"/>
          <w:strike w:val="0"/>
          <w:color w:val="000000"/>
          <w:sz w:val="32"/>
          <w:u w:val="none"/>
        </w:rPr>
        <w:t>(3)DM</w:t>
      </w:r>
      <w:bookmarkEnd w:id="23"/>
      <w:r>
        <w:rPr>
          <w:rFonts w:ascii="微软雅黑" w:hAnsi="微软雅黑" w:eastAsia="微软雅黑" w:cs="微软雅黑"/>
          <w:i w:val="0"/>
          <w:strike w:val="0"/>
          <w:color w:val="000000"/>
          <w:sz w:val="32"/>
          <w:u w:val="none"/>
        </w:rPr>
        <w:t>L</w:t>
      </w:r>
    </w:p>
    <w:p w14:paraId="2D38A42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不允许使用LOAD DATA/XML，不支持分布式数据库。</w:t>
      </w:r>
    </w:p>
    <w:p w14:paraId="0EC1B04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t>
      </w:r>
      <w:r>
        <w:rPr>
          <w:rFonts w:ascii="微软雅黑" w:hAnsi="微软雅黑" w:eastAsia="微软雅黑" w:cs="微软雅黑"/>
          <w:b/>
          <w:i w:val="0"/>
          <w:strike w:val="0"/>
          <w:color w:val="000000"/>
          <w:sz w:val="24"/>
          <w:u w:val="none"/>
        </w:rPr>
        <w:t>【分布式】</w:t>
      </w:r>
      <w:r>
        <w:rPr>
          <w:rFonts w:ascii="微软雅黑" w:hAnsi="微软雅黑" w:eastAsia="微软雅黑" w:cs="微软雅黑"/>
          <w:i w:val="0"/>
          <w:strike w:val="0"/>
          <w:color w:val="000000"/>
          <w:sz w:val="24"/>
          <w:u w:val="none"/>
        </w:rPr>
        <w:t>执行INSERT/REPLACE命令时，字段必须包含分片键字段</w:t>
      </w:r>
    </w:p>
    <w:p w14:paraId="322F1BA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【强制】不允许使用不带列名的INSERT/REPLACE</w:t>
      </w:r>
    </w:p>
    <w:p w14:paraId="575C942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【强制】不允许使用不带WHERE条件的SELECT/UPDATE/DELETE</w:t>
      </w:r>
    </w:p>
    <w:p w14:paraId="5A0E78C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【强制】不允许使用flush tables,flush table xxx with read lock,lock table xxx等类型的SQL，以免锁定表或者数据库；</w:t>
      </w:r>
    </w:p>
    <w:p w14:paraId="25B7CA33">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【强制】不允许使用INDEX_HINT，TDSQL proxy不支持。</w:t>
      </w:r>
    </w:p>
    <w:p w14:paraId="51E6EBDA">
      <w:pPr>
        <w:pBdr>
          <w:bottom w:val="none" w:color="auto" w:sz="0" w:space="0"/>
        </w:pBd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【强制】不允许使用 HANDLER/DO</w:t>
      </w:r>
    </w:p>
    <w:p w14:paraId="1ED1A98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【强制】不允许联表更新语句，如update t1,t2 where t1.id=t2.id</w:t>
      </w:r>
    </w:p>
    <w:p w14:paraId="5BAA78F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【强制】删除表中全部的数据时，不允许使用DELETE语句，使用 TRUNCATE 或者DROP后重建方式</w:t>
      </w:r>
    </w:p>
    <w:p w14:paraId="1838DA80">
      <w:pPr>
        <w:pStyle w:val="3"/>
        <w:snapToGrid/>
        <w:spacing w:before="260" w:after="260" w:line="413" w:lineRule="auto"/>
        <w:ind w:left="425" w:right="0" w:hanging="425"/>
        <w:rPr>
          <w:rFonts w:ascii="微软雅黑" w:hAnsi="微软雅黑" w:eastAsia="微软雅黑" w:cs="微软雅黑"/>
        </w:rPr>
      </w:pPr>
      <w:bookmarkStart w:id="24" w:name="_Toc16181"/>
      <w:r>
        <w:rPr>
          <w:rFonts w:ascii="微软雅黑" w:hAnsi="微软雅黑" w:eastAsia="微软雅黑" w:cs="微软雅黑"/>
          <w:i w:val="0"/>
          <w:strike w:val="0"/>
          <w:color w:val="000000"/>
          <w:sz w:val="32"/>
          <w:u w:val="none"/>
        </w:rPr>
        <w:t>3.事务规范</w:t>
      </w:r>
      <w:bookmarkEnd w:id="24"/>
    </w:p>
    <w:p w14:paraId="5CF55406">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【强制】【分布式】单个事务中INSERT|UPDATE|DELETE|REPLACE语句操作的行数控制在1000行以内。</w:t>
      </w:r>
    </w:p>
    <w:p w14:paraId="3A2E851F">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【强制】事务里包含SQL语句不超过 5 个（支付业务除外）。因为过长的事务会导致锁数据较久，MySQL内部缓存、连接消耗过多等问题</w:t>
      </w:r>
    </w:p>
    <w:p w14:paraId="1E44E4C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【强制】事务里更新语句尽量基于分片键以及主键或unique key，如 update …where id=XX;否则可能会导致扩大锁定范围，导致系统性能下降，产生死锁</w:t>
      </w:r>
    </w:p>
    <w:p w14:paraId="4758C1B1">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【强制】把一些典型外部调用移出事务，如调用webservice，访问文件存储等，从而避免事务过长</w:t>
      </w:r>
    </w:p>
    <w:p w14:paraId="7EAF87F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【推荐】事务中，不要使用SELECT… FOR UPDATE 语法，它会扩大意向锁范围，较大程度影响数据库的并发事务效率</w:t>
      </w:r>
    </w:p>
    <w:p w14:paraId="0DCA11E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【推荐】事务内的sql锁粒度小的放在前面，粒度大的放在后面，同时保证不同事务间的加锁顺序，可以增加提交的效率，减少阻塞或死锁的几率。</w:t>
      </w:r>
    </w:p>
    <w:p w14:paraId="2C2D6C64">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【强制】不在应用程序端显示的加锁</w:t>
      </w:r>
    </w:p>
    <w:p w14:paraId="7E0553A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【强制】应用尽量避免大事务；</w:t>
      </w:r>
    </w:p>
    <w:p w14:paraId="7896FB77">
      <w:pPr>
        <w:snapToGrid/>
        <w:spacing w:before="0" w:after="0" w:line="240" w:lineRule="auto"/>
        <w:ind w:left="0" w:right="0"/>
        <w:rPr>
          <w:rFonts w:ascii="微软雅黑" w:hAnsi="微软雅黑" w:eastAsia="微软雅黑" w:cs="微软雅黑"/>
        </w:rPr>
      </w:pPr>
      <w:r>
        <w:rPr>
          <w:rFonts w:ascii="微软雅黑" w:hAnsi="微软雅黑" w:eastAsia="微软雅黑" w:cs="微软雅黑"/>
          <w:i w:val="0"/>
          <w:strike w:val="0"/>
          <w:color w:val="000000"/>
          <w:sz w:val="24"/>
          <w:u w:val="none"/>
        </w:rPr>
        <w:t> </w:t>
      </w:r>
    </w:p>
    <w:p w14:paraId="0C2B0DDC">
      <w:pPr>
        <w:pStyle w:val="3"/>
        <w:snapToGrid/>
        <w:spacing w:before="260" w:after="260" w:line="413" w:lineRule="auto"/>
        <w:ind w:left="425" w:right="0" w:hanging="425"/>
        <w:rPr>
          <w:rFonts w:ascii="微软雅黑" w:hAnsi="微软雅黑" w:eastAsia="微软雅黑" w:cs="微软雅黑"/>
        </w:rPr>
      </w:pPr>
      <w:bookmarkStart w:id="25" w:name="_Toc31186"/>
      <w:r>
        <w:rPr>
          <w:rFonts w:ascii="微软雅黑" w:hAnsi="微软雅黑" w:eastAsia="微软雅黑" w:cs="微软雅黑"/>
          <w:i w:val="0"/>
          <w:strike w:val="0"/>
          <w:color w:val="000000"/>
          <w:sz w:val="32"/>
          <w:u w:val="none"/>
        </w:rPr>
        <w:t>4.性能规范</w:t>
      </w:r>
      <w:bookmarkEnd w:id="25"/>
    </w:p>
    <w:p w14:paraId="1CEA4A25">
      <w:pPr>
        <w:snapToGrid/>
        <w:spacing w:before="0" w:after="0" w:line="240" w:lineRule="auto"/>
        <w:ind w:left="0" w:right="0" w:firstLine="420"/>
        <w:rPr>
          <w:rFonts w:ascii="微软雅黑" w:hAnsi="微软雅黑" w:eastAsia="微软雅黑" w:cs="微软雅黑"/>
        </w:rPr>
      </w:pPr>
      <w:r>
        <w:rPr>
          <w:rFonts w:ascii="微软雅黑" w:hAnsi="微软雅黑" w:eastAsia="微软雅黑" w:cs="微软雅黑"/>
          <w:i w:val="0"/>
          <w:strike w:val="0"/>
          <w:color w:val="000000"/>
          <w:sz w:val="24"/>
          <w:u w:val="none"/>
        </w:rPr>
        <w:t>分布式数据库性能优化的主要思路可以归结为：计算下推、分区键与Join下推、索引分布设计（全局索引，分区索引）。</w:t>
      </w:r>
    </w:p>
    <w:p w14:paraId="64865C7C">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 </w:t>
      </w:r>
    </w:p>
    <w:p w14:paraId="0FACB915">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【强制】不允许左模糊搜索或者全模糊搜素（使用like ‘%xxxx’等），导致索引无效</w:t>
      </w:r>
    </w:p>
    <w:p w14:paraId="0F01102A">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【强制】关键交易链路上的操作至多只允许2个表进行Join, 非关键链路不允许超过3个表的Join.</w:t>
      </w:r>
    </w:p>
    <w:p w14:paraId="79285A6F">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【强制】多表关联应该显式使用 join 子句，避免漏掉关联条件，造成笛卡尔积；</w:t>
      </w:r>
    </w:p>
    <w:p w14:paraId="354F30C7">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FF0000"/>
          <w:sz w:val="24"/>
          <w:u w:val="none"/>
        </w:rPr>
        <w:t>【强制】大表在做表删除时，由于占用大量磁盘空间，在drop table时可能会导致数据库实例挂起，应先通过dba将该表进行rename操作，等待一段时间确认无业务影响后，在业务低峰期使用truncate命令删除。</w:t>
      </w:r>
    </w:p>
    <w:p w14:paraId="06EB44C3">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【强制】where语句的索引列不允许参与计算、使用函数、使用左模糊查询、隐式转换、与无索引的字段做or条件、使用!=,&lt;&gt;,is null,is not null判断。这样的查询会不走索引。</w:t>
      </w:r>
    </w:p>
    <w:p w14:paraId="1802A95B">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【强制】当数据需要按时间进行归档清理时，可按某个业务时间段对表进行分区，对分区进行truncate操作满足数据清理要求；</w:t>
      </w:r>
    </w:p>
    <w:p w14:paraId="3A6B8D49">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【推荐】如无必要，推荐不超过3个表进行Join，需要Join的字段，数据类型必须绝对一致，当多表关联查询时，保证被关联的字段需要有索引。</w:t>
      </w:r>
    </w:p>
    <w:p w14:paraId="2798BBA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【推荐】如果有order by的场景，注意利用索引的有序性。尽量避免出现file_sort的情况，影响查询性能。</w:t>
      </w:r>
    </w:p>
    <w:p w14:paraId="1F30851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【推荐】利用延迟关联或者子查询优化超多分页场景。通常分页查询的时候并不是跳过offset行，而是取offset+N行，放弃offset行，返回N行。当offset特别大的时候，效率会非常低。例：select t1.id,t1.name from表1 as t1,(select id form 表2 where 条件limit 10000,20) as t2 where t1.id=t2.id</w:t>
      </w:r>
    </w:p>
    <w:p w14:paraId="7F191CA2">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【推荐】在执行大容量数据的插入或变更前，备份原始数据</w:t>
      </w:r>
    </w:p>
    <w:p w14:paraId="7B39DDF0">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数据完成删除后，各应用根据数据变化的频率，决定是否进行统计信息的收集。需要注意的是，统计信息的收集也需要在业务低峰期进行。另外，innodb引擎在表数据量变化超过10%后，也会在系统低负载期间自动进行统计信息更新</w:t>
      </w:r>
    </w:p>
    <w:p w14:paraId="3112F827">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【推荐】对于写入量非常大的表，应当通过应用性能压测等方法在测试环境模拟表的热点情况</w:t>
      </w:r>
    </w:p>
    <w:p w14:paraId="41D1357B">
      <w:pPr>
        <w:snapToGrid/>
        <w:spacing w:before="0" w:after="0" w:line="240" w:lineRule="auto"/>
        <w:ind w:left="0" w:right="0"/>
        <w:rPr>
          <w:rFonts w:ascii="微软雅黑" w:hAnsi="微软雅黑" w:eastAsia="微软雅黑" w:cs="微软雅黑"/>
        </w:rPr>
      </w:pPr>
      <w:r>
        <w:rPr>
          <w:rFonts w:ascii="微软雅黑" w:hAnsi="微软雅黑" w:eastAsia="微软雅黑" w:cs="微软雅黑"/>
          <w:b/>
          <w:i w:val="0"/>
          <w:strike w:val="0"/>
          <w:color w:val="000000"/>
          <w:sz w:val="24"/>
          <w:u w:val="none"/>
        </w:rPr>
        <w:t> </w:t>
      </w:r>
    </w:p>
    <w:p w14:paraId="5CEE4204">
      <w:pPr>
        <w:pStyle w:val="3"/>
        <w:snapToGrid/>
        <w:spacing w:before="260" w:after="260" w:line="413" w:lineRule="auto"/>
        <w:ind w:left="425" w:right="0" w:hanging="425"/>
        <w:rPr>
          <w:rFonts w:ascii="微软雅黑" w:hAnsi="微软雅黑" w:eastAsia="微软雅黑" w:cs="微软雅黑"/>
        </w:rPr>
      </w:pPr>
      <w:bookmarkStart w:id="26" w:name="_Toc27911"/>
      <w:r>
        <w:rPr>
          <w:rFonts w:ascii="微软雅黑" w:hAnsi="微软雅黑" w:eastAsia="微软雅黑" w:cs="微软雅黑"/>
          <w:i w:val="0"/>
          <w:strike w:val="0"/>
          <w:color w:val="000000"/>
          <w:sz w:val="32"/>
          <w:u w:val="none"/>
        </w:rPr>
        <w:t>5.安全规范</w:t>
      </w:r>
      <w:bookmarkEnd w:id="26"/>
    </w:p>
    <w:p w14:paraId="78B4C098">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【强制】严禁在数据库服务器上运行其他应用程序</w:t>
      </w:r>
    </w:p>
    <w:p w14:paraId="5DB9265C">
      <w:pPr>
        <w:snapToGrid/>
        <w:spacing w:before="0" w:after="0" w:line="240" w:lineRule="auto"/>
        <w:ind w:left="420" w:right="0" w:hanging="420"/>
        <w:rPr>
          <w:rFonts w:ascii="微软雅黑" w:hAnsi="微软雅黑" w:eastAsia="微软雅黑" w:cs="微软雅黑"/>
        </w:rPr>
      </w:pPr>
      <w:r>
        <w:rPr>
          <w:rFonts w:ascii="微软雅黑" w:hAnsi="微软雅黑" w:eastAsia="微软雅黑" w:cs="微软雅黑"/>
          <w:i w:val="0"/>
          <w:strike w:val="0"/>
          <w:color w:val="000000"/>
          <w:sz w:val="24"/>
          <w:u w:val="none"/>
        </w:rPr>
        <w:t>【强制】严禁应用程序通过 root 账户连接数据库</w:t>
      </w:r>
    </w:p>
    <w:p w14:paraId="1F5F345A">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【强制】除核心维护人员外，其他用户不能拥有SUPER权限账号</w:t>
      </w:r>
    </w:p>
    <w:p w14:paraId="7E8D38CC">
      <w:pPr>
        <w:pBdr>
          <w:bottom w:val="none" w:color="auto" w:sz="0" w:space="0"/>
        </w:pBd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【强制】开发、测试和生产环境中用户权限设置要保持一致</w:t>
      </w:r>
    </w:p>
    <w:p w14:paraId="075AB321">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【强制】严禁TDSQL服务器的机器开启公网网卡</w:t>
      </w:r>
    </w:p>
    <w:p w14:paraId="3FF2559F">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【强制】分离TDSQL服务器生产环境、开发测试环境，保证数据库环境一致，特别是字符集</w:t>
      </w:r>
    </w:p>
    <w:p w14:paraId="49C765ED">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【强制】严禁应用用户的 host 设置为'%'，必须限制到网段或者具体 IP</w:t>
      </w:r>
    </w:p>
    <w:p w14:paraId="17EB65B8">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【强制】数据库应用账户只允许访问应用数据库，常规情况应用账号只需要 select，insert，update，delete，create temporary tables，execute权限。生产环境DDL仅由指定人员实施。对于读写分离读应用及统计账户，单独建立只读账户</w:t>
      </w:r>
    </w:p>
    <w:p w14:paraId="59C56E0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【强制】设置复杂的数据库账号密码，禁止使用简单密码</w:t>
      </w:r>
    </w:p>
    <w:p w14:paraId="0381D7D6">
      <w:pPr>
        <w:pBdr>
          <w:bottom w:val="none" w:color="auto" w:sz="0" w:space="0"/>
        </w:pBd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【强制】禁止在数据库中存储任何形式的明文密码</w:t>
      </w:r>
    </w:p>
    <w:p w14:paraId="1C41BF51">
      <w:pPr>
        <w:snapToGrid/>
        <w:spacing w:before="0" w:after="0" w:line="240" w:lineRule="auto"/>
        <w:ind w:left="0" w:right="0" w:firstLine="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【推荐】应用用户的 host 推荐限制到网段或者具体IP</w:t>
      </w:r>
    </w:p>
    <w:p w14:paraId="6FD17915">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【推荐】数据库用户权限授权按照最小分配原则</w:t>
      </w:r>
    </w:p>
    <w:p w14:paraId="7A2DBAA0">
      <w:pPr>
        <w:snapToGrid/>
        <w:spacing w:before="0" w:after="0" w:line="240" w:lineRule="auto"/>
        <w:ind w:left="420" w:right="0" w:hanging="420"/>
        <w:rPr>
          <w:rFonts w:ascii="微软雅黑" w:hAnsi="微软雅黑" w:eastAsia="微软雅黑" w:cs="微软雅黑"/>
          <w:i w:val="0"/>
          <w:strike w:val="0"/>
          <w:color w:val="000000"/>
          <w:sz w:val="24"/>
          <w:u w:val="none"/>
        </w:rPr>
      </w:pPr>
      <w:r>
        <w:rPr>
          <w:rFonts w:ascii="微软雅黑" w:hAnsi="微软雅黑" w:eastAsia="微软雅黑" w:cs="微软雅黑"/>
          <w:i w:val="0"/>
          <w:strike w:val="0"/>
          <w:color w:val="000000"/>
          <w:sz w:val="24"/>
          <w:u w:val="none"/>
        </w:rPr>
        <w:t>【推荐】数据库用户要分为管理、应用、维护、备份四类用户</w:t>
      </w:r>
    </w:p>
    <w:p w14:paraId="58076FE7">
      <w:pPr>
        <w:snapToGrid/>
        <w:spacing w:before="0" w:after="0" w:line="240" w:lineRule="auto"/>
        <w:ind w:left="420" w:right="0" w:hanging="420"/>
        <w:rPr>
          <w:rFonts w:ascii="微软雅黑" w:hAnsi="微软雅黑" w:eastAsia="微软雅黑" w:cs="微软雅黑"/>
          <w:i w:val="0"/>
          <w:strike w:val="0"/>
          <w:color w:val="000000"/>
          <w:sz w:val="24"/>
          <w:u w:val="none"/>
        </w:rPr>
      </w:pPr>
    </w:p>
    <w:p w14:paraId="5D5D3B05">
      <w:pPr>
        <w:snapToGrid/>
        <w:spacing w:before="0" w:after="0" w:line="240" w:lineRule="auto"/>
        <w:ind w:left="420" w:right="0" w:hanging="420"/>
        <w:rPr>
          <w:rFonts w:ascii="微软雅黑" w:hAnsi="微软雅黑" w:eastAsia="微软雅黑" w:cs="微软雅黑"/>
        </w:rPr>
      </w:pPr>
    </w:p>
    <w:p w14:paraId="538F69FB">
      <w:pPr>
        <w:snapToGrid/>
        <w:spacing w:before="0" w:after="0" w:line="240" w:lineRule="auto"/>
        <w:ind w:left="420" w:right="0" w:hanging="420"/>
        <w:rPr>
          <w:rFonts w:ascii="微软雅黑" w:hAnsi="微软雅黑" w:eastAsia="微软雅黑" w:cs="微软雅黑"/>
        </w:rPr>
      </w:pPr>
    </w:p>
    <w:p w14:paraId="3E83EE73">
      <w:pPr>
        <w:rPr>
          <w:rFonts w:ascii="微软雅黑" w:hAnsi="微软雅黑" w:eastAsia="微软雅黑" w:cs="微软雅黑"/>
        </w:rPr>
      </w:pPr>
    </w:p>
    <w:sectPr>
      <w:pgSz w:w="11905" w:h="16838"/>
      <w:pgMar w:top="1361" w:right="1417" w:bottom="1361"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inorHAnsi">
    <w:altName w:val="苹方-简"/>
    <w:panose1 w:val="00000000000000000000"/>
    <w:charset w:val="00"/>
    <w:family w:val="auto"/>
    <w:pitch w:val="default"/>
    <w:sig w:usb0="00000000" w:usb1="00000000" w:usb2="00000000" w:usb3="00000000" w:csb0="00000000" w:csb1="00000000"/>
  </w:font>
  <w:font w:name="minorEastAsia">
    <w:altName w:val="苹方-简"/>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FEE0A8"/>
    <w:multiLevelType w:val="multilevel"/>
    <w:tmpl w:val="EFFEE0A8"/>
    <w:lvl w:ilvl="0" w:tentative="0">
      <w:start w:val="4"/>
      <w:numFmt w:val="decimal"/>
      <w:lvlText w:val="(%1)"/>
      <w:lvlJc w:val="left"/>
      <w:pPr>
        <w:ind w:left="336" w:hanging="336"/>
      </w:pPr>
    </w:lvl>
    <w:lvl w:ilvl="1" w:tentative="0">
      <w:start w:val="1"/>
      <w:numFmt w:val="lowerLetter"/>
      <w:lvlText w:val="%2."/>
      <w:lvlJc w:val="left"/>
      <w:pPr>
        <w:ind w:left="776" w:hanging="336"/>
      </w:pPr>
    </w:lvl>
    <w:lvl w:ilvl="2" w:tentative="0">
      <w:start w:val="1"/>
      <w:numFmt w:val="lowerRoman"/>
      <w:lvlText w:val="%3."/>
      <w:lvlJc w:val="left"/>
      <w:pPr>
        <w:ind w:left="1216" w:hanging="336"/>
      </w:pPr>
    </w:lvl>
    <w:lvl w:ilvl="3" w:tentative="0">
      <w:start w:val="1"/>
      <w:numFmt w:val="decimal"/>
      <w:lvlText w:val="(%4)"/>
      <w:lvlJc w:val="left"/>
      <w:pPr>
        <w:ind w:left="1656" w:hanging="336"/>
      </w:pPr>
    </w:lvl>
    <w:lvl w:ilvl="4" w:tentative="0">
      <w:start w:val="1"/>
      <w:numFmt w:val="lowerLetter"/>
      <w:lvlText w:val="%5."/>
      <w:lvlJc w:val="left"/>
      <w:pPr>
        <w:ind w:left="2096" w:hanging="336"/>
      </w:pPr>
    </w:lvl>
    <w:lvl w:ilvl="5" w:tentative="0">
      <w:start w:val="1"/>
      <w:numFmt w:val="lowerRoman"/>
      <w:lvlText w:val="%6."/>
      <w:lvlJc w:val="left"/>
      <w:pPr>
        <w:ind w:left="2536" w:hanging="336"/>
      </w:pPr>
    </w:lvl>
    <w:lvl w:ilvl="6" w:tentative="0">
      <w:start w:val="1"/>
      <w:numFmt w:val="decimal"/>
      <w:lvlText w:val="(%7)"/>
      <w:lvlJc w:val="left"/>
      <w:pPr>
        <w:ind w:left="2976" w:hanging="336"/>
      </w:pPr>
    </w:lvl>
    <w:lvl w:ilvl="7" w:tentative="0">
      <w:start w:val="1"/>
      <w:numFmt w:val="lowerLetter"/>
      <w:lvlText w:val="%8."/>
      <w:lvlJc w:val="left"/>
      <w:pPr>
        <w:ind w:left="3416" w:hanging="336"/>
      </w:pPr>
    </w:lvl>
    <w:lvl w:ilvl="8" w:tentative="0">
      <w:start w:val="1"/>
      <w:numFmt w:val="lowerRoman"/>
      <w:lvlText w:val="%9."/>
      <w:lvlJc w:val="left"/>
      <w:pPr>
        <w:ind w:left="3856" w:hanging="336"/>
      </w:pPr>
    </w:lvl>
  </w:abstractNum>
  <w:abstractNum w:abstractNumId="1">
    <w:nsid w:val="274FF018"/>
    <w:multiLevelType w:val="multilevel"/>
    <w:tmpl w:val="274FF018"/>
    <w:lvl w:ilvl="0" w:tentative="0">
      <w:start w:val="1"/>
      <w:numFmt w:val="decimal"/>
      <w:lvlText w:val="%1."/>
      <w:lvlJc w:val="left"/>
      <w:pPr>
        <w:ind w:left="336" w:hanging="336"/>
      </w:pPr>
    </w:lvl>
    <w:lvl w:ilvl="1" w:tentative="0">
      <w:start w:val="1"/>
      <w:numFmt w:val="decimal"/>
      <w:lvlText w:val="%1.%2."/>
      <w:lvlJc w:val="left"/>
      <w:pPr>
        <w:ind w:left="944" w:hanging="504"/>
      </w:pPr>
    </w:lvl>
    <w:lvl w:ilvl="2" w:tentative="0">
      <w:start w:val="1"/>
      <w:numFmt w:val="decimal"/>
      <w:lvlText w:val="%1.%2.%3."/>
      <w:lvlJc w:val="left"/>
      <w:pPr>
        <w:ind w:left="1552" w:hanging="672"/>
      </w:pPr>
    </w:lvl>
    <w:lvl w:ilvl="3" w:tentative="0">
      <w:start w:val="1"/>
      <w:numFmt w:val="decimal"/>
      <w:lvlText w:val="%1.%2.%3.%4."/>
      <w:lvlJc w:val="left"/>
      <w:pPr>
        <w:ind w:left="2160" w:hanging="840"/>
      </w:pPr>
    </w:lvl>
    <w:lvl w:ilvl="4" w:tentative="0">
      <w:start w:val="1"/>
      <w:numFmt w:val="decimal"/>
      <w:lvlText w:val="%1.%2.%3.%4.%5."/>
      <w:lvlJc w:val="left"/>
      <w:pPr>
        <w:ind w:left="2768" w:hanging="1008"/>
      </w:pPr>
    </w:lvl>
    <w:lvl w:ilvl="5" w:tentative="0">
      <w:start w:val="1"/>
      <w:numFmt w:val="decimal"/>
      <w:lvlText w:val="%1.%2.%3.%4.%5.%6."/>
      <w:lvlJc w:val="left"/>
      <w:pPr>
        <w:ind w:left="3376" w:hanging="1176"/>
      </w:pPr>
    </w:lvl>
    <w:lvl w:ilvl="6" w:tentative="0">
      <w:start w:val="1"/>
      <w:numFmt w:val="decimal"/>
      <w:lvlText w:val="%1.%2.%3.%4.%5.%6.%7."/>
      <w:lvlJc w:val="left"/>
      <w:pPr>
        <w:ind w:left="3984" w:hanging="1344"/>
      </w:pPr>
    </w:lvl>
    <w:lvl w:ilvl="7" w:tentative="0">
      <w:start w:val="1"/>
      <w:numFmt w:val="decimal"/>
      <w:lvlText w:val="%1.%2.%3.%4.%5.%6.%7.%8."/>
      <w:lvlJc w:val="left"/>
      <w:pPr>
        <w:ind w:left="4592" w:hanging="1512"/>
      </w:pPr>
    </w:lvl>
    <w:lvl w:ilvl="8" w:tentative="0">
      <w:start w:val="1"/>
      <w:numFmt w:val="decimal"/>
      <w:lvlText w:val="%1.%2.%3.%4.%5.%6.%7.%8.%9."/>
      <w:lvlJc w:val="left"/>
      <w:pPr>
        <w:ind w:left="5200" w:hanging="1680"/>
      </w:pPr>
    </w:lvl>
  </w:abstractNum>
  <w:abstractNum w:abstractNumId="2">
    <w:nsid w:val="7FE4242A"/>
    <w:multiLevelType w:val="multilevel"/>
    <w:tmpl w:val="7FE4242A"/>
    <w:lvl w:ilvl="0" w:tentative="0">
      <w:start w:val="1"/>
      <w:numFmt w:val="chineseCountingThousand"/>
      <w:lvlText w:val="%1、"/>
      <w:lvlJc w:val="left"/>
      <w:pPr>
        <w:ind w:left="462" w:hanging="462"/>
      </w:pPr>
    </w:lvl>
    <w:lvl w:ilvl="1" w:tentative="0">
      <w:start w:val="1"/>
      <w:numFmt w:val="decimal"/>
      <w:lvlText w:val="%2、"/>
      <w:lvlJc w:val="left"/>
      <w:pPr>
        <w:ind w:left="776" w:hanging="336"/>
      </w:pPr>
    </w:lvl>
    <w:lvl w:ilvl="2" w:tentative="0">
      <w:start w:val="1"/>
      <w:numFmt w:val="lowerLetter"/>
      <w:lvlText w:val="%3)"/>
      <w:lvlJc w:val="left"/>
      <w:pPr>
        <w:ind w:left="1216" w:hanging="336"/>
      </w:pPr>
    </w:lvl>
    <w:lvl w:ilvl="3" w:tentative="0">
      <w:start w:val="1"/>
      <w:numFmt w:val="chineseCountingThousand"/>
      <w:lvlText w:val="%4、"/>
      <w:lvlJc w:val="left"/>
      <w:pPr>
        <w:ind w:left="1782" w:hanging="462"/>
      </w:pPr>
    </w:lvl>
    <w:lvl w:ilvl="4" w:tentative="0">
      <w:start w:val="1"/>
      <w:numFmt w:val="decimal"/>
      <w:lvlText w:val="%5、"/>
      <w:lvlJc w:val="left"/>
      <w:pPr>
        <w:ind w:left="2096" w:hanging="336"/>
      </w:pPr>
    </w:lvl>
    <w:lvl w:ilvl="5" w:tentative="0">
      <w:start w:val="1"/>
      <w:numFmt w:val="lowerLetter"/>
      <w:lvlText w:val="%6)"/>
      <w:lvlJc w:val="left"/>
      <w:pPr>
        <w:ind w:left="2536" w:hanging="336"/>
      </w:pPr>
    </w:lvl>
    <w:lvl w:ilvl="6" w:tentative="0">
      <w:start w:val="1"/>
      <w:numFmt w:val="chineseCountingThousand"/>
      <w:lvlText w:val="%7、"/>
      <w:lvlJc w:val="left"/>
      <w:pPr>
        <w:ind w:left="3102" w:hanging="462"/>
      </w:pPr>
    </w:lvl>
    <w:lvl w:ilvl="7" w:tentative="0">
      <w:start w:val="1"/>
      <w:numFmt w:val="decimal"/>
      <w:lvlText w:val="%8、"/>
      <w:lvlJc w:val="left"/>
      <w:pPr>
        <w:ind w:left="3416" w:hanging="336"/>
      </w:pPr>
    </w:lvl>
    <w:lvl w:ilvl="8" w:tentative="0">
      <w:start w:val="1"/>
      <w:numFmt w:val="lowerLetter"/>
      <w:lvlText w:val="%9)"/>
      <w:lvlJc w:val="left"/>
      <w:pPr>
        <w:ind w:left="3856" w:hanging="336"/>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FBBFCFC"/>
    <w:rsid w:val="2FDEFF7C"/>
    <w:rsid w:val="376FC5FC"/>
    <w:rsid w:val="5C7F55D2"/>
    <w:rsid w:val="73CF8C80"/>
    <w:rsid w:val="988F6EBE"/>
    <w:rsid w:val="BEB3015D"/>
    <w:rsid w:val="EF7FCE82"/>
    <w:rsid w:val="FBDFAC68"/>
    <w:rsid w:val="FDFFDF72"/>
    <w:rsid w:val="FF7E18B6"/>
    <w:rsid w:val="FFAF18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norHAnsi" w:hAnsi="minorHAnsi" w:eastAsia="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napToGrid w:val="0"/>
      <w:spacing w:before="60" w:after="60" w:line="312" w:lineRule="auto"/>
      <w:jc w:val="left"/>
    </w:pPr>
    <w:rPr>
      <w:rFonts w:ascii="minorHAnsi" w:hAnsi="minorHAnsi" w:eastAsia="minorEastAsia" w:cstheme="minorBidi"/>
      <w:color w:val="333333"/>
      <w:kern w:val="2"/>
      <w:sz w:val="22"/>
      <w:szCs w:val="22"/>
    </w:rPr>
  </w:style>
  <w:style w:type="paragraph" w:styleId="2">
    <w:name w:val="heading 1"/>
    <w:basedOn w:val="1"/>
    <w:next w:val="1"/>
    <w:qFormat/>
    <w:uiPriority w:val="9"/>
    <w:pPr>
      <w:keepNext/>
      <w:keepLines/>
      <w:spacing w:before="0" w:after="0" w:line="408" w:lineRule="auto"/>
      <w:outlineLvl w:val="0"/>
    </w:pPr>
    <w:rPr>
      <w:b/>
      <w:bCs/>
      <w:color w:val="1A1A1A"/>
      <w:sz w:val="36"/>
      <w:szCs w:val="36"/>
    </w:rPr>
  </w:style>
  <w:style w:type="paragraph" w:styleId="3">
    <w:name w:val="heading 2"/>
    <w:basedOn w:val="1"/>
    <w:next w:val="1"/>
    <w:qFormat/>
    <w:uiPriority w:val="9"/>
    <w:pPr>
      <w:keepNext/>
      <w:keepLines/>
      <w:spacing w:before="0" w:after="0" w:line="408" w:lineRule="auto"/>
      <w:outlineLvl w:val="1"/>
    </w:pPr>
    <w:rPr>
      <w:b/>
      <w:bCs/>
      <w:color w:val="1A1A1A"/>
      <w:sz w:val="32"/>
      <w:szCs w:val="32"/>
    </w:rPr>
  </w:style>
  <w:style w:type="paragraph" w:styleId="4">
    <w:name w:val="heading 3"/>
    <w:basedOn w:val="1"/>
    <w:next w:val="1"/>
    <w:qFormat/>
    <w:uiPriority w:val="9"/>
    <w:pPr>
      <w:keepNext/>
      <w:keepLines/>
      <w:spacing w:before="0" w:after="0" w:line="408" w:lineRule="auto"/>
      <w:outlineLvl w:val="2"/>
    </w:pPr>
    <w:rPr>
      <w:b/>
      <w:bCs/>
      <w:color w:val="1A1A1A"/>
      <w:sz w:val="28"/>
      <w:szCs w:val="28"/>
    </w:rPr>
  </w:style>
  <w:style w:type="character" w:default="1" w:styleId="8">
    <w:name w:val="Default Paragraph Font"/>
    <w:semiHidden/>
    <w:uiPriority w:val="0"/>
  </w:style>
  <w:style w:type="table" w:default="1" w:styleId="6">
    <w:name w:val="Normal Table"/>
    <w:semiHidden/>
    <w:unhideWhenUsed/>
    <w:uiPriority w:val="99"/>
    <w:tblPr>
      <w:tblCellMar>
        <w:top w:w="0" w:type="dxa"/>
        <w:left w:w="108" w:type="dxa"/>
        <w:bottom w:w="0" w:type="dxa"/>
        <w:right w:w="108" w:type="dxa"/>
      </w:tblCellMar>
    </w:tblPr>
  </w:style>
  <w:style w:type="paragraph" w:styleId="5">
    <w:name w:val="Title"/>
    <w:basedOn w:val="1"/>
    <w:next w:val="1"/>
    <w:qFormat/>
    <w:uiPriority w:val="9"/>
    <w:pPr>
      <w:keepNext/>
      <w:keepLines/>
      <w:spacing w:before="0" w:after="0" w:line="408" w:lineRule="auto"/>
      <w:jc w:val="center"/>
      <w:outlineLvl w:val="0"/>
    </w:pPr>
    <w:rPr>
      <w:b/>
      <w:bCs/>
      <w:color w:val="1A1A1A"/>
      <w:sz w:val="48"/>
      <w:szCs w:val="48"/>
    </w:rPr>
  </w:style>
  <w:style w:type="table" w:styleId="7">
    <w:name w:val="Table Grid"/>
    <w:basedOn w:val="6"/>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68</TotalTime>
  <ScaleCrop>false</ScaleCrop>
  <LinksUpToDate>false</LinksUpToDate>
  <Application>WPS Office_12.1.21938.21938_F1E327BC-269C-435d-A152-05C5408002CA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2026-05-28T20:15:00Z</dcterms:created>
  <dc:creator>Data</dc:creator>
  <cp:lastModifiedBy>差不多先生</cp:lastModifiedBy>
  <dcterms:modified xsi:type="dcterms:W3CDTF">2026-05-28T16:25:30Z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E5B143FC37E840D77BC2176A062CA700_42</vt:lpwstr>
  </property>
</Properties>
</file>