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3A5F"/>
          <w:sz w:val="44"/>
        </w:rPr>
        <w:t>NexCart Security Remediation Update</w:t>
      </w:r>
    </w:p>
    <w:p>
      <w:pPr>
        <w:spacing w:after="240"/>
      </w:pPr>
      <w:r>
        <w:rPr>
          <w:rFonts w:ascii="Calibri" w:hAnsi="Calibri"/>
          <w:color w:val="5B6572"/>
          <w:sz w:val="21"/>
        </w:rPr>
        <w:t>Prepared on June 23, 2026 for the latest backlog-driven fixes.</w:t>
      </w:r>
    </w:p>
    <w:p>
      <w:pPr>
        <w:spacing w:after="120"/>
      </w:pPr>
      <w:r>
        <w:rPr>
          <w:rFonts w:ascii="Calibri" w:hAnsi="Calibri"/>
          <w:sz w:val="22"/>
        </w:rPr>
        <w:t>This memo captures the remediation work completed for the latest security and performance findings raised during the code audit. It focuses on access control for the AI advisor service, browser token handling, environment-secret exposure guidance, CORS hardening, and the remaining Khatta write bottleneck.</w:t>
      </w:r>
    </w:p>
    <w:p>
      <w:pPr>
        <w:spacing w:before="200" w:after="120"/>
      </w:pPr>
      <w:r>
        <w:rPr>
          <w:rFonts w:ascii="Calibri" w:hAnsi="Calibri"/>
          <w:b/>
          <w:color w:val="1F3A5F"/>
          <w:sz w:val="30"/>
        </w:rPr>
        <w:t>Remediation Summary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88"/>
            <w:shd w:fill="EAF0F6"/>
            <w:vAlign w:val="center"/>
          </w:tcPr>
          <w:p>
            <w:pPr>
              <w:spacing w:after="0"/>
            </w:pPr>
            <w:r/>
            <w:r>
              <w:rPr>
                <w:rFonts w:ascii="Calibri" w:hAnsi="Calibri"/>
                <w:b/>
                <w:color w:val="1F3A5F"/>
                <w:sz w:val="21"/>
              </w:rPr>
              <w:t>Finding</w:t>
            </w:r>
          </w:p>
        </w:tc>
        <w:tc>
          <w:tcPr>
            <w:tcW w:type="dxa" w:w="1584"/>
            <w:shd w:fill="EAF0F6"/>
            <w:vAlign w:val="center"/>
          </w:tcPr>
          <w:p>
            <w:pPr>
              <w:spacing w:after="0"/>
            </w:pPr>
            <w:r/>
            <w:r>
              <w:rPr>
                <w:rFonts w:ascii="Calibri" w:hAnsi="Calibri"/>
                <w:b/>
                <w:color w:val="1F3A5F"/>
                <w:sz w:val="21"/>
              </w:rPr>
              <w:t>Priority</w:t>
            </w:r>
          </w:p>
        </w:tc>
        <w:tc>
          <w:tcPr>
            <w:tcW w:type="dxa" w:w="2808"/>
            <w:shd w:fill="EAF0F6"/>
            <w:vAlign w:val="center"/>
          </w:tcPr>
          <w:p>
            <w:pPr>
              <w:spacing w:after="0"/>
            </w:pPr>
            <w:r/>
            <w:r>
              <w:rPr>
                <w:rFonts w:ascii="Calibri" w:hAnsi="Calibri"/>
                <w:b/>
                <w:color w:val="1F3A5F"/>
                <w:sz w:val="21"/>
              </w:rPr>
              <w:t>Change</w:t>
            </w:r>
          </w:p>
        </w:tc>
        <w:tc>
          <w:tcPr>
            <w:tcW w:type="dxa" w:w="2880"/>
            <w:shd w:fill="EAF0F6"/>
            <w:vAlign w:val="center"/>
          </w:tcPr>
          <w:p>
            <w:pPr>
              <w:spacing w:after="0"/>
            </w:pPr>
            <w:r/>
            <w:r>
              <w:rPr>
                <w:rFonts w:ascii="Calibri" w:hAnsi="Calibri"/>
                <w:b/>
                <w:color w:val="1F3A5F"/>
                <w:sz w:val="21"/>
              </w:rPr>
              <w:t>Result</w:t>
            </w:r>
          </w:p>
        </w:tc>
      </w:tr>
      <w:tr>
        <w:tc>
          <w:tcPr>
            <w:tcW w:type="dxa" w:w="2340"/>
            <w:vAlign w:val="center"/>
          </w:tcPr>
          <w:p>
            <w:pPr>
              <w:spacing w:after="0"/>
            </w:pPr>
            <w:r/>
            <w:r>
              <w:rPr>
                <w:rFonts w:ascii="Calibri" w:hAnsi="Calibri"/>
                <w:b w:val="0"/>
                <w:color w:val="000000"/>
                <w:sz w:val="21"/>
              </w:rPr>
              <w:t>AI advisor service exposed publicly</w:t>
            </w:r>
          </w:p>
        </w:tc>
        <w:tc>
          <w:tcPr>
            <w:tcW w:type="dxa" w:w="2340"/>
            <w:vAlign w:val="center"/>
          </w:tcPr>
          <w:p>
            <w:pPr>
              <w:spacing w:after="0"/>
            </w:pPr>
            <w:r/>
            <w:r>
              <w:rPr>
                <w:rFonts w:ascii="Calibri" w:hAnsi="Calibri"/>
                <w:b w:val="0"/>
                <w:color w:val="000000"/>
                <w:sz w:val="21"/>
              </w:rPr>
              <w:t>Critical</w:t>
            </w:r>
          </w:p>
        </w:tc>
        <w:tc>
          <w:tcPr>
            <w:tcW w:type="dxa" w:w="2340"/>
            <w:vAlign w:val="center"/>
          </w:tcPr>
          <w:p>
            <w:pPr>
              <w:spacing w:after="0"/>
            </w:pPr>
            <w:r/>
            <w:r>
              <w:rPr>
                <w:rFonts w:ascii="Calibri" w:hAnsi="Calibri"/>
                <w:b w:val="0"/>
                <w:color w:val="000000"/>
                <w:sz w:val="21"/>
              </w:rPr>
              <w:t>Added JWT validation, role-gated routes, and user-scoped session history.</w:t>
            </w:r>
          </w:p>
        </w:tc>
        <w:tc>
          <w:tcPr>
            <w:tcW w:type="dxa" w:w="2340"/>
            <w:vAlign w:val="center"/>
          </w:tcPr>
          <w:p>
            <w:pPr>
              <w:spacing w:after="0"/>
            </w:pPr>
            <w:r/>
            <w:r>
              <w:rPr>
                <w:rFonts w:ascii="Calibri" w:hAnsi="Calibri"/>
                <w:b w:val="0"/>
                <w:color w:val="000000"/>
                <w:sz w:val="21"/>
              </w:rPr>
              <w:t>Anonymous chat/history/ingest access is blocked; ingest is admin-only.</w:t>
            </w:r>
          </w:p>
        </w:tc>
      </w:tr>
      <w:tr>
        <w:tc>
          <w:tcPr>
            <w:tcW w:type="dxa" w:w="2340"/>
            <w:vAlign w:val="center"/>
          </w:tcPr>
          <w:p>
            <w:pPr>
              <w:spacing w:after="0"/>
            </w:pPr>
            <w:r/>
            <w:r>
              <w:rPr>
                <w:rFonts w:ascii="Calibri" w:hAnsi="Calibri"/>
                <w:b w:val="0"/>
                <w:color w:val="000000"/>
                <w:sz w:val="21"/>
              </w:rPr>
              <w:t>Browser tokens stored in localStorage</w:t>
            </w:r>
          </w:p>
        </w:tc>
        <w:tc>
          <w:tcPr>
            <w:tcW w:type="dxa" w:w="2340"/>
            <w:vAlign w:val="center"/>
          </w:tcPr>
          <w:p>
            <w:pPr>
              <w:spacing w:after="0"/>
            </w:pPr>
            <w:r/>
            <w:r>
              <w:rPr>
                <w:rFonts w:ascii="Calibri" w:hAnsi="Calibri"/>
                <w:b w:val="0"/>
                <w:color w:val="000000"/>
                <w:sz w:val="21"/>
              </w:rPr>
              <w:t>High</w:t>
            </w:r>
          </w:p>
        </w:tc>
        <w:tc>
          <w:tcPr>
            <w:tcW w:type="dxa" w:w="2340"/>
            <w:vAlign w:val="center"/>
          </w:tcPr>
          <w:p>
            <w:pPr>
              <w:spacing w:after="0"/>
            </w:pPr>
            <w:r/>
            <w:r>
              <w:rPr>
                <w:rFonts w:ascii="Calibri" w:hAnsi="Calibri"/>
                <w:b w:val="0"/>
                <w:color w:val="000000"/>
                <w:sz w:val="21"/>
              </w:rPr>
              <w:t>Moved session auth to httpOnly cookie flow and credentialed API requests.</w:t>
            </w:r>
          </w:p>
        </w:tc>
        <w:tc>
          <w:tcPr>
            <w:tcW w:type="dxa" w:w="2340"/>
            <w:vAlign w:val="center"/>
          </w:tcPr>
          <w:p>
            <w:pPr>
              <w:spacing w:after="0"/>
            </w:pPr>
            <w:r/>
            <w:r>
              <w:rPr>
                <w:rFonts w:ascii="Calibri" w:hAnsi="Calibri"/>
                <w:b w:val="0"/>
                <w:color w:val="000000"/>
                <w:sz w:val="21"/>
              </w:rPr>
              <w:t>Frontend JavaScript no longer reads or persists bearer tokens.</w:t>
            </w:r>
          </w:p>
        </w:tc>
      </w:tr>
      <w:tr>
        <w:tc>
          <w:tcPr>
            <w:tcW w:type="dxa" w:w="2340"/>
            <w:vAlign w:val="center"/>
          </w:tcPr>
          <w:p>
            <w:pPr>
              <w:spacing w:after="0"/>
            </w:pPr>
            <w:r/>
            <w:r>
              <w:rPr>
                <w:rFonts w:ascii="Calibri" w:hAnsi="Calibri"/>
                <w:b w:val="0"/>
                <w:color w:val="000000"/>
                <w:sz w:val="21"/>
              </w:rPr>
              <w:t>Plaintext local secrets in workspace</w:t>
            </w:r>
          </w:p>
        </w:tc>
        <w:tc>
          <w:tcPr>
            <w:tcW w:type="dxa" w:w="2340"/>
            <w:vAlign w:val="center"/>
          </w:tcPr>
          <w:p>
            <w:pPr>
              <w:spacing w:after="0"/>
            </w:pPr>
            <w:r/>
            <w:r>
              <w:rPr>
                <w:rFonts w:ascii="Calibri" w:hAnsi="Calibri"/>
                <w:b w:val="0"/>
                <w:color w:val="000000"/>
                <w:sz w:val="21"/>
              </w:rPr>
              <w:t>High</w:t>
            </w:r>
          </w:p>
        </w:tc>
        <w:tc>
          <w:tcPr>
            <w:tcW w:type="dxa" w:w="2340"/>
            <w:vAlign w:val="center"/>
          </w:tcPr>
          <w:p>
            <w:pPr>
              <w:spacing w:after="0"/>
            </w:pPr>
            <w:r/>
            <w:r>
              <w:rPr>
                <w:rFonts w:ascii="Calibri" w:hAnsi="Calibri"/>
                <w:b w:val="0"/>
                <w:color w:val="000000"/>
                <w:sz w:val="21"/>
              </w:rPr>
              <w:t>Documented that the local .env values must be rotated if real.</w:t>
            </w:r>
          </w:p>
        </w:tc>
        <w:tc>
          <w:tcPr>
            <w:tcW w:type="dxa" w:w="2340"/>
            <w:vAlign w:val="center"/>
          </w:tcPr>
          <w:p>
            <w:pPr>
              <w:spacing w:after="0"/>
            </w:pPr>
            <w:r/>
            <w:r>
              <w:rPr>
                <w:rFonts w:ascii="Calibri" w:hAnsi="Calibri"/>
                <w:b w:val="0"/>
                <w:color w:val="000000"/>
                <w:sz w:val="21"/>
              </w:rPr>
              <w:t>Risk is operationally contained only after secret rotation by maintainers.</w:t>
            </w:r>
          </w:p>
        </w:tc>
      </w:tr>
      <w:tr>
        <w:tc>
          <w:tcPr>
            <w:tcW w:type="dxa" w:w="2340"/>
            <w:vAlign w:val="center"/>
          </w:tcPr>
          <w:p>
            <w:pPr>
              <w:spacing w:after="0"/>
            </w:pPr>
            <w:r/>
            <w:r>
              <w:rPr>
                <w:rFonts w:ascii="Calibri" w:hAnsi="Calibri"/>
                <w:b w:val="0"/>
                <w:color w:val="000000"/>
                <w:sz w:val="21"/>
              </w:rPr>
              <w:t>Unsafe AI service CORS fallback</w:t>
            </w:r>
          </w:p>
        </w:tc>
        <w:tc>
          <w:tcPr>
            <w:tcW w:type="dxa" w:w="2340"/>
            <w:vAlign w:val="center"/>
          </w:tcPr>
          <w:p>
            <w:pPr>
              <w:spacing w:after="0"/>
            </w:pPr>
            <w:r/>
            <w:r>
              <w:rPr>
                <w:rFonts w:ascii="Calibri" w:hAnsi="Calibri"/>
                <w:b w:val="0"/>
                <w:color w:val="000000"/>
                <w:sz w:val="21"/>
              </w:rPr>
              <w:t>Medium</w:t>
            </w:r>
          </w:p>
        </w:tc>
        <w:tc>
          <w:tcPr>
            <w:tcW w:type="dxa" w:w="2340"/>
            <w:vAlign w:val="center"/>
          </w:tcPr>
          <w:p>
            <w:pPr>
              <w:spacing w:after="0"/>
            </w:pPr>
            <w:r/>
            <w:r>
              <w:rPr>
                <w:rFonts w:ascii="Calibri" w:hAnsi="Calibri"/>
                <w:b w:val="0"/>
                <w:color w:val="000000"/>
                <w:sz w:val="21"/>
              </w:rPr>
              <w:t>Removed wildcard fallback and require explicit AI_CORS_ORIGINS values.</w:t>
            </w:r>
          </w:p>
        </w:tc>
        <w:tc>
          <w:tcPr>
            <w:tcW w:type="dxa" w:w="2340"/>
            <w:vAlign w:val="center"/>
          </w:tcPr>
          <w:p>
            <w:pPr>
              <w:spacing w:after="0"/>
            </w:pPr>
            <w:r/>
            <w:r>
              <w:rPr>
                <w:rFonts w:ascii="Calibri" w:hAnsi="Calibri"/>
                <w:b w:val="0"/>
                <w:color w:val="000000"/>
                <w:sz w:val="21"/>
              </w:rPr>
              <w:t>Credentialed cross-origin calls are now restricted to configured origins.</w:t>
            </w:r>
          </w:p>
        </w:tc>
      </w:tr>
      <w:tr>
        <w:tc>
          <w:tcPr>
            <w:tcW w:type="dxa" w:w="2340"/>
            <w:vAlign w:val="center"/>
          </w:tcPr>
          <w:p>
            <w:pPr>
              <w:spacing w:after="0"/>
            </w:pPr>
            <w:r/>
            <w:r>
              <w:rPr>
                <w:rFonts w:ascii="Calibri" w:hAnsi="Calibri"/>
                <w:b w:val="0"/>
                <w:color w:val="000000"/>
                <w:sz w:val="21"/>
              </w:rPr>
              <w:t>Khatta transactional write loop</w:t>
            </w:r>
          </w:p>
        </w:tc>
        <w:tc>
          <w:tcPr>
            <w:tcW w:type="dxa" w:w="2340"/>
            <w:vAlign w:val="center"/>
          </w:tcPr>
          <w:p>
            <w:pPr>
              <w:spacing w:after="0"/>
            </w:pPr>
            <w:r/>
            <w:r>
              <w:rPr>
                <w:rFonts w:ascii="Calibri" w:hAnsi="Calibri"/>
                <w:b w:val="0"/>
                <w:color w:val="000000"/>
                <w:sz w:val="21"/>
              </w:rPr>
              <w:t>Medium</w:t>
            </w:r>
          </w:p>
        </w:tc>
        <w:tc>
          <w:tcPr>
            <w:tcW w:type="dxa" w:w="2340"/>
            <w:vAlign w:val="center"/>
          </w:tcPr>
          <w:p>
            <w:pPr>
              <w:spacing w:after="0"/>
            </w:pPr>
            <w:r/>
            <w:r>
              <w:rPr>
                <w:rFonts w:ascii="Calibri" w:hAnsi="Calibri"/>
                <w:b w:val="0"/>
                <w:color w:val="000000"/>
                <w:sz w:val="21"/>
              </w:rPr>
              <w:t>Replaced per-row inserts with batched createManyAndReturn in one transaction.</w:t>
            </w:r>
          </w:p>
        </w:tc>
        <w:tc>
          <w:tcPr>
            <w:tcW w:type="dxa" w:w="2340"/>
            <w:vAlign w:val="center"/>
          </w:tcPr>
          <w:p>
            <w:pPr>
              <w:spacing w:after="0"/>
            </w:pPr>
            <w:r/>
            <w:r>
              <w:rPr>
                <w:rFonts w:ascii="Calibri" w:hAnsi="Calibri"/>
                <w:b w:val="0"/>
                <w:color w:val="000000"/>
                <w:sz w:val="21"/>
              </w:rPr>
              <w:t>Invoice saves scale better and avoid N+1 write behavior.</w:t>
            </w:r>
          </w:p>
        </w:tc>
      </w:tr>
    </w:tbl>
    <w:p>
      <w:pPr>
        <w:spacing w:before="240" w:after="80"/>
      </w:pPr>
      <w:r>
        <w:rPr>
          <w:rFonts w:ascii="Calibri" w:hAnsi="Calibri"/>
          <w:b/>
          <w:color w:val="1F3A5F"/>
          <w:sz w:val="26"/>
        </w:rPr>
        <w:t>1. AI Advisor Service Access Control</w:t>
      </w:r>
    </w:p>
    <w:p>
      <w:pPr>
        <w:pStyle w:val="ListBullet"/>
        <w:spacing w:after="80"/>
      </w:pPr>
      <w:r>
        <w:rPr>
          <w:rFonts w:ascii="Calibri" w:hAnsi="Calibri"/>
          <w:sz w:val="22"/>
        </w:rPr>
        <w:t>The FastAPI advisor service now validates the shared NexCart JWT before serving business-advisor endpoints.</w:t>
      </w:r>
    </w:p>
    <w:p>
      <w:pPr>
        <w:pStyle w:val="ListBullet"/>
        <w:spacing w:after="80"/>
      </w:pPr>
      <w:r>
        <w:rPr>
          <w:rFonts w:ascii="Calibri" w:hAnsi="Calibri"/>
          <w:sz w:val="22"/>
        </w:rPr>
        <w:t>The /chat and /history routes require an authenticated WHOLESALER or SUPER_ADMIN user, while /ingest is limited to SUPER_ADMIN users only.</w:t>
      </w:r>
    </w:p>
    <w:p>
      <w:pPr>
        <w:pStyle w:val="ListBullet"/>
        <w:spacing w:after="80"/>
      </w:pPr>
      <w:r>
        <w:rPr>
          <w:rFonts w:ascii="Calibri" w:hAnsi="Calibri"/>
          <w:sz w:val="22"/>
        </w:rPr>
        <w:t>Session history is scoped as userId:sessionId, which prevents one logged-in user from reading another user's transcript by guessing a session identifier.</w:t>
      </w:r>
    </w:p>
    <w:p>
      <w:pPr>
        <w:pStyle w:val="ListBullet"/>
        <w:spacing w:after="80"/>
      </w:pPr>
      <w:r>
        <w:rPr>
          <w:rFonts w:ascii="Calibri" w:hAnsi="Calibri"/>
          <w:sz w:val="22"/>
        </w:rPr>
        <w:t>The frontend AI client was updated to send credentialed requests instead of calling the advisor service anonymously.</w:t>
      </w:r>
    </w:p>
    <w:p>
      <w:pPr>
        <w:spacing w:before="240" w:after="80"/>
      </w:pPr>
      <w:r>
        <w:rPr>
          <w:rFonts w:ascii="Calibri" w:hAnsi="Calibri"/>
          <w:b/>
          <w:color w:val="1F3A5F"/>
          <w:sz w:val="26"/>
        </w:rPr>
        <w:t>2. Browser Session Hardening</w:t>
      </w:r>
    </w:p>
    <w:p>
      <w:pPr>
        <w:pStyle w:val="ListBullet"/>
        <w:spacing w:after="80"/>
      </w:pPr>
      <w:r>
        <w:rPr>
          <w:rFonts w:ascii="Calibri" w:hAnsi="Calibri"/>
          <w:sz w:val="22"/>
        </w:rPr>
        <w:t>Authentication tokens are no longer written to localStorage or persisted in the Zustand auth store.</w:t>
      </w:r>
    </w:p>
    <w:p>
      <w:pPr>
        <w:pStyle w:val="ListBullet"/>
        <w:spacing w:after="80"/>
      </w:pPr>
      <w:r>
        <w:rPr>
          <w:rFonts w:ascii="Calibri" w:hAnsi="Calibri"/>
          <w:sz w:val="22"/>
        </w:rPr>
        <w:t>Login now sets an httpOnly cookie on the backend, and logout clears that cookie while preserving token revocation behavior.</w:t>
      </w:r>
    </w:p>
    <w:p>
      <w:pPr>
        <w:pStyle w:val="ListBullet"/>
        <w:spacing w:after="80"/>
      </w:pPr>
      <w:r>
        <w:rPr>
          <w:rFonts w:ascii="Calibri" w:hAnsi="Calibri"/>
          <w:sz w:val="22"/>
        </w:rPr>
        <w:t>The frontend now restores session state from /auth/profile and uses withCredentials for both the main API client and the AI advisor client.</w:t>
      </w:r>
    </w:p>
    <w:p>
      <w:pPr>
        <w:pStyle w:val="ListBullet"/>
        <w:spacing w:after="80"/>
      </w:pPr>
      <w:r>
        <w:rPr>
          <w:rFonts w:ascii="Calibri" w:hAnsi="Calibri"/>
          <w:sz w:val="22"/>
        </w:rPr>
        <w:t>A non-sensitive session hint is used where the UI only needs to know whether a customer session exists, reducing exposure to token theft through future XSS.</w:t>
      </w:r>
    </w:p>
    <w:p>
      <w:pPr>
        <w:spacing w:before="240" w:after="80"/>
      </w:pPr>
      <w:r>
        <w:rPr>
          <w:rFonts w:ascii="Calibri" w:hAnsi="Calibri"/>
          <w:b/>
          <w:color w:val="1F3A5F"/>
          <w:sz w:val="26"/>
        </w:rPr>
        <w:t>3. Secret Exposure Response</w:t>
      </w:r>
    </w:p>
    <w:p>
      <w:pPr>
        <w:pStyle w:val="ListBullet"/>
        <w:spacing w:after="80"/>
      </w:pPr>
      <w:r>
        <w:rPr>
          <w:rFonts w:ascii="Calibri" w:hAnsi="Calibri"/>
          <w:sz w:val="22"/>
        </w:rPr>
        <w:t>The local .env file remains untracked, so this was treated as a workspace exposure rather than confirmed source-control leakage.</w:t>
      </w:r>
    </w:p>
    <w:p>
      <w:pPr>
        <w:pStyle w:val="ListBullet"/>
        <w:spacing w:after="80"/>
      </w:pPr>
      <w:r>
        <w:rPr>
          <w:rFonts w:ascii="Calibri" w:hAnsi="Calibri"/>
          <w:sz w:val="22"/>
        </w:rPr>
        <w:t>No new .env.example files were retained because that was explicitly not wanted.</w:t>
      </w:r>
    </w:p>
    <w:p>
      <w:pPr>
        <w:pStyle w:val="ListBullet"/>
        <w:spacing w:after="80"/>
      </w:pPr>
      <w:r>
        <w:rPr>
          <w:rFonts w:ascii="Calibri" w:hAnsi="Calibri"/>
          <w:sz w:val="22"/>
        </w:rPr>
        <w:t>If the database, JWT, Gemini, Razorpay, or Brevo values in the local .env are real, they should still be treated as compromised and rotated outside the codebase.</w:t>
      </w:r>
    </w:p>
    <w:p>
      <w:pPr>
        <w:spacing w:before="240" w:after="80"/>
      </w:pPr>
      <w:r>
        <w:rPr>
          <w:rFonts w:ascii="Calibri" w:hAnsi="Calibri"/>
          <w:b/>
          <w:color w:val="1F3A5F"/>
          <w:sz w:val="26"/>
        </w:rPr>
        <w:t>4. CORS Hardening For The AI Service</w:t>
      </w:r>
    </w:p>
    <w:p>
      <w:pPr>
        <w:pStyle w:val="ListBullet"/>
        <w:spacing w:after="80"/>
      </w:pPr>
      <w:r>
        <w:rPr>
          <w:rFonts w:ascii="Calibri" w:hAnsi="Calibri"/>
          <w:sz w:val="22"/>
        </w:rPr>
        <w:t>The AI service no longer falls back to allow_origins=["*"] when credentials are enabled.</w:t>
      </w:r>
    </w:p>
    <w:p>
      <w:pPr>
        <w:pStyle w:val="ListBullet"/>
        <w:spacing w:after="80"/>
      </w:pPr>
      <w:r>
        <w:rPr>
          <w:rFonts w:ascii="Calibri" w:hAnsi="Calibri"/>
          <w:sz w:val="22"/>
        </w:rPr>
        <w:t>Startup now fails fast if AI_CORS_ORIGINS is blank, which prevents accidental deployment of a broadly callable credentialed advisor origin policy.</w:t>
      </w:r>
    </w:p>
    <w:p>
      <w:pPr>
        <w:spacing w:before="240" w:after="80"/>
      </w:pPr>
      <w:r>
        <w:rPr>
          <w:rFonts w:ascii="Calibri" w:hAnsi="Calibri"/>
          <w:b/>
          <w:color w:val="1F3A5F"/>
          <w:sz w:val="26"/>
        </w:rPr>
        <w:t>5. Khatta Save Path Performance Fix</w:t>
      </w:r>
    </w:p>
    <w:p>
      <w:pPr>
        <w:pStyle w:val="ListBullet"/>
        <w:spacing w:after="80"/>
      </w:pPr>
      <w:r>
        <w:rPr>
          <w:rFonts w:ascii="Calibri" w:hAnsi="Calibri"/>
          <w:sz w:val="22"/>
        </w:rPr>
        <w:t>The save flow still validates extracted customer rows inside a single Prisma transaction, but it no longer issues one awaited insert per ledger row.</w:t>
      </w:r>
    </w:p>
    <w:p>
      <w:pPr>
        <w:pStyle w:val="ListBullet"/>
        <w:spacing w:after="80"/>
      </w:pPr>
      <w:r>
        <w:rPr>
          <w:rFonts w:ascii="Calibri" w:hAnsi="Calibri"/>
          <w:sz w:val="22"/>
        </w:rPr>
        <w:t>Resolved rows are collected into one payload and inserted with createManyAndReturn, removing the prior N+1 transactional write loop.</w:t>
      </w:r>
    </w:p>
    <w:p>
      <w:pPr>
        <w:spacing w:before="240" w:after="80"/>
      </w:pPr>
      <w:r>
        <w:rPr>
          <w:rFonts w:ascii="Calibri" w:hAnsi="Calibri"/>
          <w:b/>
          <w:color w:val="1F3A5F"/>
          <w:sz w:val="26"/>
        </w:rPr>
        <w:t>Verification Notes</w:t>
      </w:r>
    </w:p>
    <w:p>
      <w:pPr>
        <w:pStyle w:val="ListBullet"/>
        <w:spacing w:after="80"/>
      </w:pPr>
      <w:r>
        <w:rPr>
          <w:rFonts w:ascii="Calibri" w:hAnsi="Calibri"/>
          <w:sz w:val="22"/>
        </w:rPr>
        <w:t>Backend auth controller tests were run with node --test src/controllers/authController.test.js.</w:t>
      </w:r>
    </w:p>
    <w:p>
      <w:pPr>
        <w:pStyle w:val="ListBullet"/>
        <w:spacing w:after="80"/>
      </w:pPr>
      <w:r>
        <w:rPr>
          <w:rFonts w:ascii="Calibri" w:hAnsi="Calibri"/>
          <w:sz w:val="22"/>
        </w:rPr>
        <w:t>The Khatta controller syntax was checked with node --check src/controllers/khattaController.js.</w:t>
      </w:r>
    </w:p>
    <w:p>
      <w:pPr>
        <w:pStyle w:val="ListBullet"/>
        <w:spacing w:after="80"/>
      </w:pPr>
      <w:r>
        <w:rPr>
          <w:rFonts w:ascii="Calibri" w:hAnsi="Calibri"/>
          <w:sz w:val="22"/>
        </w:rPr>
        <w:t>Frontend lint and AI-service syntax checks had already been run during remediation work.</w:t>
      </w:r>
    </w:p>
    <w:p>
      <w:pPr>
        <w:pStyle w:val="ListBullet"/>
        <w:spacing w:after="80"/>
      </w:pPr>
      <w:r>
        <w:rPr>
          <w:rFonts w:ascii="Calibri" w:hAnsi="Calibri"/>
          <w:sz w:val="22"/>
        </w:rPr>
        <w:t>Visual DOCX render QA could not be completed in this environment because LibreOffice/soffice is not installed.</w:t>
      </w:r>
    </w:p>
    <w:sectPr w:rsidR="00FC693F" w:rsidRPr="0006063C" w:rsidSect="00034616">
      <w:footerReference w:type="default" r:id="rId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NexCart internal remediation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