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98BFF" w14:textId="77777777" w:rsidR="00FB0A78" w:rsidRDefault="00FB0A78" w:rsidP="00FB0A78">
      <w:pPr>
        <w:spacing w:line="240" w:lineRule="auto"/>
        <w:rPr>
          <w:b/>
          <w:sz w:val="32"/>
          <w:szCs w:val="32"/>
        </w:rPr>
      </w:pPr>
      <w:r>
        <w:rPr>
          <w:b/>
          <w:sz w:val="32"/>
          <w:szCs w:val="32"/>
        </w:rPr>
        <w:t>Feature Reduction through Imaginary Network Models</w:t>
      </w:r>
    </w:p>
    <w:p w14:paraId="2C583C84" w14:textId="77777777" w:rsidR="00FB0A78" w:rsidRDefault="00FB0A78" w:rsidP="00FB0A78">
      <w:pPr>
        <w:spacing w:after="0" w:line="240" w:lineRule="auto"/>
      </w:pPr>
      <w:r>
        <w:t>Farrokh Alemi, Ph.D.</w:t>
      </w:r>
    </w:p>
    <w:p w14:paraId="50166C85" w14:textId="77777777" w:rsidR="00FB0A78" w:rsidRDefault="00FB0A78" w:rsidP="00FB0A78">
      <w:pPr>
        <w:spacing w:after="0" w:line="240" w:lineRule="auto"/>
      </w:pPr>
      <w:r>
        <w:t>George Mason University Department of Health Administration and Policy</w:t>
      </w:r>
    </w:p>
    <w:p w14:paraId="074DF89F" w14:textId="77777777" w:rsidR="00FB0A78" w:rsidRDefault="00FB0A78" w:rsidP="00FB0A78">
      <w:pPr>
        <w:spacing w:after="0" w:line="240" w:lineRule="auto"/>
      </w:pPr>
      <w:hyperlink r:id="rId4" w:history="1">
        <w:r w:rsidRPr="008D312C">
          <w:rPr>
            <w:rStyle w:val="Hyperlink"/>
          </w:rPr>
          <w:t>falemi@gmu.edu</w:t>
        </w:r>
      </w:hyperlink>
    </w:p>
    <w:p w14:paraId="36A3A51E" w14:textId="77777777" w:rsidR="00FB0A78" w:rsidRDefault="00FB0A78" w:rsidP="00FB0A78">
      <w:pPr>
        <w:spacing w:after="0" w:line="240" w:lineRule="auto"/>
      </w:pPr>
    </w:p>
    <w:p w14:paraId="3F025128" w14:textId="77777777" w:rsidR="00FB0A78" w:rsidRDefault="00FB0A78" w:rsidP="00FB0A78">
      <w:pPr>
        <w:spacing w:after="0" w:line="240" w:lineRule="auto"/>
        <w:rPr>
          <w:vertAlign w:val="superscript"/>
        </w:rPr>
      </w:pPr>
      <w:proofErr w:type="spellStart"/>
      <w:r>
        <w:t>Sankeerthi</w:t>
      </w:r>
      <w:proofErr w:type="spellEnd"/>
      <w:r>
        <w:t xml:space="preserve"> </w:t>
      </w:r>
      <w:proofErr w:type="spellStart"/>
      <w:r w:rsidRPr="00BE1C64">
        <w:t>Mummidisetty</w:t>
      </w:r>
      <w:proofErr w:type="spellEnd"/>
      <w:r>
        <w:t xml:space="preserve"> </w:t>
      </w:r>
      <w:hyperlink r:id="rId5" w:history="1">
        <w:r w:rsidRPr="00D3425B">
          <w:rPr>
            <w:rStyle w:val="Hyperlink"/>
          </w:rPr>
          <w:t>smummidi@gmu.edu</w:t>
        </w:r>
      </w:hyperlink>
      <w:r>
        <w:t xml:space="preserve"> </w:t>
      </w:r>
    </w:p>
    <w:p w14:paraId="227CF2DF" w14:textId="17386589" w:rsidR="008B46F7" w:rsidRDefault="008B46F7" w:rsidP="00FB0A78"/>
    <w:p w14:paraId="7B87E3AE" w14:textId="77777777" w:rsidR="005E620E" w:rsidRDefault="005E620E" w:rsidP="005E620E">
      <w:pPr>
        <w:keepNext/>
        <w:spacing w:line="240" w:lineRule="auto"/>
        <w:rPr>
          <w:b/>
        </w:rPr>
      </w:pPr>
      <w:r>
        <w:rPr>
          <w:b/>
        </w:rPr>
        <w:t>Results for Second Data Set</w:t>
      </w:r>
    </w:p>
    <w:p w14:paraId="27368326" w14:textId="77777777" w:rsidR="005E620E" w:rsidRPr="00BF5586" w:rsidRDefault="005E620E" w:rsidP="005E620E">
      <w:pPr>
        <w:spacing w:after="0" w:line="240" w:lineRule="auto"/>
        <w:ind w:firstLine="720"/>
        <w:rPr>
          <w:rFonts w:cs="Arial"/>
          <w:sz w:val="20"/>
          <w:szCs w:val="20"/>
          <w:shd w:val="clear" w:color="auto" w:fill="FFFFFF"/>
        </w:rPr>
      </w:pPr>
      <w:r>
        <w:rPr>
          <w:rFonts w:cs="Arial"/>
          <w:sz w:val="20"/>
          <w:szCs w:val="20"/>
          <w:shd w:val="clear" w:color="auto" w:fill="FFFFFF"/>
        </w:rPr>
        <w:t>In the second data set, we evaluate the effectiveness of an antidepressant on reducing depression symptoms.</w:t>
      </w:r>
    </w:p>
    <w:p w14:paraId="715202DF" w14:textId="77777777" w:rsidR="005E620E" w:rsidRPr="00D64EC5" w:rsidRDefault="005E620E" w:rsidP="005E620E">
      <w:pPr>
        <w:spacing w:after="0" w:line="240" w:lineRule="auto"/>
        <w:ind w:firstLine="720"/>
        <w:rPr>
          <w:rFonts w:cs="Arial"/>
          <w:sz w:val="20"/>
          <w:szCs w:val="20"/>
          <w:shd w:val="clear" w:color="auto" w:fill="FFFFFF"/>
        </w:rPr>
      </w:pPr>
      <w:r w:rsidRPr="00D64EC5">
        <w:rPr>
          <w:rFonts w:cs="Arial"/>
          <w:b/>
          <w:sz w:val="20"/>
          <w:szCs w:val="20"/>
        </w:rPr>
        <w:t xml:space="preserve">Source of Data: </w:t>
      </w:r>
      <w:r w:rsidRPr="00D64EC5">
        <w:rPr>
          <w:rFonts w:cs="Arial"/>
          <w:sz w:val="20"/>
          <w:szCs w:val="20"/>
          <w:shd w:val="clear" w:color="auto" w:fill="FFFFFF"/>
        </w:rPr>
        <w:t xml:space="preserve">We used the National Institute of Mental Health’s STAR*D data, the largest available data set capturing response to antidepressants. These data include genetic markers and phenotypes of </w:t>
      </w:r>
      <w:r w:rsidRPr="00D64EC5">
        <w:rPr>
          <w:rFonts w:cs="Arial"/>
          <w:sz w:val="20"/>
          <w:szCs w:val="20"/>
        </w:rPr>
        <w:t>3,678</w:t>
      </w:r>
      <w:r w:rsidRPr="00D64EC5">
        <w:rPr>
          <w:rFonts w:cs="Arial"/>
          <w:sz w:val="20"/>
          <w:szCs w:val="20"/>
          <w:shd w:val="clear" w:color="auto" w:fill="FFFFFF"/>
        </w:rPr>
        <w:t xml:space="preserve"> patients with major depression. The STAR*D cohort data was split into the training (2931 patients) and research data (747 patients) sets. The training dataset was derived from approximately 80% of STAR*D data, while the evaluation dataset was derived from the remainder (~20%) of STAR*D data. </w:t>
      </w:r>
      <w:r>
        <w:rPr>
          <w:rFonts w:cs="Arial"/>
          <w:sz w:val="20"/>
          <w:szCs w:val="20"/>
          <w:shd w:val="clear" w:color="auto" w:fill="FFFFFF"/>
        </w:rPr>
        <w:t xml:space="preserve">The STAR*D includes up to 4 episodes of treatment for patients who do not respond to the initial treatment.  The unit of analysis was the episodes of treatment; thus, we are comparing patients treated with one antidepressant to patients treated with another antidepressant, what in the literature is known as placebo studies. </w:t>
      </w:r>
    </w:p>
    <w:p w14:paraId="72451C72" w14:textId="77777777" w:rsidR="005E620E" w:rsidRPr="00D64EC5" w:rsidRDefault="005E620E" w:rsidP="005E620E">
      <w:pPr>
        <w:spacing w:after="0" w:line="240" w:lineRule="auto"/>
        <w:ind w:firstLine="720"/>
        <w:rPr>
          <w:rFonts w:cstheme="minorHAnsi"/>
          <w:sz w:val="20"/>
          <w:szCs w:val="20"/>
        </w:rPr>
      </w:pPr>
      <w:r w:rsidRPr="00D64EC5">
        <w:rPr>
          <w:rFonts w:cs="Arial"/>
          <w:b/>
          <w:sz w:val="20"/>
          <w:szCs w:val="20"/>
        </w:rPr>
        <w:t>Outcome:</w:t>
      </w:r>
      <w:r w:rsidRPr="00D64EC5">
        <w:rPr>
          <w:rFonts w:cs="Arial"/>
          <w:sz w:val="20"/>
          <w:szCs w:val="20"/>
        </w:rPr>
        <w:t xml:space="preserve"> </w:t>
      </w:r>
      <w:r>
        <w:rPr>
          <w:rFonts w:cs="Arial"/>
          <w:sz w:val="20"/>
          <w:szCs w:val="20"/>
        </w:rPr>
        <w:t xml:space="preserve">The outcome of interest is depression symptom remission, measured in STAR*D through 50% reduction in Hamilton’s index of depression symptoms. </w:t>
      </w:r>
    </w:p>
    <w:p w14:paraId="60612FEF" w14:textId="77777777" w:rsidR="005E620E" w:rsidRPr="00D64EC5" w:rsidRDefault="005E620E" w:rsidP="005E620E">
      <w:pPr>
        <w:spacing w:after="0" w:line="240" w:lineRule="auto"/>
        <w:ind w:firstLine="720"/>
        <w:jc w:val="both"/>
        <w:rPr>
          <w:rFonts w:eastAsia="Times New Roman" w:cs="Arial"/>
          <w:sz w:val="20"/>
          <w:szCs w:val="20"/>
        </w:rPr>
      </w:pPr>
      <w:r w:rsidRPr="00D64EC5">
        <w:rPr>
          <w:rFonts w:eastAsia="Times New Roman" w:cs="Arial"/>
          <w:b/>
          <w:bCs/>
          <w:sz w:val="20"/>
          <w:szCs w:val="20"/>
        </w:rPr>
        <w:t>Treatment: </w:t>
      </w:r>
      <w:r>
        <w:rPr>
          <w:rFonts w:eastAsia="Times New Roman" w:cs="Arial"/>
          <w:sz w:val="20"/>
          <w:szCs w:val="20"/>
        </w:rPr>
        <w:t>We focus on the effectiveness of citalopram, one of the antidepressants provided to patients in STAR*D trials</w:t>
      </w:r>
      <w:r w:rsidRPr="00D64EC5">
        <w:rPr>
          <w:rFonts w:eastAsia="Times New Roman" w:cs="Arial"/>
          <w:sz w:val="20"/>
          <w:szCs w:val="20"/>
        </w:rPr>
        <w:t>.</w:t>
      </w:r>
    </w:p>
    <w:p w14:paraId="0B78BAAB" w14:textId="77777777" w:rsidR="005E620E" w:rsidRPr="00D64EC5" w:rsidRDefault="005E620E" w:rsidP="005E620E">
      <w:pPr>
        <w:spacing w:after="0" w:line="240" w:lineRule="auto"/>
        <w:ind w:firstLine="720"/>
        <w:rPr>
          <w:rFonts w:cs="Arial"/>
          <w:sz w:val="20"/>
          <w:szCs w:val="20"/>
          <w:shd w:val="clear" w:color="auto" w:fill="FFFFFF"/>
        </w:rPr>
      </w:pPr>
      <w:r w:rsidRPr="00D64EC5">
        <w:rPr>
          <w:rFonts w:cs="Arial"/>
          <w:b/>
          <w:sz w:val="20"/>
          <w:szCs w:val="20"/>
        </w:rPr>
        <w:t>Covariates:</w:t>
      </w:r>
      <w:r>
        <w:rPr>
          <w:rFonts w:cs="Arial"/>
          <w:b/>
          <w:sz w:val="20"/>
          <w:szCs w:val="20"/>
        </w:rPr>
        <w:t xml:space="preserve"> </w:t>
      </w:r>
      <w:r w:rsidRPr="00C16510">
        <w:rPr>
          <w:rFonts w:cs="Arial"/>
          <w:sz w:val="20"/>
          <w:szCs w:val="20"/>
        </w:rPr>
        <w:t xml:space="preserve">The effectiveness of the antidepressant depends in part on </w:t>
      </w:r>
      <w:r>
        <w:rPr>
          <w:rFonts w:cs="Arial"/>
          <w:sz w:val="20"/>
          <w:szCs w:val="20"/>
        </w:rPr>
        <w:t xml:space="preserve">gender and </w:t>
      </w:r>
      <w:r w:rsidRPr="00C16510">
        <w:rPr>
          <w:rFonts w:cs="Arial"/>
          <w:sz w:val="20"/>
          <w:szCs w:val="20"/>
        </w:rPr>
        <w:t>patient’s history of illness, captured by baseline comorbidities</w:t>
      </w:r>
      <w:r>
        <w:rPr>
          <w:rFonts w:cs="Arial"/>
          <w:sz w:val="20"/>
          <w:szCs w:val="20"/>
        </w:rPr>
        <w:t>, listed below:</w:t>
      </w:r>
      <w:r w:rsidRPr="00D64EC5">
        <w:rPr>
          <w:rFonts w:eastAsia="Times New Roman" w:cs="Arial"/>
          <w:sz w:val="20"/>
          <w:szCs w:val="20"/>
        </w:rPr>
        <w:t xml:space="preserve"> </w:t>
      </w:r>
    </w:p>
    <w:p w14:paraId="319DF99B" w14:textId="77777777" w:rsidR="005E620E" w:rsidRPr="00D64EC5" w:rsidRDefault="005E620E" w:rsidP="005E620E">
      <w:pPr>
        <w:spacing w:after="0" w:line="240" w:lineRule="auto"/>
        <w:rPr>
          <w:rFonts w:cs="Arial"/>
          <w:sz w:val="20"/>
          <w:szCs w:val="20"/>
          <w:shd w:val="clear" w:color="auto" w:fill="FFFFFF"/>
        </w:rPr>
      </w:pPr>
    </w:p>
    <w:tbl>
      <w:tblPr>
        <w:tblW w:w="8918" w:type="dxa"/>
        <w:tblLook w:val="04A0" w:firstRow="1" w:lastRow="0" w:firstColumn="1" w:lastColumn="0" w:noHBand="0" w:noVBand="1"/>
      </w:tblPr>
      <w:tblGrid>
        <w:gridCol w:w="4679"/>
        <w:gridCol w:w="4239"/>
      </w:tblGrid>
      <w:tr w:rsidR="005E620E" w:rsidRPr="00C16510" w14:paraId="0354E5BB" w14:textId="77777777" w:rsidTr="00C16F39">
        <w:trPr>
          <w:trHeight w:val="289"/>
        </w:trPr>
        <w:tc>
          <w:tcPr>
            <w:tcW w:w="4679" w:type="dxa"/>
            <w:shd w:val="clear" w:color="auto" w:fill="auto"/>
            <w:noWrap/>
            <w:vAlign w:val="center"/>
          </w:tcPr>
          <w:p w14:paraId="147D6DBA" w14:textId="77777777" w:rsidR="005E620E" w:rsidRPr="00C16510" w:rsidRDefault="005E620E" w:rsidP="00C16F39">
            <w:pPr>
              <w:spacing w:after="0" w:line="240" w:lineRule="auto"/>
              <w:rPr>
                <w:rFonts w:eastAsia="Times New Roman" w:cs="Calibri"/>
                <w:bCs/>
                <w:sz w:val="20"/>
                <w:szCs w:val="20"/>
              </w:rPr>
            </w:pPr>
            <w:r w:rsidRPr="00C16510">
              <w:rPr>
                <w:rFonts w:eastAsia="Times New Roman" w:cs="Calibri"/>
                <w:bCs/>
                <w:sz w:val="20"/>
                <w:szCs w:val="20"/>
              </w:rPr>
              <w:t>Risk</w:t>
            </w:r>
            <w:r>
              <w:rPr>
                <w:rFonts w:eastAsia="Times New Roman" w:cs="Calibri"/>
                <w:bCs/>
                <w:sz w:val="20"/>
                <w:szCs w:val="20"/>
              </w:rPr>
              <w:t xml:space="preserve"> </w:t>
            </w:r>
            <w:r w:rsidRPr="00C16510">
              <w:rPr>
                <w:rFonts w:eastAsia="Times New Roman" w:cs="Calibri"/>
                <w:bCs/>
                <w:sz w:val="20"/>
                <w:szCs w:val="20"/>
              </w:rPr>
              <w:t>of</w:t>
            </w:r>
            <w:r>
              <w:rPr>
                <w:rFonts w:eastAsia="Times New Roman" w:cs="Calibri"/>
                <w:bCs/>
                <w:sz w:val="20"/>
                <w:szCs w:val="20"/>
              </w:rPr>
              <w:t xml:space="preserve"> </w:t>
            </w:r>
            <w:r w:rsidRPr="00C16510">
              <w:rPr>
                <w:rFonts w:eastAsia="Times New Roman" w:cs="Calibri"/>
                <w:bCs/>
                <w:sz w:val="20"/>
                <w:szCs w:val="20"/>
              </w:rPr>
              <w:t>Suicide</w:t>
            </w:r>
          </w:p>
        </w:tc>
        <w:tc>
          <w:tcPr>
            <w:tcW w:w="4239" w:type="dxa"/>
            <w:shd w:val="clear" w:color="auto" w:fill="auto"/>
            <w:noWrap/>
            <w:vAlign w:val="center"/>
            <w:hideMark/>
          </w:tcPr>
          <w:p w14:paraId="2AE737D0" w14:textId="77777777" w:rsidR="005E620E" w:rsidRPr="00C16510" w:rsidRDefault="005E620E" w:rsidP="00C16F39">
            <w:pPr>
              <w:spacing w:after="0" w:line="240" w:lineRule="auto"/>
              <w:rPr>
                <w:rFonts w:eastAsia="Times New Roman" w:cs="Calibri"/>
                <w:bCs/>
                <w:sz w:val="20"/>
                <w:szCs w:val="20"/>
              </w:rPr>
            </w:pPr>
            <w:r w:rsidRPr="00C16510">
              <w:rPr>
                <w:rFonts w:eastAsia="Times New Roman" w:cs="Calibri"/>
                <w:bCs/>
                <w:sz w:val="20"/>
                <w:szCs w:val="20"/>
              </w:rPr>
              <w:t xml:space="preserve">Thyroid                   </w:t>
            </w:r>
          </w:p>
        </w:tc>
      </w:tr>
      <w:tr w:rsidR="005E620E" w:rsidRPr="00C16510" w14:paraId="61EC446E" w14:textId="77777777" w:rsidTr="00C16F39">
        <w:trPr>
          <w:trHeight w:val="289"/>
        </w:trPr>
        <w:tc>
          <w:tcPr>
            <w:tcW w:w="4679" w:type="dxa"/>
            <w:shd w:val="clear" w:color="auto" w:fill="auto"/>
            <w:noWrap/>
            <w:vAlign w:val="center"/>
          </w:tcPr>
          <w:p w14:paraId="6AFDEF21" w14:textId="77777777" w:rsidR="005E620E" w:rsidRPr="00C16510" w:rsidRDefault="005E620E" w:rsidP="00C16F39">
            <w:pPr>
              <w:spacing w:after="0" w:line="240" w:lineRule="auto"/>
              <w:rPr>
                <w:rFonts w:eastAsia="Times New Roman" w:cs="Calibri"/>
                <w:bCs/>
                <w:sz w:val="20"/>
                <w:szCs w:val="20"/>
              </w:rPr>
            </w:pPr>
            <w:r w:rsidRPr="00C16510">
              <w:rPr>
                <w:rFonts w:eastAsia="Times New Roman" w:cs="Calibri"/>
                <w:bCs/>
                <w:sz w:val="20"/>
                <w:szCs w:val="20"/>
              </w:rPr>
              <w:t xml:space="preserve">Vascular            </w:t>
            </w:r>
          </w:p>
        </w:tc>
        <w:tc>
          <w:tcPr>
            <w:tcW w:w="4239" w:type="dxa"/>
            <w:shd w:val="clear" w:color="auto" w:fill="auto"/>
            <w:noWrap/>
            <w:vAlign w:val="center"/>
            <w:hideMark/>
          </w:tcPr>
          <w:p w14:paraId="2ACBA7AC" w14:textId="77777777" w:rsidR="005E620E" w:rsidRPr="00C16510" w:rsidRDefault="005E620E" w:rsidP="00C16F39">
            <w:pPr>
              <w:spacing w:after="0" w:line="240" w:lineRule="auto"/>
              <w:rPr>
                <w:rFonts w:eastAsia="Times New Roman" w:cs="Calibri"/>
                <w:bCs/>
                <w:sz w:val="20"/>
                <w:szCs w:val="20"/>
              </w:rPr>
            </w:pPr>
            <w:r w:rsidRPr="00C16510">
              <w:rPr>
                <w:rFonts w:eastAsia="Times New Roman" w:cs="Calibri"/>
                <w:bCs/>
                <w:sz w:val="20"/>
                <w:szCs w:val="20"/>
              </w:rPr>
              <w:t xml:space="preserve">Heart                       </w:t>
            </w:r>
          </w:p>
        </w:tc>
      </w:tr>
      <w:tr w:rsidR="005E620E" w:rsidRPr="00C16510" w14:paraId="249FB992" w14:textId="77777777" w:rsidTr="00C16F39">
        <w:trPr>
          <w:trHeight w:val="289"/>
        </w:trPr>
        <w:tc>
          <w:tcPr>
            <w:tcW w:w="4679" w:type="dxa"/>
            <w:shd w:val="clear" w:color="auto" w:fill="auto"/>
            <w:noWrap/>
            <w:vAlign w:val="center"/>
          </w:tcPr>
          <w:p w14:paraId="400A0CB9" w14:textId="77777777" w:rsidR="005E620E" w:rsidRPr="00C16510" w:rsidRDefault="005E620E" w:rsidP="00C16F39">
            <w:pPr>
              <w:spacing w:after="0" w:line="240" w:lineRule="auto"/>
              <w:rPr>
                <w:rFonts w:eastAsia="Times New Roman" w:cs="Calibri"/>
                <w:bCs/>
                <w:sz w:val="20"/>
                <w:szCs w:val="20"/>
              </w:rPr>
            </w:pPr>
            <w:r w:rsidRPr="00C16510">
              <w:rPr>
                <w:rFonts w:eastAsia="Times New Roman" w:cs="Calibri"/>
                <w:bCs/>
                <w:sz w:val="20"/>
                <w:szCs w:val="20"/>
              </w:rPr>
              <w:t>Eyes</w:t>
            </w:r>
            <w:r>
              <w:rPr>
                <w:rFonts w:eastAsia="Times New Roman" w:cs="Calibri"/>
                <w:bCs/>
                <w:sz w:val="20"/>
                <w:szCs w:val="20"/>
              </w:rPr>
              <w:t xml:space="preserve"> </w:t>
            </w:r>
            <w:r w:rsidRPr="00C16510">
              <w:rPr>
                <w:rFonts w:eastAsia="Times New Roman" w:cs="Calibri"/>
                <w:bCs/>
                <w:sz w:val="20"/>
                <w:szCs w:val="20"/>
              </w:rPr>
              <w:t>Ears</w:t>
            </w:r>
            <w:r>
              <w:rPr>
                <w:rFonts w:eastAsia="Times New Roman" w:cs="Calibri"/>
                <w:bCs/>
                <w:sz w:val="20"/>
                <w:szCs w:val="20"/>
              </w:rPr>
              <w:t xml:space="preserve"> </w:t>
            </w:r>
            <w:r w:rsidRPr="00C16510">
              <w:rPr>
                <w:rFonts w:eastAsia="Times New Roman" w:cs="Calibri"/>
                <w:bCs/>
                <w:sz w:val="20"/>
                <w:szCs w:val="20"/>
              </w:rPr>
              <w:t>Nose</w:t>
            </w:r>
            <w:r>
              <w:rPr>
                <w:rFonts w:eastAsia="Times New Roman" w:cs="Calibri"/>
                <w:bCs/>
                <w:sz w:val="20"/>
                <w:szCs w:val="20"/>
              </w:rPr>
              <w:t xml:space="preserve"> </w:t>
            </w:r>
            <w:r w:rsidRPr="00C16510">
              <w:rPr>
                <w:rFonts w:eastAsia="Times New Roman" w:cs="Calibri"/>
                <w:bCs/>
                <w:sz w:val="20"/>
                <w:szCs w:val="20"/>
              </w:rPr>
              <w:t>Throat</w:t>
            </w:r>
            <w:r>
              <w:rPr>
                <w:rFonts w:eastAsia="Times New Roman" w:cs="Calibri"/>
                <w:bCs/>
                <w:sz w:val="20"/>
                <w:szCs w:val="20"/>
              </w:rPr>
              <w:t xml:space="preserve"> Larynx</w:t>
            </w:r>
            <w:r w:rsidRPr="00C16510">
              <w:rPr>
                <w:rFonts w:eastAsia="Times New Roman" w:cs="Calibri"/>
                <w:bCs/>
                <w:sz w:val="20"/>
                <w:szCs w:val="20"/>
              </w:rPr>
              <w:t xml:space="preserve">       </w:t>
            </w:r>
          </w:p>
        </w:tc>
        <w:tc>
          <w:tcPr>
            <w:tcW w:w="4239" w:type="dxa"/>
            <w:shd w:val="clear" w:color="auto" w:fill="auto"/>
            <w:noWrap/>
            <w:vAlign w:val="center"/>
            <w:hideMark/>
          </w:tcPr>
          <w:p w14:paraId="5C96EA19" w14:textId="77777777" w:rsidR="005E620E" w:rsidRPr="00C16510" w:rsidRDefault="005E620E" w:rsidP="00C16F39">
            <w:pPr>
              <w:spacing w:after="0" w:line="240" w:lineRule="auto"/>
              <w:rPr>
                <w:rFonts w:eastAsia="Times New Roman" w:cs="Calibri"/>
                <w:bCs/>
                <w:sz w:val="20"/>
                <w:szCs w:val="20"/>
              </w:rPr>
            </w:pPr>
            <w:r w:rsidRPr="00C16510">
              <w:rPr>
                <w:rFonts w:eastAsia="Times New Roman" w:cs="Calibri"/>
                <w:bCs/>
                <w:sz w:val="20"/>
                <w:szCs w:val="20"/>
              </w:rPr>
              <w:t xml:space="preserve">Hematopoietic              </w:t>
            </w:r>
          </w:p>
        </w:tc>
      </w:tr>
      <w:tr w:rsidR="005E620E" w:rsidRPr="00C16510" w14:paraId="43C3C524" w14:textId="77777777" w:rsidTr="00C16F39">
        <w:trPr>
          <w:trHeight w:val="289"/>
        </w:trPr>
        <w:tc>
          <w:tcPr>
            <w:tcW w:w="4679" w:type="dxa"/>
            <w:shd w:val="clear" w:color="auto" w:fill="auto"/>
            <w:noWrap/>
            <w:vAlign w:val="center"/>
          </w:tcPr>
          <w:p w14:paraId="1E9ECC84" w14:textId="77777777" w:rsidR="005E620E" w:rsidRPr="00C16510" w:rsidRDefault="005E620E" w:rsidP="00C16F39">
            <w:pPr>
              <w:spacing w:after="0" w:line="240" w:lineRule="auto"/>
              <w:rPr>
                <w:rFonts w:eastAsia="Times New Roman" w:cs="Calibri"/>
                <w:bCs/>
                <w:sz w:val="20"/>
                <w:szCs w:val="20"/>
              </w:rPr>
            </w:pPr>
            <w:r w:rsidRPr="00C16510">
              <w:rPr>
                <w:rFonts w:eastAsia="Times New Roman" w:cs="Calibri"/>
                <w:bCs/>
                <w:sz w:val="20"/>
                <w:szCs w:val="20"/>
              </w:rPr>
              <w:t xml:space="preserve">Renal           </w:t>
            </w:r>
          </w:p>
        </w:tc>
        <w:tc>
          <w:tcPr>
            <w:tcW w:w="4239" w:type="dxa"/>
            <w:shd w:val="clear" w:color="auto" w:fill="auto"/>
            <w:noWrap/>
            <w:vAlign w:val="center"/>
            <w:hideMark/>
          </w:tcPr>
          <w:p w14:paraId="4D189974" w14:textId="77777777" w:rsidR="005E620E" w:rsidRPr="00C16510" w:rsidRDefault="005E620E" w:rsidP="00C16F39">
            <w:pPr>
              <w:spacing w:after="0" w:line="240" w:lineRule="auto"/>
              <w:rPr>
                <w:rFonts w:eastAsia="Times New Roman" w:cs="Calibri"/>
                <w:bCs/>
                <w:sz w:val="20"/>
                <w:szCs w:val="20"/>
              </w:rPr>
            </w:pPr>
            <w:r w:rsidRPr="00C16510">
              <w:rPr>
                <w:rFonts w:eastAsia="Times New Roman" w:cs="Calibri"/>
                <w:bCs/>
                <w:sz w:val="20"/>
                <w:szCs w:val="20"/>
              </w:rPr>
              <w:t xml:space="preserve">Gastrointestinal           </w:t>
            </w:r>
          </w:p>
        </w:tc>
      </w:tr>
      <w:tr w:rsidR="005E620E" w:rsidRPr="00C16510" w14:paraId="1E0BE878" w14:textId="77777777" w:rsidTr="00C16F39">
        <w:trPr>
          <w:trHeight w:val="289"/>
        </w:trPr>
        <w:tc>
          <w:tcPr>
            <w:tcW w:w="4679" w:type="dxa"/>
            <w:shd w:val="clear" w:color="auto" w:fill="auto"/>
            <w:noWrap/>
            <w:vAlign w:val="center"/>
          </w:tcPr>
          <w:p w14:paraId="486ED34A" w14:textId="77777777" w:rsidR="005E620E" w:rsidRPr="00C16510" w:rsidRDefault="005E620E" w:rsidP="00C16F39">
            <w:pPr>
              <w:spacing w:after="0" w:line="240" w:lineRule="auto"/>
              <w:rPr>
                <w:rFonts w:eastAsia="Times New Roman" w:cs="Calibri"/>
                <w:bCs/>
                <w:sz w:val="20"/>
                <w:szCs w:val="20"/>
              </w:rPr>
            </w:pPr>
            <w:r w:rsidRPr="00C16510">
              <w:rPr>
                <w:rFonts w:eastAsia="Times New Roman" w:cs="Calibri"/>
                <w:bCs/>
                <w:sz w:val="20"/>
                <w:szCs w:val="20"/>
              </w:rPr>
              <w:t>Musculoskeletal</w:t>
            </w:r>
            <w:r>
              <w:rPr>
                <w:rFonts w:eastAsia="Times New Roman" w:cs="Calibri"/>
                <w:bCs/>
                <w:sz w:val="20"/>
                <w:szCs w:val="20"/>
              </w:rPr>
              <w:t xml:space="preserve"> </w:t>
            </w:r>
            <w:r w:rsidRPr="00C16510">
              <w:rPr>
                <w:rFonts w:eastAsia="Times New Roman" w:cs="Calibri"/>
                <w:bCs/>
                <w:sz w:val="20"/>
                <w:szCs w:val="20"/>
              </w:rPr>
              <w:t>Integument</w:t>
            </w:r>
          </w:p>
        </w:tc>
        <w:tc>
          <w:tcPr>
            <w:tcW w:w="4239" w:type="dxa"/>
            <w:shd w:val="clear" w:color="auto" w:fill="auto"/>
            <w:noWrap/>
            <w:vAlign w:val="center"/>
            <w:hideMark/>
          </w:tcPr>
          <w:p w14:paraId="5EAC9639" w14:textId="77777777" w:rsidR="005E620E" w:rsidRPr="00C16510" w:rsidRDefault="005E620E" w:rsidP="00C16F39">
            <w:pPr>
              <w:spacing w:after="0" w:line="240" w:lineRule="auto"/>
              <w:rPr>
                <w:rFonts w:eastAsia="Times New Roman" w:cs="Calibri"/>
                <w:bCs/>
                <w:sz w:val="20"/>
                <w:szCs w:val="20"/>
              </w:rPr>
            </w:pPr>
            <w:r w:rsidRPr="00C16510">
              <w:rPr>
                <w:rFonts w:eastAsia="Times New Roman" w:cs="Calibri"/>
                <w:bCs/>
                <w:sz w:val="20"/>
                <w:szCs w:val="20"/>
              </w:rPr>
              <w:t xml:space="preserve">Genitourinary              </w:t>
            </w:r>
          </w:p>
        </w:tc>
      </w:tr>
      <w:tr w:rsidR="005E620E" w:rsidRPr="00C16510" w14:paraId="0356C85B" w14:textId="77777777" w:rsidTr="00C16F39">
        <w:trPr>
          <w:trHeight w:val="289"/>
        </w:trPr>
        <w:tc>
          <w:tcPr>
            <w:tcW w:w="4679" w:type="dxa"/>
            <w:shd w:val="clear" w:color="auto" w:fill="auto"/>
            <w:noWrap/>
            <w:vAlign w:val="center"/>
          </w:tcPr>
          <w:p w14:paraId="49E1FC50" w14:textId="77777777" w:rsidR="005E620E" w:rsidRPr="00C16510" w:rsidRDefault="005E620E" w:rsidP="00C16F39">
            <w:pPr>
              <w:spacing w:after="0" w:line="240" w:lineRule="auto"/>
              <w:rPr>
                <w:rFonts w:eastAsia="Times New Roman" w:cs="Calibri"/>
                <w:bCs/>
                <w:sz w:val="20"/>
                <w:szCs w:val="20"/>
              </w:rPr>
            </w:pPr>
            <w:r w:rsidRPr="00C16510">
              <w:rPr>
                <w:rFonts w:eastAsia="Times New Roman" w:cs="Calibri"/>
                <w:bCs/>
                <w:sz w:val="20"/>
                <w:szCs w:val="20"/>
              </w:rPr>
              <w:t>Psychiatric</w:t>
            </w:r>
            <w:r>
              <w:rPr>
                <w:rFonts w:eastAsia="Times New Roman" w:cs="Calibri"/>
                <w:bCs/>
                <w:sz w:val="20"/>
                <w:szCs w:val="20"/>
              </w:rPr>
              <w:t xml:space="preserve"> </w:t>
            </w:r>
            <w:r w:rsidRPr="00C16510">
              <w:rPr>
                <w:rFonts w:eastAsia="Times New Roman" w:cs="Calibri"/>
                <w:bCs/>
                <w:sz w:val="20"/>
                <w:szCs w:val="20"/>
              </w:rPr>
              <w:t xml:space="preserve">Illness     </w:t>
            </w:r>
          </w:p>
        </w:tc>
        <w:tc>
          <w:tcPr>
            <w:tcW w:w="4239" w:type="dxa"/>
            <w:shd w:val="clear" w:color="auto" w:fill="auto"/>
            <w:noWrap/>
            <w:vAlign w:val="center"/>
            <w:hideMark/>
          </w:tcPr>
          <w:p w14:paraId="7D997628" w14:textId="77777777" w:rsidR="005E620E" w:rsidRPr="00C16510" w:rsidRDefault="005E620E" w:rsidP="00C16F39">
            <w:pPr>
              <w:spacing w:after="0" w:line="240" w:lineRule="auto"/>
              <w:rPr>
                <w:rFonts w:eastAsia="Times New Roman" w:cs="Calibri"/>
                <w:bCs/>
                <w:sz w:val="20"/>
                <w:szCs w:val="20"/>
              </w:rPr>
            </w:pPr>
            <w:r w:rsidRPr="00C16510">
              <w:rPr>
                <w:rFonts w:eastAsia="Times New Roman" w:cs="Calibri"/>
                <w:bCs/>
                <w:sz w:val="20"/>
                <w:szCs w:val="20"/>
              </w:rPr>
              <w:t xml:space="preserve">Neurological               </w:t>
            </w:r>
          </w:p>
        </w:tc>
      </w:tr>
      <w:tr w:rsidR="005E620E" w:rsidRPr="00C16510" w14:paraId="6F779E02" w14:textId="77777777" w:rsidTr="00C16F39">
        <w:trPr>
          <w:trHeight w:val="289"/>
        </w:trPr>
        <w:tc>
          <w:tcPr>
            <w:tcW w:w="4679" w:type="dxa"/>
            <w:shd w:val="clear" w:color="auto" w:fill="auto"/>
            <w:noWrap/>
            <w:vAlign w:val="center"/>
          </w:tcPr>
          <w:p w14:paraId="33510D39" w14:textId="77777777" w:rsidR="005E620E" w:rsidRPr="00C16510" w:rsidRDefault="005E620E" w:rsidP="00C16F39">
            <w:pPr>
              <w:spacing w:after="0" w:line="240" w:lineRule="auto"/>
              <w:rPr>
                <w:rFonts w:eastAsia="Times New Roman" w:cs="Calibri"/>
                <w:bCs/>
                <w:sz w:val="20"/>
                <w:szCs w:val="20"/>
              </w:rPr>
            </w:pPr>
            <w:r w:rsidRPr="00C16510">
              <w:rPr>
                <w:rFonts w:eastAsia="Times New Roman" w:cs="Calibri"/>
                <w:bCs/>
                <w:sz w:val="20"/>
                <w:szCs w:val="20"/>
              </w:rPr>
              <w:t xml:space="preserve">Liver                  </w:t>
            </w:r>
          </w:p>
        </w:tc>
        <w:tc>
          <w:tcPr>
            <w:tcW w:w="4239" w:type="dxa"/>
            <w:shd w:val="clear" w:color="auto" w:fill="auto"/>
            <w:noWrap/>
            <w:vAlign w:val="center"/>
            <w:hideMark/>
          </w:tcPr>
          <w:p w14:paraId="47750618" w14:textId="77777777" w:rsidR="005E620E" w:rsidRPr="00C16510" w:rsidRDefault="005E620E" w:rsidP="00C16F39">
            <w:pPr>
              <w:spacing w:after="0" w:line="240" w:lineRule="auto"/>
              <w:rPr>
                <w:rFonts w:eastAsia="Times New Roman" w:cs="Calibri"/>
                <w:bCs/>
                <w:sz w:val="20"/>
                <w:szCs w:val="20"/>
              </w:rPr>
            </w:pPr>
            <w:r w:rsidRPr="00C16510">
              <w:rPr>
                <w:rFonts w:eastAsia="Times New Roman" w:cs="Calibri"/>
                <w:bCs/>
                <w:sz w:val="20"/>
                <w:szCs w:val="20"/>
              </w:rPr>
              <w:t xml:space="preserve">Respiratory                 </w:t>
            </w:r>
          </w:p>
        </w:tc>
      </w:tr>
      <w:tr w:rsidR="005E620E" w:rsidRPr="00C16510" w14:paraId="12AD6F81" w14:textId="77777777" w:rsidTr="00C16F39">
        <w:trPr>
          <w:trHeight w:val="289"/>
        </w:trPr>
        <w:tc>
          <w:tcPr>
            <w:tcW w:w="4679" w:type="dxa"/>
            <w:shd w:val="clear" w:color="auto" w:fill="auto"/>
            <w:noWrap/>
            <w:vAlign w:val="center"/>
          </w:tcPr>
          <w:p w14:paraId="5AF5A404" w14:textId="77777777" w:rsidR="005E620E" w:rsidRPr="00C16510" w:rsidRDefault="005E620E" w:rsidP="00C16F39">
            <w:pPr>
              <w:spacing w:after="0" w:line="240" w:lineRule="auto"/>
              <w:rPr>
                <w:rFonts w:eastAsia="Times New Roman" w:cs="Calibri"/>
                <w:bCs/>
                <w:sz w:val="20"/>
                <w:szCs w:val="20"/>
              </w:rPr>
            </w:pPr>
            <w:r w:rsidRPr="00C16510">
              <w:rPr>
                <w:rFonts w:eastAsia="Times New Roman" w:cs="Calibri"/>
                <w:bCs/>
                <w:sz w:val="20"/>
                <w:szCs w:val="20"/>
              </w:rPr>
              <w:t xml:space="preserve">Alcohol           </w:t>
            </w:r>
          </w:p>
        </w:tc>
        <w:tc>
          <w:tcPr>
            <w:tcW w:w="4239" w:type="dxa"/>
            <w:shd w:val="clear" w:color="auto" w:fill="auto"/>
            <w:noWrap/>
            <w:vAlign w:val="center"/>
            <w:hideMark/>
          </w:tcPr>
          <w:p w14:paraId="1CA21FDF" w14:textId="77777777" w:rsidR="005E620E" w:rsidRPr="00C16510" w:rsidRDefault="005E620E" w:rsidP="00C16F39">
            <w:pPr>
              <w:spacing w:after="0" w:line="240" w:lineRule="auto"/>
              <w:rPr>
                <w:rFonts w:eastAsia="Times New Roman" w:cs="Calibri"/>
                <w:bCs/>
                <w:sz w:val="20"/>
                <w:szCs w:val="20"/>
              </w:rPr>
            </w:pPr>
            <w:r w:rsidRPr="00C16510">
              <w:rPr>
                <w:rFonts w:eastAsia="Times New Roman" w:cs="Calibri"/>
                <w:bCs/>
                <w:sz w:val="20"/>
                <w:szCs w:val="20"/>
              </w:rPr>
              <w:t xml:space="preserve">Endocrine                  </w:t>
            </w:r>
          </w:p>
        </w:tc>
      </w:tr>
      <w:tr w:rsidR="005E620E" w:rsidRPr="00C16510" w14:paraId="467F60F5" w14:textId="77777777" w:rsidTr="00C16F39">
        <w:trPr>
          <w:trHeight w:val="289"/>
        </w:trPr>
        <w:tc>
          <w:tcPr>
            <w:tcW w:w="4679" w:type="dxa"/>
            <w:shd w:val="clear" w:color="auto" w:fill="auto"/>
            <w:noWrap/>
            <w:vAlign w:val="center"/>
          </w:tcPr>
          <w:p w14:paraId="229B51E6" w14:textId="77777777" w:rsidR="005E620E" w:rsidRPr="00C16510" w:rsidRDefault="005E620E" w:rsidP="00C16F39">
            <w:pPr>
              <w:spacing w:after="0" w:line="240" w:lineRule="auto"/>
              <w:rPr>
                <w:rFonts w:eastAsia="Times New Roman" w:cs="Calibri"/>
                <w:bCs/>
                <w:sz w:val="20"/>
                <w:szCs w:val="20"/>
              </w:rPr>
            </w:pPr>
            <w:r w:rsidRPr="00C16510">
              <w:rPr>
                <w:rFonts w:eastAsia="Times New Roman" w:cs="Calibri"/>
                <w:bCs/>
                <w:sz w:val="20"/>
                <w:szCs w:val="20"/>
              </w:rPr>
              <w:t xml:space="preserve">Cannabis            </w:t>
            </w:r>
          </w:p>
        </w:tc>
        <w:tc>
          <w:tcPr>
            <w:tcW w:w="4239" w:type="dxa"/>
            <w:shd w:val="clear" w:color="auto" w:fill="auto"/>
            <w:noWrap/>
            <w:vAlign w:val="center"/>
            <w:hideMark/>
          </w:tcPr>
          <w:p w14:paraId="3BA1BA93" w14:textId="77777777" w:rsidR="005E620E" w:rsidRPr="00C16510" w:rsidRDefault="005E620E" w:rsidP="00C16F39">
            <w:pPr>
              <w:spacing w:after="0" w:line="240" w:lineRule="auto"/>
              <w:rPr>
                <w:rFonts w:eastAsia="Times New Roman" w:cs="Calibri"/>
                <w:bCs/>
                <w:sz w:val="20"/>
                <w:szCs w:val="20"/>
              </w:rPr>
            </w:pPr>
            <w:r w:rsidRPr="00C16510">
              <w:rPr>
                <w:rFonts w:eastAsia="Times New Roman" w:cs="Calibri"/>
                <w:bCs/>
                <w:sz w:val="20"/>
                <w:szCs w:val="20"/>
              </w:rPr>
              <w:t xml:space="preserve">Amphetamine                 </w:t>
            </w:r>
          </w:p>
        </w:tc>
      </w:tr>
      <w:tr w:rsidR="005E620E" w:rsidRPr="00C16510" w14:paraId="08107A57" w14:textId="77777777" w:rsidTr="00C16F39">
        <w:trPr>
          <w:trHeight w:val="289"/>
        </w:trPr>
        <w:tc>
          <w:tcPr>
            <w:tcW w:w="4679" w:type="dxa"/>
            <w:shd w:val="clear" w:color="auto" w:fill="auto"/>
            <w:noWrap/>
            <w:vAlign w:val="center"/>
          </w:tcPr>
          <w:p w14:paraId="1FB782C1" w14:textId="77777777" w:rsidR="005E620E" w:rsidRPr="00C16510" w:rsidRDefault="005E620E" w:rsidP="00C16F39">
            <w:pPr>
              <w:spacing w:after="0" w:line="240" w:lineRule="auto"/>
              <w:rPr>
                <w:rFonts w:eastAsia="Times New Roman" w:cs="Calibri"/>
                <w:bCs/>
                <w:sz w:val="20"/>
                <w:szCs w:val="20"/>
              </w:rPr>
            </w:pPr>
            <w:r w:rsidRPr="00C16510">
              <w:rPr>
                <w:rFonts w:eastAsia="Times New Roman" w:cs="Calibri"/>
                <w:bCs/>
                <w:sz w:val="20"/>
                <w:szCs w:val="20"/>
              </w:rPr>
              <w:t xml:space="preserve">Panic            </w:t>
            </w:r>
          </w:p>
        </w:tc>
        <w:tc>
          <w:tcPr>
            <w:tcW w:w="4239" w:type="dxa"/>
            <w:shd w:val="clear" w:color="auto" w:fill="auto"/>
            <w:noWrap/>
            <w:vAlign w:val="center"/>
            <w:hideMark/>
          </w:tcPr>
          <w:p w14:paraId="5E1FE13B" w14:textId="77777777" w:rsidR="005E620E" w:rsidRPr="00C16510" w:rsidRDefault="005E620E" w:rsidP="00C16F39">
            <w:pPr>
              <w:spacing w:after="0" w:line="240" w:lineRule="auto"/>
              <w:rPr>
                <w:rFonts w:eastAsia="Times New Roman" w:cs="Calibri"/>
                <w:bCs/>
                <w:sz w:val="20"/>
                <w:szCs w:val="20"/>
              </w:rPr>
            </w:pPr>
            <w:r w:rsidRPr="00C16510">
              <w:rPr>
                <w:rFonts w:eastAsia="Times New Roman" w:cs="Calibri"/>
                <w:bCs/>
                <w:sz w:val="20"/>
                <w:szCs w:val="20"/>
              </w:rPr>
              <w:t xml:space="preserve">Opioid                      </w:t>
            </w:r>
          </w:p>
        </w:tc>
      </w:tr>
      <w:tr w:rsidR="005E620E" w:rsidRPr="00C16510" w14:paraId="135683C4" w14:textId="77777777" w:rsidTr="00C16F39">
        <w:trPr>
          <w:trHeight w:val="289"/>
        </w:trPr>
        <w:tc>
          <w:tcPr>
            <w:tcW w:w="4679" w:type="dxa"/>
            <w:shd w:val="clear" w:color="auto" w:fill="auto"/>
            <w:noWrap/>
            <w:vAlign w:val="center"/>
          </w:tcPr>
          <w:p w14:paraId="7B321047" w14:textId="77777777" w:rsidR="005E620E" w:rsidRPr="00C16510" w:rsidRDefault="005E620E" w:rsidP="00C16F39">
            <w:pPr>
              <w:spacing w:after="0" w:line="240" w:lineRule="auto"/>
              <w:rPr>
                <w:rFonts w:eastAsia="Times New Roman" w:cs="Calibri"/>
                <w:bCs/>
                <w:sz w:val="20"/>
                <w:szCs w:val="20"/>
              </w:rPr>
            </w:pPr>
            <w:r w:rsidRPr="00C16510">
              <w:rPr>
                <w:rFonts w:eastAsia="Times New Roman" w:cs="Calibri"/>
                <w:bCs/>
                <w:sz w:val="20"/>
                <w:szCs w:val="20"/>
              </w:rPr>
              <w:t>Social</w:t>
            </w:r>
            <w:r>
              <w:rPr>
                <w:rFonts w:eastAsia="Times New Roman" w:cs="Calibri"/>
                <w:bCs/>
                <w:sz w:val="20"/>
                <w:szCs w:val="20"/>
              </w:rPr>
              <w:t xml:space="preserve"> </w:t>
            </w:r>
            <w:r w:rsidRPr="00C16510">
              <w:rPr>
                <w:rFonts w:eastAsia="Times New Roman" w:cs="Calibri"/>
                <w:bCs/>
                <w:sz w:val="20"/>
                <w:szCs w:val="20"/>
              </w:rPr>
              <w:t xml:space="preserve">Phobia         </w:t>
            </w:r>
          </w:p>
        </w:tc>
        <w:tc>
          <w:tcPr>
            <w:tcW w:w="4239" w:type="dxa"/>
            <w:shd w:val="clear" w:color="auto" w:fill="auto"/>
            <w:noWrap/>
            <w:vAlign w:val="center"/>
            <w:hideMark/>
          </w:tcPr>
          <w:p w14:paraId="4AA7683B" w14:textId="77777777" w:rsidR="005E620E" w:rsidRPr="00C16510" w:rsidRDefault="005E620E" w:rsidP="00C16F39">
            <w:pPr>
              <w:spacing w:after="0" w:line="240" w:lineRule="auto"/>
              <w:rPr>
                <w:rFonts w:eastAsia="Times New Roman" w:cs="Calibri"/>
                <w:bCs/>
                <w:sz w:val="20"/>
                <w:szCs w:val="20"/>
              </w:rPr>
            </w:pPr>
            <w:r w:rsidRPr="00C16510">
              <w:rPr>
                <w:rFonts w:eastAsia="Times New Roman" w:cs="Calibri"/>
                <w:bCs/>
                <w:sz w:val="20"/>
                <w:szCs w:val="20"/>
              </w:rPr>
              <w:t xml:space="preserve">Specific Phobia            </w:t>
            </w:r>
          </w:p>
        </w:tc>
      </w:tr>
      <w:tr w:rsidR="005E620E" w:rsidRPr="00C16510" w14:paraId="500A266E" w14:textId="77777777" w:rsidTr="00C16F39">
        <w:trPr>
          <w:trHeight w:val="289"/>
        </w:trPr>
        <w:tc>
          <w:tcPr>
            <w:tcW w:w="4679" w:type="dxa"/>
            <w:shd w:val="clear" w:color="auto" w:fill="auto"/>
            <w:noWrap/>
            <w:vAlign w:val="center"/>
          </w:tcPr>
          <w:p w14:paraId="7909B1FE" w14:textId="77777777" w:rsidR="005E620E" w:rsidRPr="00C16510" w:rsidRDefault="005E620E" w:rsidP="00C16F39">
            <w:pPr>
              <w:spacing w:after="0" w:line="240" w:lineRule="auto"/>
              <w:rPr>
                <w:rFonts w:eastAsia="Times New Roman" w:cs="Calibri"/>
                <w:bCs/>
                <w:sz w:val="20"/>
                <w:szCs w:val="20"/>
              </w:rPr>
            </w:pPr>
            <w:r w:rsidRPr="00C16510">
              <w:rPr>
                <w:rFonts w:eastAsia="Times New Roman" w:cs="Calibri"/>
                <w:bCs/>
                <w:sz w:val="20"/>
                <w:szCs w:val="20"/>
              </w:rPr>
              <w:t xml:space="preserve">PTSD              </w:t>
            </w:r>
          </w:p>
        </w:tc>
        <w:tc>
          <w:tcPr>
            <w:tcW w:w="4239" w:type="dxa"/>
            <w:shd w:val="clear" w:color="auto" w:fill="auto"/>
            <w:noWrap/>
            <w:vAlign w:val="center"/>
            <w:hideMark/>
          </w:tcPr>
          <w:p w14:paraId="03FE5B88" w14:textId="77777777" w:rsidR="005E620E" w:rsidRPr="00C16510" w:rsidRDefault="005E620E" w:rsidP="00C16F39">
            <w:pPr>
              <w:spacing w:after="0" w:line="240" w:lineRule="auto"/>
              <w:rPr>
                <w:rFonts w:eastAsia="Times New Roman" w:cs="Calibri"/>
                <w:bCs/>
                <w:sz w:val="20"/>
                <w:szCs w:val="20"/>
              </w:rPr>
            </w:pPr>
            <w:r w:rsidRPr="00C16510">
              <w:rPr>
                <w:rFonts w:eastAsia="Times New Roman" w:cs="Calibri"/>
                <w:bCs/>
                <w:sz w:val="20"/>
                <w:szCs w:val="20"/>
              </w:rPr>
              <w:t xml:space="preserve">OCD                         </w:t>
            </w:r>
          </w:p>
        </w:tc>
      </w:tr>
      <w:tr w:rsidR="005E620E" w:rsidRPr="00C16510" w14:paraId="6DD125E8" w14:textId="77777777" w:rsidTr="00C16F39">
        <w:trPr>
          <w:trHeight w:val="289"/>
        </w:trPr>
        <w:tc>
          <w:tcPr>
            <w:tcW w:w="4679" w:type="dxa"/>
            <w:shd w:val="clear" w:color="auto" w:fill="auto"/>
            <w:noWrap/>
            <w:vAlign w:val="center"/>
          </w:tcPr>
          <w:p w14:paraId="30712261" w14:textId="77777777" w:rsidR="005E620E" w:rsidRPr="00C16510" w:rsidRDefault="005E620E" w:rsidP="00C16F39">
            <w:pPr>
              <w:spacing w:after="0" w:line="240" w:lineRule="auto"/>
              <w:rPr>
                <w:rFonts w:eastAsia="Times New Roman" w:cs="Calibri"/>
                <w:bCs/>
                <w:sz w:val="20"/>
                <w:szCs w:val="20"/>
              </w:rPr>
            </w:pPr>
            <w:r w:rsidRPr="00C16510">
              <w:rPr>
                <w:rFonts w:eastAsia="Times New Roman" w:cs="Calibri"/>
                <w:bCs/>
                <w:sz w:val="20"/>
                <w:szCs w:val="20"/>
              </w:rPr>
              <w:t>Borderline</w:t>
            </w:r>
            <w:r>
              <w:rPr>
                <w:rFonts w:eastAsia="Times New Roman" w:cs="Calibri"/>
                <w:bCs/>
                <w:sz w:val="20"/>
                <w:szCs w:val="20"/>
              </w:rPr>
              <w:t xml:space="preserve"> </w:t>
            </w:r>
            <w:r w:rsidRPr="00C16510">
              <w:rPr>
                <w:rFonts w:eastAsia="Times New Roman" w:cs="Calibri"/>
                <w:bCs/>
                <w:sz w:val="20"/>
                <w:szCs w:val="20"/>
              </w:rPr>
              <w:t xml:space="preserve">Personality </w:t>
            </w:r>
          </w:p>
        </w:tc>
        <w:tc>
          <w:tcPr>
            <w:tcW w:w="4239" w:type="dxa"/>
            <w:shd w:val="clear" w:color="auto" w:fill="auto"/>
            <w:noWrap/>
            <w:vAlign w:val="center"/>
            <w:hideMark/>
          </w:tcPr>
          <w:p w14:paraId="7F40A399" w14:textId="77777777" w:rsidR="005E620E" w:rsidRPr="00C16510" w:rsidRDefault="005E620E" w:rsidP="00C16F39">
            <w:pPr>
              <w:spacing w:after="0" w:line="240" w:lineRule="auto"/>
              <w:rPr>
                <w:rFonts w:eastAsia="Times New Roman" w:cs="Calibri"/>
                <w:bCs/>
                <w:sz w:val="20"/>
                <w:szCs w:val="20"/>
              </w:rPr>
            </w:pPr>
            <w:r w:rsidRPr="00C16510">
              <w:rPr>
                <w:rFonts w:eastAsia="Times New Roman" w:cs="Calibri"/>
                <w:bCs/>
                <w:sz w:val="20"/>
                <w:szCs w:val="20"/>
              </w:rPr>
              <w:t xml:space="preserve">Anxiety                     </w:t>
            </w:r>
          </w:p>
        </w:tc>
      </w:tr>
      <w:tr w:rsidR="005E620E" w:rsidRPr="00C16510" w14:paraId="2BB36239" w14:textId="77777777" w:rsidTr="00C16F39">
        <w:trPr>
          <w:trHeight w:val="289"/>
        </w:trPr>
        <w:tc>
          <w:tcPr>
            <w:tcW w:w="4679" w:type="dxa"/>
            <w:shd w:val="clear" w:color="auto" w:fill="auto"/>
            <w:noWrap/>
            <w:vAlign w:val="center"/>
          </w:tcPr>
          <w:p w14:paraId="0BA822E8" w14:textId="77777777" w:rsidR="005E620E" w:rsidRPr="00C16510" w:rsidRDefault="005E620E" w:rsidP="00C16F39">
            <w:pPr>
              <w:spacing w:after="0" w:line="240" w:lineRule="auto"/>
              <w:rPr>
                <w:rFonts w:eastAsia="Times New Roman" w:cs="Calibri"/>
                <w:bCs/>
                <w:sz w:val="20"/>
                <w:szCs w:val="20"/>
              </w:rPr>
            </w:pPr>
            <w:r w:rsidRPr="00C16510">
              <w:rPr>
                <w:rFonts w:eastAsia="Times New Roman" w:cs="Calibri"/>
                <w:bCs/>
                <w:sz w:val="20"/>
                <w:szCs w:val="20"/>
              </w:rPr>
              <w:t>Antisocial</w:t>
            </w:r>
            <w:r>
              <w:rPr>
                <w:rFonts w:eastAsia="Times New Roman" w:cs="Calibri"/>
                <w:bCs/>
                <w:sz w:val="20"/>
                <w:szCs w:val="20"/>
              </w:rPr>
              <w:t xml:space="preserve"> </w:t>
            </w:r>
            <w:r w:rsidRPr="00C16510">
              <w:rPr>
                <w:rFonts w:eastAsia="Times New Roman" w:cs="Calibri"/>
                <w:bCs/>
                <w:sz w:val="20"/>
                <w:szCs w:val="20"/>
              </w:rPr>
              <w:t xml:space="preserve">Personality    </w:t>
            </w:r>
          </w:p>
        </w:tc>
        <w:tc>
          <w:tcPr>
            <w:tcW w:w="4239" w:type="dxa"/>
            <w:shd w:val="clear" w:color="auto" w:fill="auto"/>
            <w:noWrap/>
            <w:vAlign w:val="center"/>
            <w:hideMark/>
          </w:tcPr>
          <w:p w14:paraId="4C4FC7DE" w14:textId="77777777" w:rsidR="005E620E" w:rsidRPr="00C16510" w:rsidRDefault="005E620E" w:rsidP="00C16F39">
            <w:pPr>
              <w:spacing w:after="0" w:line="240" w:lineRule="auto"/>
              <w:rPr>
                <w:rFonts w:eastAsia="Times New Roman" w:cs="Calibri"/>
                <w:bCs/>
                <w:sz w:val="20"/>
                <w:szCs w:val="20"/>
              </w:rPr>
            </w:pPr>
            <w:r w:rsidRPr="00C16510">
              <w:rPr>
                <w:rFonts w:eastAsia="Times New Roman" w:cs="Calibri"/>
                <w:bCs/>
                <w:sz w:val="20"/>
                <w:szCs w:val="20"/>
              </w:rPr>
              <w:t>Dependent</w:t>
            </w:r>
            <w:r>
              <w:rPr>
                <w:rFonts w:eastAsia="Times New Roman" w:cs="Calibri"/>
                <w:bCs/>
                <w:sz w:val="20"/>
                <w:szCs w:val="20"/>
              </w:rPr>
              <w:t xml:space="preserve"> </w:t>
            </w:r>
            <w:r w:rsidRPr="00C16510">
              <w:rPr>
                <w:rFonts w:eastAsia="Times New Roman" w:cs="Calibri"/>
                <w:bCs/>
                <w:sz w:val="20"/>
                <w:szCs w:val="20"/>
              </w:rPr>
              <w:t xml:space="preserve">Personality       </w:t>
            </w:r>
          </w:p>
        </w:tc>
      </w:tr>
      <w:tr w:rsidR="005E620E" w:rsidRPr="00C16510" w14:paraId="69348F5F" w14:textId="77777777" w:rsidTr="00C16F39">
        <w:trPr>
          <w:trHeight w:val="289"/>
        </w:trPr>
        <w:tc>
          <w:tcPr>
            <w:tcW w:w="4679" w:type="dxa"/>
            <w:shd w:val="clear" w:color="auto" w:fill="auto"/>
            <w:noWrap/>
            <w:vAlign w:val="center"/>
          </w:tcPr>
          <w:p w14:paraId="1BCBDEA1" w14:textId="77777777" w:rsidR="005E620E" w:rsidRPr="00C16510" w:rsidRDefault="005E620E" w:rsidP="00C16F39">
            <w:pPr>
              <w:spacing w:after="0" w:line="240" w:lineRule="auto"/>
              <w:rPr>
                <w:rFonts w:eastAsia="Times New Roman" w:cs="Calibri"/>
                <w:bCs/>
                <w:sz w:val="20"/>
                <w:szCs w:val="20"/>
              </w:rPr>
            </w:pPr>
            <w:r w:rsidRPr="00C16510">
              <w:rPr>
                <w:rFonts w:eastAsia="Times New Roman" w:cs="Calibri"/>
                <w:bCs/>
                <w:sz w:val="20"/>
                <w:szCs w:val="20"/>
              </w:rPr>
              <w:t>Personality</w:t>
            </w:r>
            <w:r>
              <w:rPr>
                <w:rFonts w:eastAsia="Times New Roman" w:cs="Calibri"/>
                <w:bCs/>
                <w:sz w:val="20"/>
                <w:szCs w:val="20"/>
              </w:rPr>
              <w:t xml:space="preserve"> </w:t>
            </w:r>
            <w:r w:rsidRPr="00C16510">
              <w:rPr>
                <w:rFonts w:eastAsia="Times New Roman" w:cs="Calibri"/>
                <w:bCs/>
                <w:sz w:val="20"/>
                <w:szCs w:val="20"/>
              </w:rPr>
              <w:t xml:space="preserve">Disorder          </w:t>
            </w:r>
          </w:p>
        </w:tc>
        <w:tc>
          <w:tcPr>
            <w:tcW w:w="4239" w:type="dxa"/>
            <w:shd w:val="clear" w:color="auto" w:fill="auto"/>
            <w:noWrap/>
            <w:vAlign w:val="center"/>
            <w:hideMark/>
          </w:tcPr>
          <w:p w14:paraId="7728899F" w14:textId="77777777" w:rsidR="005E620E" w:rsidRPr="00C16510" w:rsidRDefault="005E620E" w:rsidP="00C16F39">
            <w:pPr>
              <w:spacing w:after="0" w:line="240" w:lineRule="auto"/>
              <w:rPr>
                <w:rFonts w:eastAsia="Times New Roman" w:cs="Calibri"/>
                <w:bCs/>
                <w:sz w:val="20"/>
                <w:szCs w:val="20"/>
              </w:rPr>
            </w:pPr>
            <w:r w:rsidRPr="00C16510">
              <w:rPr>
                <w:rFonts w:eastAsia="Times New Roman" w:cs="Calibri"/>
                <w:bCs/>
                <w:sz w:val="20"/>
                <w:szCs w:val="20"/>
              </w:rPr>
              <w:t>Paranoid</w:t>
            </w:r>
            <w:r>
              <w:rPr>
                <w:rFonts w:eastAsia="Times New Roman" w:cs="Calibri"/>
                <w:bCs/>
                <w:sz w:val="20"/>
                <w:szCs w:val="20"/>
              </w:rPr>
              <w:t xml:space="preserve"> </w:t>
            </w:r>
            <w:r w:rsidRPr="00C16510">
              <w:rPr>
                <w:rFonts w:eastAsia="Times New Roman" w:cs="Calibri"/>
                <w:bCs/>
                <w:sz w:val="20"/>
                <w:szCs w:val="20"/>
              </w:rPr>
              <w:t xml:space="preserve">Personality        </w:t>
            </w:r>
          </w:p>
        </w:tc>
      </w:tr>
      <w:tr w:rsidR="005E620E" w:rsidRPr="00C16510" w14:paraId="6B68805C" w14:textId="77777777" w:rsidTr="00C16F39">
        <w:trPr>
          <w:trHeight w:val="289"/>
        </w:trPr>
        <w:tc>
          <w:tcPr>
            <w:tcW w:w="4679" w:type="dxa"/>
            <w:shd w:val="clear" w:color="auto" w:fill="auto"/>
            <w:noWrap/>
            <w:vAlign w:val="center"/>
          </w:tcPr>
          <w:p w14:paraId="206D1E08" w14:textId="77777777" w:rsidR="005E620E" w:rsidRPr="00C16510" w:rsidRDefault="005E620E" w:rsidP="00C16F39">
            <w:pPr>
              <w:spacing w:after="0" w:line="240" w:lineRule="auto"/>
              <w:rPr>
                <w:rFonts w:eastAsia="Times New Roman" w:cs="Calibri"/>
                <w:bCs/>
                <w:sz w:val="20"/>
                <w:szCs w:val="20"/>
              </w:rPr>
            </w:pPr>
            <w:r w:rsidRPr="00C16510">
              <w:rPr>
                <w:rFonts w:eastAsia="Times New Roman" w:cs="Calibri"/>
                <w:bCs/>
                <w:sz w:val="20"/>
                <w:szCs w:val="20"/>
              </w:rPr>
              <w:t xml:space="preserve">Bulimia                 </w:t>
            </w:r>
          </w:p>
        </w:tc>
        <w:tc>
          <w:tcPr>
            <w:tcW w:w="4239" w:type="dxa"/>
            <w:shd w:val="clear" w:color="auto" w:fill="auto"/>
            <w:noWrap/>
            <w:vAlign w:val="center"/>
            <w:hideMark/>
          </w:tcPr>
          <w:p w14:paraId="1525EFAD" w14:textId="77777777" w:rsidR="005E620E" w:rsidRPr="00C16510" w:rsidRDefault="005E620E" w:rsidP="00C16F39">
            <w:pPr>
              <w:spacing w:after="0" w:line="240" w:lineRule="auto"/>
              <w:rPr>
                <w:rFonts w:eastAsia="Times New Roman" w:cs="Calibri"/>
                <w:bCs/>
                <w:sz w:val="20"/>
                <w:szCs w:val="20"/>
              </w:rPr>
            </w:pPr>
            <w:r w:rsidRPr="00C16510">
              <w:rPr>
                <w:rFonts w:eastAsia="Times New Roman" w:cs="Calibri"/>
                <w:bCs/>
                <w:sz w:val="20"/>
                <w:szCs w:val="20"/>
              </w:rPr>
              <w:t xml:space="preserve">Anorexia                    </w:t>
            </w:r>
          </w:p>
        </w:tc>
      </w:tr>
      <w:tr w:rsidR="005E620E" w:rsidRPr="00C16510" w14:paraId="3897D781" w14:textId="77777777" w:rsidTr="00C16F39">
        <w:trPr>
          <w:trHeight w:val="289"/>
        </w:trPr>
        <w:tc>
          <w:tcPr>
            <w:tcW w:w="4679" w:type="dxa"/>
            <w:shd w:val="clear" w:color="auto" w:fill="auto"/>
            <w:noWrap/>
            <w:vAlign w:val="center"/>
          </w:tcPr>
          <w:p w14:paraId="23113253" w14:textId="77777777" w:rsidR="005E620E" w:rsidRPr="00C16510" w:rsidRDefault="005E620E" w:rsidP="00C16F39">
            <w:pPr>
              <w:spacing w:after="0" w:line="240" w:lineRule="auto"/>
              <w:rPr>
                <w:rFonts w:eastAsia="Times New Roman" w:cs="Calibri"/>
                <w:bCs/>
                <w:sz w:val="20"/>
                <w:szCs w:val="20"/>
              </w:rPr>
            </w:pPr>
          </w:p>
        </w:tc>
        <w:tc>
          <w:tcPr>
            <w:tcW w:w="4239" w:type="dxa"/>
            <w:shd w:val="clear" w:color="auto" w:fill="auto"/>
            <w:noWrap/>
            <w:vAlign w:val="center"/>
            <w:hideMark/>
          </w:tcPr>
          <w:p w14:paraId="65C45904" w14:textId="77777777" w:rsidR="005E620E" w:rsidRPr="00C16510" w:rsidRDefault="005E620E" w:rsidP="00C16F39">
            <w:pPr>
              <w:spacing w:after="0" w:line="240" w:lineRule="auto"/>
              <w:rPr>
                <w:rFonts w:eastAsia="Times New Roman" w:cs="Calibri"/>
                <w:bCs/>
                <w:sz w:val="20"/>
                <w:szCs w:val="20"/>
              </w:rPr>
            </w:pPr>
            <w:r w:rsidRPr="00C16510">
              <w:rPr>
                <w:rFonts w:eastAsia="Times New Roman" w:cs="Calibri"/>
                <w:bCs/>
                <w:sz w:val="20"/>
                <w:szCs w:val="20"/>
              </w:rPr>
              <w:t xml:space="preserve">Cocaine                     </w:t>
            </w:r>
          </w:p>
        </w:tc>
      </w:tr>
    </w:tbl>
    <w:p w14:paraId="34333CAA" w14:textId="77777777" w:rsidR="005E620E" w:rsidRPr="00D64EC5" w:rsidRDefault="005E620E" w:rsidP="005E620E">
      <w:pPr>
        <w:spacing w:after="0" w:line="240" w:lineRule="auto"/>
        <w:jc w:val="both"/>
        <w:rPr>
          <w:rFonts w:eastAsia="Times New Roman" w:cs="Arial"/>
          <w:sz w:val="20"/>
          <w:szCs w:val="20"/>
        </w:rPr>
      </w:pPr>
    </w:p>
    <w:p w14:paraId="2CAB2691" w14:textId="77777777" w:rsidR="005E620E" w:rsidRPr="00BF5586" w:rsidRDefault="005E620E" w:rsidP="005E620E">
      <w:pPr>
        <w:spacing w:after="0" w:line="240" w:lineRule="auto"/>
        <w:ind w:firstLine="720"/>
        <w:rPr>
          <w:rFonts w:eastAsia="Times New Roman" w:cs="Courier New"/>
          <w:sz w:val="20"/>
          <w:szCs w:val="20"/>
          <w:bdr w:val="none" w:sz="0" w:space="0" w:color="auto" w:frame="1"/>
        </w:rPr>
      </w:pPr>
      <w:r w:rsidRPr="00D64EC5">
        <w:rPr>
          <w:b/>
          <w:sz w:val="20"/>
          <w:szCs w:val="20"/>
        </w:rPr>
        <w:t xml:space="preserve">Methods of </w:t>
      </w:r>
      <w:r>
        <w:rPr>
          <w:b/>
          <w:sz w:val="20"/>
          <w:szCs w:val="20"/>
        </w:rPr>
        <w:t>I</w:t>
      </w:r>
      <w:r w:rsidRPr="00D64EC5">
        <w:rPr>
          <w:b/>
          <w:sz w:val="20"/>
          <w:szCs w:val="20"/>
        </w:rPr>
        <w:t>dentifying Markov Blanket</w:t>
      </w:r>
      <w:r w:rsidRPr="00D64EC5">
        <w:rPr>
          <w:rFonts w:cs="Calibri"/>
          <w:sz w:val="20"/>
          <w:szCs w:val="20"/>
          <w:shd w:val="clear" w:color="auto" w:fill="FFFFFF"/>
        </w:rPr>
        <w:t>:</w:t>
      </w:r>
      <w:r>
        <w:rPr>
          <w:rFonts w:eastAsia="Times New Roman" w:cs="Courier New"/>
          <w:sz w:val="20"/>
          <w:szCs w:val="20"/>
          <w:bdr w:val="none" w:sz="0" w:space="0" w:color="auto" w:frame="1"/>
        </w:rPr>
        <w:t xml:space="preserve"> </w:t>
      </w:r>
      <w:r>
        <w:rPr>
          <w:rFonts w:cstheme="minorHAnsi"/>
          <w:sz w:val="20"/>
          <w:szCs w:val="20"/>
          <w:shd w:val="clear" w:color="auto" w:fill="FFFFFF"/>
        </w:rPr>
        <w:t xml:space="preserve">We used the </w:t>
      </w:r>
      <w:proofErr w:type="spellStart"/>
      <w:r w:rsidRPr="00D64EC5">
        <w:rPr>
          <w:rFonts w:cstheme="minorHAnsi"/>
          <w:sz w:val="20"/>
          <w:szCs w:val="20"/>
        </w:rPr>
        <w:t>glmnet</w:t>
      </w:r>
      <w:proofErr w:type="spellEnd"/>
      <w:r w:rsidRPr="00D64EC5">
        <w:rPr>
          <w:rFonts w:cstheme="minorHAnsi"/>
          <w:sz w:val="20"/>
          <w:szCs w:val="20"/>
        </w:rPr>
        <w:t xml:space="preserve"> </w:t>
      </w:r>
      <w:r>
        <w:rPr>
          <w:rFonts w:cstheme="minorHAnsi"/>
          <w:sz w:val="20"/>
          <w:szCs w:val="20"/>
        </w:rPr>
        <w:t xml:space="preserve">R software to conduct the LASSO regression.  Demographic variables were assumed to have occurred prior to baseline comorbidities and baseline comorbidities were assumed to occur prior to treatment with citalopram.  The initial LASSO regression was </w:t>
      </w:r>
      <w:r>
        <w:rPr>
          <w:rFonts w:cstheme="minorHAnsi"/>
          <w:sz w:val="20"/>
          <w:szCs w:val="20"/>
        </w:rPr>
        <w:lastRenderedPageBreak/>
        <w:t>treatment on variables that occur prior to it.  In the second LASSO regression, the response variable was the outcome, i.e. symptom remission.  The independent variables were the variables that were significant in the initial LASSO regression plus the treatment variable.</w:t>
      </w:r>
    </w:p>
    <w:p w14:paraId="3CF3563A" w14:textId="77777777" w:rsidR="005E620E" w:rsidRPr="00FA23F3" w:rsidRDefault="005E620E" w:rsidP="005E620E">
      <w:pPr>
        <w:shd w:val="clear" w:color="auto" w:fill="FFFFFF"/>
        <w:spacing w:after="0" w:line="240" w:lineRule="auto"/>
        <w:ind w:firstLine="720"/>
        <w:rPr>
          <w:rFonts w:eastAsia="Times New Roman" w:cs="Arial"/>
          <w:sz w:val="20"/>
          <w:szCs w:val="20"/>
        </w:rPr>
      </w:pPr>
      <w:r w:rsidRPr="00D64EC5">
        <w:rPr>
          <w:b/>
          <w:sz w:val="20"/>
          <w:szCs w:val="20"/>
        </w:rPr>
        <w:t>Methods of Measuring Accuracy:</w:t>
      </w:r>
      <w:r w:rsidRPr="00D64EC5">
        <w:rPr>
          <w:rFonts w:eastAsia="Times New Roman" w:cs="Arial"/>
          <w:sz w:val="20"/>
          <w:szCs w:val="20"/>
        </w:rPr>
        <w:t xml:space="preserve"> </w:t>
      </w:r>
      <w:r>
        <w:rPr>
          <w:rFonts w:eastAsia="Times New Roman" w:cs="Arial"/>
          <w:sz w:val="20"/>
          <w:szCs w:val="20"/>
        </w:rPr>
        <w:t xml:space="preserve"> </w:t>
      </w:r>
      <w:r w:rsidRPr="00FA23F3">
        <w:rPr>
          <w:rFonts w:cstheme="minorHAnsi"/>
          <w:sz w:val="20"/>
          <w:szCs w:val="20"/>
          <w:shd w:val="clear" w:color="auto" w:fill="FFFFFF"/>
        </w:rPr>
        <w:t>We have evaluated the performance of the model using coefficient of determination (</w:t>
      </w:r>
      <w:r w:rsidRPr="00FA23F3">
        <w:rPr>
          <w:rFonts w:cstheme="minorHAnsi"/>
          <w:i/>
          <w:iCs/>
          <w:sz w:val="20"/>
          <w:szCs w:val="20"/>
          <w:shd w:val="clear" w:color="auto" w:fill="FFFFFF"/>
        </w:rPr>
        <w:t>r</w:t>
      </w:r>
      <w:proofErr w:type="gramStart"/>
      <w:r w:rsidRPr="00FA23F3">
        <w:rPr>
          <w:rFonts w:cstheme="minorHAnsi"/>
          <w:sz w:val="20"/>
          <w:szCs w:val="20"/>
          <w:shd w:val="clear" w:color="auto" w:fill="FFFFFF"/>
          <w:vertAlign w:val="superscript"/>
        </w:rPr>
        <w:t xml:space="preserve">2 </w:t>
      </w:r>
      <w:r w:rsidRPr="00FA23F3">
        <w:rPr>
          <w:rFonts w:cstheme="minorHAnsi"/>
          <w:sz w:val="20"/>
          <w:szCs w:val="20"/>
          <w:shd w:val="clear" w:color="auto" w:fill="FFFFFF"/>
        </w:rPr>
        <w:t>)</w:t>
      </w:r>
      <w:proofErr w:type="gramEnd"/>
      <w:r w:rsidRPr="00FA23F3">
        <w:rPr>
          <w:rFonts w:cstheme="minorHAnsi"/>
          <w:sz w:val="20"/>
          <w:szCs w:val="20"/>
          <w:shd w:val="clear" w:color="auto" w:fill="FFFFFF"/>
        </w:rPr>
        <w:t xml:space="preserve"> and Root Mean Squared Error (RMSE). R squared is the proportion of the variance in the dependent variable that is predictable from the independent variables Ideally, lower RMSE indicates a better model.</w:t>
      </w:r>
      <w:r w:rsidRPr="00FA23F3">
        <w:rPr>
          <w:rFonts w:eastAsia="Times New Roman" w:cstheme="minorHAnsi"/>
          <w:sz w:val="20"/>
          <w:szCs w:val="20"/>
        </w:rPr>
        <w:t xml:space="preserve"> In our study we have observed that the</w:t>
      </w:r>
      <w:r w:rsidRPr="00FA23F3">
        <w:rPr>
          <w:rFonts w:cstheme="minorHAnsi"/>
          <w:sz w:val="20"/>
          <w:szCs w:val="20"/>
          <w:shd w:val="clear" w:color="auto" w:fill="FFFFFF"/>
        </w:rPr>
        <w:t xml:space="preserve"> RMSE on the training data are </w:t>
      </w:r>
      <w:r w:rsidRPr="00FA23F3">
        <w:rPr>
          <w:rStyle w:val="gd15mcfceub"/>
          <w:rFonts w:cstheme="minorHAnsi"/>
          <w:sz w:val="20"/>
          <w:szCs w:val="20"/>
          <w:bdr w:val="none" w:sz="0" w:space="0" w:color="auto" w:frame="1"/>
        </w:rPr>
        <w:t>0.465</w:t>
      </w:r>
      <w:r w:rsidRPr="00FA23F3">
        <w:rPr>
          <w:rFonts w:cstheme="minorHAnsi"/>
          <w:sz w:val="20"/>
          <w:szCs w:val="20"/>
          <w:shd w:val="clear" w:color="auto" w:fill="FFFFFF"/>
        </w:rPr>
        <w:t xml:space="preserve">. The results on the test data is </w:t>
      </w:r>
      <w:r w:rsidRPr="00FA23F3">
        <w:rPr>
          <w:rStyle w:val="gd15mcfceub"/>
          <w:rFonts w:cstheme="minorHAnsi"/>
          <w:sz w:val="20"/>
          <w:szCs w:val="20"/>
          <w:bdr w:val="none" w:sz="0" w:space="0" w:color="auto" w:frame="1"/>
        </w:rPr>
        <w:t xml:space="preserve">0.467 when considering citalopram as target variable and </w:t>
      </w:r>
      <w:r w:rsidRPr="00FA23F3">
        <w:rPr>
          <w:rFonts w:cstheme="minorHAnsi"/>
          <w:sz w:val="20"/>
          <w:szCs w:val="20"/>
          <w:shd w:val="clear" w:color="auto" w:fill="FFFFFF"/>
        </w:rPr>
        <w:t xml:space="preserve">RMSE on the training data are </w:t>
      </w:r>
      <w:r w:rsidRPr="00FA23F3">
        <w:rPr>
          <w:rStyle w:val="gd15mcfceub"/>
          <w:rFonts w:cstheme="minorHAnsi"/>
          <w:sz w:val="20"/>
          <w:szCs w:val="20"/>
          <w:bdr w:val="none" w:sz="0" w:space="0" w:color="auto" w:frame="1"/>
        </w:rPr>
        <w:t>0.483</w:t>
      </w:r>
      <w:r w:rsidRPr="00FA23F3">
        <w:rPr>
          <w:rFonts w:cstheme="minorHAnsi"/>
          <w:sz w:val="20"/>
          <w:szCs w:val="20"/>
          <w:shd w:val="clear" w:color="auto" w:fill="FFFFFF"/>
        </w:rPr>
        <w:t xml:space="preserve">. The results on the test data is </w:t>
      </w:r>
      <w:r w:rsidRPr="00FA23F3">
        <w:rPr>
          <w:rStyle w:val="gd15mcfceub"/>
          <w:rFonts w:cstheme="minorHAnsi"/>
          <w:sz w:val="20"/>
          <w:szCs w:val="20"/>
          <w:bdr w:val="none" w:sz="0" w:space="0" w:color="auto" w:frame="1"/>
        </w:rPr>
        <w:t>0.486 when considering remission as target variable</w:t>
      </w:r>
    </w:p>
    <w:p w14:paraId="5E3FC8D5" w14:textId="77777777" w:rsidR="005E620E" w:rsidRDefault="005E620E" w:rsidP="005E620E">
      <w:pPr>
        <w:shd w:val="clear" w:color="auto" w:fill="FFFFFF"/>
        <w:spacing w:after="0" w:line="240" w:lineRule="auto"/>
        <w:ind w:firstLine="720"/>
        <w:rPr>
          <w:rStyle w:val="gd15mcfceub"/>
          <w:sz w:val="20"/>
          <w:szCs w:val="20"/>
          <w:bdr w:val="none" w:sz="0" w:space="0" w:color="auto" w:frame="1"/>
        </w:rPr>
      </w:pPr>
    </w:p>
    <w:p w14:paraId="50088472" w14:textId="77777777" w:rsidR="005E620E" w:rsidRPr="00BF5586" w:rsidRDefault="005E620E" w:rsidP="005E620E">
      <w:pPr>
        <w:spacing w:line="240" w:lineRule="auto"/>
        <w:ind w:firstLine="720"/>
        <w:rPr>
          <w:sz w:val="20"/>
          <w:szCs w:val="20"/>
        </w:rPr>
      </w:pPr>
      <w:r w:rsidRPr="00D64EC5">
        <w:rPr>
          <w:b/>
          <w:sz w:val="20"/>
          <w:szCs w:val="20"/>
        </w:rPr>
        <w:t>Results:</w:t>
      </w:r>
      <w:r w:rsidRPr="00D64EC5">
        <w:rPr>
          <w:sz w:val="20"/>
          <w:szCs w:val="20"/>
        </w:rPr>
        <w:t xml:space="preserve"> </w:t>
      </w:r>
      <w:r>
        <w:rPr>
          <w:sz w:val="20"/>
          <w:szCs w:val="20"/>
        </w:rPr>
        <w:t xml:space="preserve">In the LASSO regression of citalopram, the following independent variables were statistically significant: </w:t>
      </w:r>
      <w:r w:rsidRPr="00D64EC5">
        <w:rPr>
          <w:sz w:val="20"/>
          <w:szCs w:val="20"/>
        </w:rPr>
        <w:t xml:space="preserve"> </w:t>
      </w:r>
      <w:r>
        <w:rPr>
          <w:sz w:val="20"/>
          <w:szCs w:val="20"/>
        </w:rPr>
        <w:t>t</w:t>
      </w:r>
      <w:r w:rsidRPr="00D64EC5">
        <w:rPr>
          <w:sz w:val="20"/>
          <w:szCs w:val="20"/>
        </w:rPr>
        <w:t xml:space="preserve">hyroid, PTDS, </w:t>
      </w:r>
      <w:r>
        <w:rPr>
          <w:sz w:val="20"/>
          <w:szCs w:val="20"/>
        </w:rPr>
        <w:t>g</w:t>
      </w:r>
      <w:r w:rsidRPr="00D64EC5">
        <w:rPr>
          <w:sz w:val="20"/>
          <w:szCs w:val="20"/>
        </w:rPr>
        <w:t>ender</w:t>
      </w:r>
      <w:r>
        <w:rPr>
          <w:sz w:val="20"/>
          <w:szCs w:val="20"/>
        </w:rPr>
        <w:t>,</w:t>
      </w:r>
      <w:r w:rsidRPr="00D64EC5">
        <w:rPr>
          <w:sz w:val="20"/>
          <w:szCs w:val="20"/>
        </w:rPr>
        <w:t xml:space="preserve"> </w:t>
      </w:r>
      <w:r w:rsidRPr="00D64EC5">
        <w:rPr>
          <w:rFonts w:cs="Calibri"/>
          <w:sz w:val="20"/>
          <w:szCs w:val="20"/>
          <w:shd w:val="clear" w:color="auto" w:fill="FFFFFF"/>
        </w:rPr>
        <w:t xml:space="preserve">neurological, OCD, </w:t>
      </w:r>
      <w:r>
        <w:rPr>
          <w:rFonts w:cs="Calibri"/>
          <w:sz w:val="20"/>
          <w:szCs w:val="20"/>
          <w:shd w:val="clear" w:color="auto" w:fill="FFFFFF"/>
        </w:rPr>
        <w:t>r</w:t>
      </w:r>
      <w:r w:rsidRPr="00D64EC5">
        <w:rPr>
          <w:rFonts w:cs="Calibri"/>
          <w:sz w:val="20"/>
          <w:szCs w:val="20"/>
          <w:shd w:val="clear" w:color="auto" w:fill="FFFFFF"/>
        </w:rPr>
        <w:t xml:space="preserve">isk of </w:t>
      </w:r>
      <w:r>
        <w:rPr>
          <w:rFonts w:cs="Calibri"/>
          <w:sz w:val="20"/>
          <w:szCs w:val="20"/>
          <w:shd w:val="clear" w:color="auto" w:fill="FFFFFF"/>
        </w:rPr>
        <w:t>s</w:t>
      </w:r>
      <w:r w:rsidRPr="00D64EC5">
        <w:rPr>
          <w:rFonts w:cs="Calibri"/>
          <w:sz w:val="20"/>
          <w:szCs w:val="20"/>
          <w:shd w:val="clear" w:color="auto" w:fill="FFFFFF"/>
        </w:rPr>
        <w:t xml:space="preserve">uicide, </w:t>
      </w:r>
      <w:r>
        <w:rPr>
          <w:rFonts w:cs="Calibri"/>
          <w:sz w:val="20"/>
          <w:szCs w:val="20"/>
          <w:shd w:val="clear" w:color="auto" w:fill="FFFFFF"/>
        </w:rPr>
        <w:t>a</w:t>
      </w:r>
      <w:r w:rsidRPr="00D64EC5">
        <w:rPr>
          <w:rFonts w:cs="Calibri"/>
          <w:sz w:val="20"/>
          <w:szCs w:val="20"/>
          <w:shd w:val="clear" w:color="auto" w:fill="FFFFFF"/>
        </w:rPr>
        <w:t>nxiety, psychiatric-Illness, vascular, musculoskeletal</w:t>
      </w:r>
      <w:r>
        <w:rPr>
          <w:rFonts w:cs="Calibri"/>
          <w:sz w:val="20"/>
          <w:szCs w:val="20"/>
          <w:shd w:val="clear" w:color="auto" w:fill="FFFFFF"/>
        </w:rPr>
        <w:t xml:space="preserve"> </w:t>
      </w:r>
      <w:r w:rsidRPr="00D64EC5">
        <w:rPr>
          <w:rFonts w:cs="Calibri"/>
          <w:sz w:val="20"/>
          <w:szCs w:val="20"/>
          <w:shd w:val="clear" w:color="auto" w:fill="FFFFFF"/>
        </w:rPr>
        <w:t xml:space="preserve">Integument, gastrointestinal, </w:t>
      </w:r>
      <w:r>
        <w:rPr>
          <w:rFonts w:cs="Calibri"/>
          <w:sz w:val="20"/>
          <w:szCs w:val="20"/>
          <w:shd w:val="clear" w:color="auto" w:fill="FFFFFF"/>
        </w:rPr>
        <w:t>s</w:t>
      </w:r>
      <w:r w:rsidRPr="00D64EC5">
        <w:rPr>
          <w:rFonts w:cs="Calibri"/>
          <w:sz w:val="20"/>
          <w:szCs w:val="20"/>
          <w:shd w:val="clear" w:color="auto" w:fill="FFFFFF"/>
        </w:rPr>
        <w:t>pecific</w:t>
      </w:r>
      <w:r>
        <w:rPr>
          <w:rFonts w:cs="Calibri"/>
          <w:sz w:val="20"/>
          <w:szCs w:val="20"/>
          <w:shd w:val="clear" w:color="auto" w:fill="FFFFFF"/>
        </w:rPr>
        <w:t xml:space="preserve"> p</w:t>
      </w:r>
      <w:r w:rsidRPr="00D64EC5">
        <w:rPr>
          <w:rFonts w:cs="Calibri"/>
          <w:sz w:val="20"/>
          <w:szCs w:val="20"/>
          <w:shd w:val="clear" w:color="auto" w:fill="FFFFFF"/>
        </w:rPr>
        <w:t xml:space="preserve">hobia, </w:t>
      </w:r>
      <w:r>
        <w:rPr>
          <w:rFonts w:cs="Calibri"/>
          <w:sz w:val="20"/>
          <w:szCs w:val="20"/>
          <w:shd w:val="clear" w:color="auto" w:fill="FFFFFF"/>
        </w:rPr>
        <w:t>a</w:t>
      </w:r>
      <w:r w:rsidRPr="00D64EC5">
        <w:rPr>
          <w:rFonts w:cs="Calibri"/>
          <w:sz w:val="20"/>
          <w:szCs w:val="20"/>
          <w:shd w:val="clear" w:color="auto" w:fill="FFFFFF"/>
        </w:rPr>
        <w:t>ntisocial</w:t>
      </w:r>
      <w:r>
        <w:rPr>
          <w:rFonts w:cs="Calibri"/>
          <w:sz w:val="20"/>
          <w:szCs w:val="20"/>
          <w:shd w:val="clear" w:color="auto" w:fill="FFFFFF"/>
        </w:rPr>
        <w:t xml:space="preserve"> p</w:t>
      </w:r>
      <w:r w:rsidRPr="00D64EC5">
        <w:rPr>
          <w:rFonts w:cs="Calibri"/>
          <w:sz w:val="20"/>
          <w:szCs w:val="20"/>
          <w:shd w:val="clear" w:color="auto" w:fill="FFFFFF"/>
        </w:rPr>
        <w:t xml:space="preserve">ersonality, </w:t>
      </w:r>
      <w:r>
        <w:rPr>
          <w:rFonts w:cs="Calibri"/>
          <w:sz w:val="20"/>
          <w:szCs w:val="20"/>
          <w:shd w:val="clear" w:color="auto" w:fill="FFFFFF"/>
        </w:rPr>
        <w:t>p</w:t>
      </w:r>
      <w:r w:rsidRPr="00D64EC5">
        <w:rPr>
          <w:rFonts w:cs="Calibri"/>
          <w:sz w:val="20"/>
          <w:szCs w:val="20"/>
          <w:shd w:val="clear" w:color="auto" w:fill="FFFFFF"/>
        </w:rPr>
        <w:t xml:space="preserve">anic, </w:t>
      </w:r>
      <w:r>
        <w:rPr>
          <w:rFonts w:cs="Calibri"/>
          <w:sz w:val="20"/>
          <w:szCs w:val="20"/>
          <w:shd w:val="clear" w:color="auto" w:fill="FFFFFF"/>
        </w:rPr>
        <w:t>l</w:t>
      </w:r>
      <w:r w:rsidRPr="00D64EC5">
        <w:rPr>
          <w:rFonts w:cs="Calibri"/>
          <w:sz w:val="20"/>
          <w:szCs w:val="20"/>
          <w:shd w:val="clear" w:color="auto" w:fill="FFFFFF"/>
        </w:rPr>
        <w:t xml:space="preserve">iver and </w:t>
      </w:r>
      <w:r>
        <w:rPr>
          <w:rFonts w:cs="Calibri"/>
          <w:sz w:val="20"/>
          <w:szCs w:val="20"/>
          <w:shd w:val="clear" w:color="auto" w:fill="FFFFFF"/>
        </w:rPr>
        <w:t>e</w:t>
      </w:r>
      <w:r w:rsidRPr="00D64EC5">
        <w:rPr>
          <w:rFonts w:cs="Calibri"/>
          <w:sz w:val="20"/>
          <w:szCs w:val="20"/>
          <w:shd w:val="clear" w:color="auto" w:fill="FFFFFF"/>
        </w:rPr>
        <w:t xml:space="preserve">ndocrine </w:t>
      </w:r>
      <w:r>
        <w:rPr>
          <w:rFonts w:cs="Calibri"/>
          <w:sz w:val="20"/>
          <w:szCs w:val="20"/>
          <w:shd w:val="clear" w:color="auto" w:fill="FFFFFF"/>
        </w:rPr>
        <w:t>disorders. Figure 2 shows the network model of variables that affect selection of citalopram.</w:t>
      </w:r>
    </w:p>
    <w:p w14:paraId="71CDE6EC" w14:textId="77777777" w:rsidR="005E620E" w:rsidRDefault="005E620E" w:rsidP="005E620E">
      <w:pPr>
        <w:spacing w:line="240" w:lineRule="auto"/>
        <w:jc w:val="center"/>
        <w:rPr>
          <w:b/>
          <w:sz w:val="20"/>
          <w:szCs w:val="20"/>
        </w:rPr>
      </w:pPr>
    </w:p>
    <w:p w14:paraId="0320DFF4" w14:textId="77777777" w:rsidR="005E620E" w:rsidRDefault="005E620E" w:rsidP="005E620E">
      <w:pPr>
        <w:spacing w:line="240" w:lineRule="auto"/>
        <w:jc w:val="center"/>
        <w:rPr>
          <w:b/>
          <w:sz w:val="20"/>
          <w:szCs w:val="20"/>
        </w:rPr>
      </w:pPr>
    </w:p>
    <w:p w14:paraId="1F3C3CA1" w14:textId="77777777" w:rsidR="005E620E" w:rsidRDefault="005E620E" w:rsidP="005E620E">
      <w:pPr>
        <w:spacing w:line="240" w:lineRule="auto"/>
        <w:jc w:val="center"/>
        <w:rPr>
          <w:b/>
          <w:sz w:val="20"/>
          <w:szCs w:val="20"/>
        </w:rPr>
      </w:pPr>
    </w:p>
    <w:p w14:paraId="64EEADAD" w14:textId="77777777" w:rsidR="005E620E" w:rsidRDefault="005E620E" w:rsidP="005E620E">
      <w:pPr>
        <w:spacing w:line="240" w:lineRule="auto"/>
        <w:jc w:val="center"/>
        <w:rPr>
          <w:b/>
          <w:sz w:val="20"/>
          <w:szCs w:val="20"/>
        </w:rPr>
      </w:pPr>
    </w:p>
    <w:p w14:paraId="3389B7BD" w14:textId="77777777" w:rsidR="005E620E" w:rsidRDefault="005E620E" w:rsidP="005E620E">
      <w:pPr>
        <w:spacing w:line="240" w:lineRule="auto"/>
        <w:jc w:val="center"/>
        <w:rPr>
          <w:b/>
          <w:sz w:val="20"/>
          <w:szCs w:val="20"/>
        </w:rPr>
      </w:pPr>
    </w:p>
    <w:p w14:paraId="455AAB19" w14:textId="77777777" w:rsidR="005E620E" w:rsidRDefault="005E620E" w:rsidP="005E620E">
      <w:pPr>
        <w:spacing w:line="240" w:lineRule="auto"/>
        <w:jc w:val="center"/>
        <w:rPr>
          <w:b/>
          <w:sz w:val="20"/>
          <w:szCs w:val="20"/>
        </w:rPr>
      </w:pPr>
    </w:p>
    <w:p w14:paraId="4262A4F7" w14:textId="77777777" w:rsidR="005E620E" w:rsidRDefault="005E620E" w:rsidP="005E620E">
      <w:pPr>
        <w:spacing w:line="240" w:lineRule="auto"/>
        <w:jc w:val="center"/>
        <w:rPr>
          <w:b/>
          <w:sz w:val="20"/>
          <w:szCs w:val="20"/>
        </w:rPr>
      </w:pPr>
    </w:p>
    <w:p w14:paraId="5D5F6B20" w14:textId="77777777" w:rsidR="005E620E" w:rsidRDefault="005E620E" w:rsidP="005E620E">
      <w:pPr>
        <w:spacing w:line="240" w:lineRule="auto"/>
        <w:jc w:val="center"/>
        <w:rPr>
          <w:b/>
          <w:sz w:val="20"/>
          <w:szCs w:val="20"/>
        </w:rPr>
      </w:pPr>
      <w:r w:rsidRPr="00D87E0F">
        <w:rPr>
          <w:b/>
          <w:sz w:val="20"/>
          <w:szCs w:val="20"/>
        </w:rPr>
        <w:t>Figure 2: Variables that Affect Selection of Citalopram</w:t>
      </w:r>
    </w:p>
    <w:p w14:paraId="309D8AD6" w14:textId="77777777" w:rsidR="005E620E" w:rsidRDefault="005E620E" w:rsidP="005E620E">
      <w:pPr>
        <w:spacing w:line="240" w:lineRule="auto"/>
        <w:rPr>
          <w:b/>
          <w:sz w:val="20"/>
          <w:szCs w:val="20"/>
        </w:rPr>
      </w:pPr>
      <w:r>
        <w:rPr>
          <w:noProof/>
        </w:rPr>
        <w:drawing>
          <wp:inline distT="0" distB="0" distL="0" distR="0" wp14:anchorId="1ED9C5B4" wp14:editId="23824B5B">
            <wp:extent cx="5594350" cy="28765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884" t="11966" r="34402" b="13580"/>
                    <a:stretch/>
                  </pic:blipFill>
                  <pic:spPr bwMode="auto">
                    <a:xfrm>
                      <a:off x="0" y="0"/>
                      <a:ext cx="5594350" cy="2876550"/>
                    </a:xfrm>
                    <a:prstGeom prst="rect">
                      <a:avLst/>
                    </a:prstGeom>
                    <a:ln>
                      <a:noFill/>
                    </a:ln>
                    <a:extLst>
                      <a:ext uri="{53640926-AAD7-44D8-BBD7-CCE9431645EC}">
                        <a14:shadowObscured xmlns:a14="http://schemas.microsoft.com/office/drawing/2010/main"/>
                      </a:ext>
                    </a:extLst>
                  </pic:spPr>
                </pic:pic>
              </a:graphicData>
            </a:graphic>
          </wp:inline>
        </w:drawing>
      </w:r>
    </w:p>
    <w:p w14:paraId="26E3EFE9" w14:textId="77777777" w:rsidR="005E620E" w:rsidRPr="002214C8" w:rsidRDefault="005E620E" w:rsidP="005E620E">
      <w:pPr>
        <w:pStyle w:val="ListParagraph"/>
        <w:spacing w:after="0" w:line="240" w:lineRule="auto"/>
        <w:ind w:left="0"/>
        <w:rPr>
          <w:rFonts w:eastAsia="Times New Roman" w:cs="Arial"/>
          <w:bCs/>
          <w:sz w:val="20"/>
          <w:szCs w:val="20"/>
        </w:rPr>
      </w:pPr>
      <w:r w:rsidRPr="00D87E0F">
        <w:rPr>
          <w:rFonts w:eastAsia="Times New Roman" w:cs="Arial"/>
          <w:bCs/>
          <w:sz w:val="20"/>
          <w:szCs w:val="20"/>
        </w:rPr>
        <w:t xml:space="preserve">In the next </w:t>
      </w:r>
      <w:r>
        <w:rPr>
          <w:rFonts w:eastAsia="Times New Roman" w:cs="Arial"/>
          <w:bCs/>
          <w:sz w:val="20"/>
          <w:szCs w:val="20"/>
        </w:rPr>
        <w:t>LASSO regression, the variables that were statistically significant were r</w:t>
      </w:r>
      <w:r w:rsidRPr="00D87E0F">
        <w:rPr>
          <w:rFonts w:eastAsia="Times New Roman" w:cs="Arial"/>
          <w:bCs/>
          <w:sz w:val="20"/>
          <w:szCs w:val="20"/>
        </w:rPr>
        <w:t>isk</w:t>
      </w:r>
      <w:r>
        <w:rPr>
          <w:rFonts w:eastAsia="Times New Roman" w:cs="Arial"/>
          <w:bCs/>
          <w:sz w:val="20"/>
          <w:szCs w:val="20"/>
        </w:rPr>
        <w:t xml:space="preserve"> of s</w:t>
      </w:r>
      <w:r w:rsidRPr="00D87E0F">
        <w:rPr>
          <w:rFonts w:eastAsia="Times New Roman" w:cs="Arial"/>
          <w:bCs/>
          <w:sz w:val="20"/>
          <w:szCs w:val="20"/>
        </w:rPr>
        <w:t>uicide</w:t>
      </w:r>
      <w:r>
        <w:rPr>
          <w:rFonts w:eastAsia="Times New Roman" w:cs="Arial"/>
          <w:bCs/>
          <w:sz w:val="20"/>
          <w:szCs w:val="20"/>
        </w:rPr>
        <w:t xml:space="preserve">, </w:t>
      </w:r>
      <w:r w:rsidRPr="002214C8">
        <w:rPr>
          <w:rFonts w:eastAsia="Times New Roman" w:cs="Arial"/>
          <w:bCs/>
          <w:sz w:val="20"/>
          <w:szCs w:val="20"/>
        </w:rPr>
        <w:t>PTSD</w:t>
      </w:r>
      <w:r>
        <w:rPr>
          <w:rFonts w:eastAsia="Times New Roman" w:cs="Arial"/>
          <w:bCs/>
          <w:sz w:val="20"/>
          <w:szCs w:val="20"/>
        </w:rPr>
        <w:t>, a</w:t>
      </w:r>
      <w:r w:rsidRPr="002214C8">
        <w:rPr>
          <w:rFonts w:eastAsia="Times New Roman" w:cs="Arial"/>
          <w:bCs/>
          <w:sz w:val="20"/>
          <w:szCs w:val="20"/>
        </w:rPr>
        <w:t>nxiety</w:t>
      </w:r>
      <w:r>
        <w:rPr>
          <w:rFonts w:eastAsia="Times New Roman" w:cs="Arial"/>
          <w:bCs/>
          <w:sz w:val="20"/>
          <w:szCs w:val="20"/>
        </w:rPr>
        <w:t>, a</w:t>
      </w:r>
      <w:r w:rsidRPr="00D87E0F">
        <w:rPr>
          <w:rFonts w:eastAsia="Times New Roman" w:cs="Arial"/>
          <w:bCs/>
          <w:sz w:val="20"/>
          <w:szCs w:val="20"/>
        </w:rPr>
        <w:t>ntisocial</w:t>
      </w:r>
      <w:r>
        <w:rPr>
          <w:rFonts w:eastAsia="Times New Roman" w:cs="Arial"/>
          <w:bCs/>
          <w:sz w:val="20"/>
          <w:szCs w:val="20"/>
        </w:rPr>
        <w:t xml:space="preserve"> p</w:t>
      </w:r>
      <w:r w:rsidRPr="00D87E0F">
        <w:rPr>
          <w:rFonts w:eastAsia="Times New Roman" w:cs="Arial"/>
          <w:bCs/>
          <w:sz w:val="20"/>
          <w:szCs w:val="20"/>
        </w:rPr>
        <w:t>ersonality</w:t>
      </w:r>
      <w:r>
        <w:rPr>
          <w:rFonts w:eastAsia="Times New Roman" w:cs="Arial"/>
          <w:bCs/>
          <w:sz w:val="20"/>
          <w:szCs w:val="20"/>
        </w:rPr>
        <w:t>, l</w:t>
      </w:r>
      <w:r w:rsidRPr="00D87E0F">
        <w:rPr>
          <w:rFonts w:eastAsia="Times New Roman" w:cs="Arial"/>
          <w:bCs/>
          <w:sz w:val="20"/>
          <w:szCs w:val="20"/>
        </w:rPr>
        <w:t>iver</w:t>
      </w:r>
      <w:r>
        <w:rPr>
          <w:rFonts w:eastAsia="Times New Roman" w:cs="Arial"/>
          <w:bCs/>
          <w:sz w:val="20"/>
          <w:szCs w:val="20"/>
        </w:rPr>
        <w:t>, n</w:t>
      </w:r>
      <w:r w:rsidRPr="00D87E0F">
        <w:rPr>
          <w:rFonts w:eastAsia="Times New Roman" w:cs="Arial"/>
          <w:bCs/>
          <w:sz w:val="20"/>
          <w:szCs w:val="20"/>
        </w:rPr>
        <w:t>eurological</w:t>
      </w:r>
      <w:r>
        <w:rPr>
          <w:rFonts w:eastAsia="Times New Roman" w:cs="Arial"/>
          <w:bCs/>
          <w:sz w:val="20"/>
          <w:szCs w:val="20"/>
        </w:rPr>
        <w:t>, m</w:t>
      </w:r>
      <w:r w:rsidRPr="00D87E0F">
        <w:rPr>
          <w:rFonts w:eastAsia="Times New Roman" w:cs="Arial"/>
          <w:bCs/>
          <w:sz w:val="20"/>
          <w:szCs w:val="20"/>
        </w:rPr>
        <w:t>usculoskeletal</w:t>
      </w:r>
      <w:r>
        <w:rPr>
          <w:rFonts w:eastAsia="Times New Roman" w:cs="Arial"/>
          <w:bCs/>
          <w:sz w:val="20"/>
          <w:szCs w:val="20"/>
        </w:rPr>
        <w:t xml:space="preserve"> i</w:t>
      </w:r>
      <w:r w:rsidRPr="00D87E0F">
        <w:rPr>
          <w:rFonts w:eastAsia="Times New Roman" w:cs="Arial"/>
          <w:bCs/>
          <w:sz w:val="20"/>
          <w:szCs w:val="20"/>
        </w:rPr>
        <w:t>ntegument</w:t>
      </w:r>
      <w:r>
        <w:rPr>
          <w:rFonts w:eastAsia="Times New Roman" w:cs="Arial"/>
          <w:bCs/>
          <w:sz w:val="20"/>
          <w:szCs w:val="20"/>
        </w:rPr>
        <w:t xml:space="preserve">, endocrine, citalopram, and OCD.  </w:t>
      </w:r>
      <w:r w:rsidRPr="00D87E0F">
        <w:rPr>
          <w:rFonts w:eastAsia="Times New Roman" w:cs="Arial"/>
          <w:bCs/>
          <w:sz w:val="20"/>
          <w:szCs w:val="20"/>
        </w:rPr>
        <w:t xml:space="preserve"> </w:t>
      </w:r>
      <w:r>
        <w:rPr>
          <w:rFonts w:eastAsia="Times New Roman" w:cs="Arial"/>
          <w:bCs/>
          <w:sz w:val="20"/>
          <w:szCs w:val="20"/>
        </w:rPr>
        <w:t>In addition, c</w:t>
      </w:r>
      <w:r w:rsidRPr="00D87E0F">
        <w:rPr>
          <w:rFonts w:eastAsia="Times New Roman" w:cs="Arial"/>
          <w:bCs/>
          <w:sz w:val="20"/>
          <w:szCs w:val="20"/>
        </w:rPr>
        <w:t xml:space="preserve">italopram </w:t>
      </w:r>
      <w:r>
        <w:rPr>
          <w:rFonts w:eastAsia="Times New Roman" w:cs="Arial"/>
          <w:bCs/>
          <w:sz w:val="20"/>
          <w:szCs w:val="20"/>
        </w:rPr>
        <w:t xml:space="preserve">was also a significant predictor of symptom remission.  </w:t>
      </w:r>
      <w:r w:rsidRPr="00D87E0F">
        <w:rPr>
          <w:rFonts w:eastAsia="Times New Roman" w:cs="Arial"/>
          <w:bCs/>
          <w:sz w:val="20"/>
          <w:szCs w:val="20"/>
        </w:rPr>
        <w:t xml:space="preserve"> </w:t>
      </w:r>
      <w:r>
        <w:rPr>
          <w:rFonts w:eastAsia="Times New Roman" w:cs="Arial"/>
          <w:bCs/>
          <w:sz w:val="20"/>
          <w:szCs w:val="20"/>
        </w:rPr>
        <w:t xml:space="preserve">The combined LASSO regressions </w:t>
      </w:r>
      <w:r>
        <w:rPr>
          <w:rFonts w:eastAsia="Times New Roman" w:cs="Arial"/>
          <w:bCs/>
          <w:sz w:val="20"/>
          <w:szCs w:val="20"/>
        </w:rPr>
        <w:lastRenderedPageBreak/>
        <w:t xml:space="preserve">describe the network in Figure 3. </w:t>
      </w:r>
      <w:r w:rsidRPr="00D87E0F">
        <w:rPr>
          <w:rFonts w:eastAsia="Times New Roman" w:cs="Arial"/>
          <w:bCs/>
          <w:sz w:val="20"/>
          <w:szCs w:val="20"/>
        </w:rPr>
        <w:t xml:space="preserve">   </w:t>
      </w:r>
      <w:r>
        <w:rPr>
          <w:rFonts w:eastAsia="Times New Roman" w:cs="Arial"/>
          <w:bCs/>
          <w:sz w:val="20"/>
          <w:szCs w:val="20"/>
        </w:rPr>
        <w:br/>
      </w:r>
    </w:p>
    <w:p w14:paraId="11779204" w14:textId="77777777" w:rsidR="005E620E" w:rsidRDefault="005E620E" w:rsidP="005E620E">
      <w:pPr>
        <w:spacing w:line="240" w:lineRule="auto"/>
        <w:jc w:val="center"/>
        <w:rPr>
          <w:b/>
          <w:sz w:val="20"/>
          <w:szCs w:val="20"/>
        </w:rPr>
      </w:pPr>
      <w:r w:rsidRPr="002214C8">
        <w:rPr>
          <w:b/>
          <w:sz w:val="20"/>
          <w:szCs w:val="20"/>
        </w:rPr>
        <w:t>Figure 3: Combined Network Model for Predicting Effect of Citalopram on Remission</w:t>
      </w:r>
    </w:p>
    <w:p w14:paraId="33296B29" w14:textId="77777777" w:rsidR="005E620E" w:rsidRPr="002214C8" w:rsidRDefault="005E620E" w:rsidP="005E620E">
      <w:pPr>
        <w:spacing w:line="240" w:lineRule="auto"/>
        <w:rPr>
          <w:b/>
          <w:sz w:val="20"/>
          <w:szCs w:val="20"/>
        </w:rPr>
      </w:pPr>
      <w:r>
        <w:rPr>
          <w:noProof/>
        </w:rPr>
        <w:drawing>
          <wp:inline distT="0" distB="0" distL="0" distR="0" wp14:anchorId="5891A80A" wp14:editId="66E87A7F">
            <wp:extent cx="6070600" cy="34925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846" t="11776" r="14423" b="12631"/>
                    <a:stretch/>
                  </pic:blipFill>
                  <pic:spPr bwMode="auto">
                    <a:xfrm>
                      <a:off x="0" y="0"/>
                      <a:ext cx="6086663" cy="3501741"/>
                    </a:xfrm>
                    <a:prstGeom prst="rect">
                      <a:avLst/>
                    </a:prstGeom>
                    <a:ln>
                      <a:noFill/>
                    </a:ln>
                    <a:extLst>
                      <a:ext uri="{53640926-AAD7-44D8-BBD7-CCE9431645EC}">
                        <a14:shadowObscured xmlns:a14="http://schemas.microsoft.com/office/drawing/2010/main"/>
                      </a:ext>
                    </a:extLst>
                  </pic:spPr>
                </pic:pic>
              </a:graphicData>
            </a:graphic>
          </wp:inline>
        </w:drawing>
      </w:r>
    </w:p>
    <w:p w14:paraId="5700D737" w14:textId="77777777" w:rsidR="005E620E" w:rsidRPr="00D64EC5" w:rsidRDefault="005E620E" w:rsidP="005E620E">
      <w:pPr>
        <w:spacing w:before="45" w:after="100" w:afterAutospacing="1" w:line="240" w:lineRule="auto"/>
        <w:jc w:val="both"/>
        <w:rPr>
          <w:rFonts w:cs="Arial"/>
          <w:sz w:val="20"/>
          <w:szCs w:val="20"/>
        </w:rPr>
      </w:pPr>
    </w:p>
    <w:p w14:paraId="564D3238" w14:textId="77777777" w:rsidR="005E620E" w:rsidRDefault="005E620E" w:rsidP="005E620E">
      <w:pPr>
        <w:spacing w:line="240" w:lineRule="auto"/>
        <w:rPr>
          <w:sz w:val="20"/>
          <w:szCs w:val="20"/>
        </w:rPr>
      </w:pPr>
      <w:r>
        <w:rPr>
          <w:sz w:val="20"/>
          <w:szCs w:val="20"/>
        </w:rPr>
        <w:tab/>
        <w:t>The net accuracy of predictions can be assessed from the percentage of variation explained by each of the regressions, as seen in Table 3:</w:t>
      </w:r>
    </w:p>
    <w:p w14:paraId="6A8C74FE" w14:textId="77777777" w:rsidR="005E620E" w:rsidRDefault="005E620E" w:rsidP="005E620E">
      <w:pPr>
        <w:keepNext/>
        <w:spacing w:after="0" w:line="240" w:lineRule="auto"/>
        <w:jc w:val="center"/>
        <w:rPr>
          <w:b/>
          <w:color w:val="FF0000"/>
        </w:rPr>
      </w:pPr>
      <w:r w:rsidRPr="00CA541D">
        <w:rPr>
          <w:b/>
        </w:rPr>
        <w:t xml:space="preserve">Table </w:t>
      </w:r>
      <w:r>
        <w:rPr>
          <w:b/>
        </w:rPr>
        <w:t>3</w:t>
      </w:r>
      <w:r w:rsidRPr="00CA541D">
        <w:rPr>
          <w:b/>
        </w:rPr>
        <w:t>: Impact of C</w:t>
      </w:r>
      <w:r>
        <w:rPr>
          <w:b/>
        </w:rPr>
        <w:t>italopram</w:t>
      </w:r>
    </w:p>
    <w:p w14:paraId="29712EA2" w14:textId="77777777" w:rsidR="005E620E" w:rsidRPr="00FA23F3" w:rsidRDefault="005E620E" w:rsidP="005E620E">
      <w:pPr>
        <w:keepNext/>
        <w:spacing w:after="0" w:line="240" w:lineRule="auto"/>
        <w:jc w:val="center"/>
        <w:rPr>
          <w:b/>
          <w:color w:val="FF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43"/>
        <w:gridCol w:w="1350"/>
        <w:gridCol w:w="1272"/>
        <w:gridCol w:w="1112"/>
        <w:gridCol w:w="1166"/>
        <w:gridCol w:w="1166"/>
      </w:tblGrid>
      <w:tr w:rsidR="005E620E" w:rsidRPr="0051562F" w14:paraId="1E4548C8" w14:textId="77777777" w:rsidTr="00C16F39">
        <w:trPr>
          <w:jc w:val="center"/>
        </w:trPr>
        <w:tc>
          <w:tcPr>
            <w:tcW w:w="3043" w:type="dxa"/>
            <w:shd w:val="clear" w:color="auto" w:fill="auto"/>
            <w:noWrap/>
            <w:vAlign w:val="bottom"/>
          </w:tcPr>
          <w:p w14:paraId="7616C814" w14:textId="77777777" w:rsidR="005E620E" w:rsidRPr="00482448" w:rsidRDefault="005E620E" w:rsidP="00C16F39">
            <w:pPr>
              <w:keepNext/>
              <w:spacing w:after="0" w:line="240" w:lineRule="auto"/>
              <w:jc w:val="center"/>
              <w:rPr>
                <w:rFonts w:ascii="Calibri" w:hAnsi="Calibri"/>
                <w:b/>
                <w:color w:val="000000"/>
              </w:rPr>
            </w:pPr>
            <w:r>
              <w:rPr>
                <w:rFonts w:ascii="Calibri" w:hAnsi="Calibri"/>
                <w:b/>
                <w:color w:val="000000"/>
              </w:rPr>
              <w:t>Independent Variables in the Model</w:t>
            </w:r>
          </w:p>
        </w:tc>
        <w:tc>
          <w:tcPr>
            <w:tcW w:w="1350" w:type="dxa"/>
            <w:vAlign w:val="bottom"/>
          </w:tcPr>
          <w:p w14:paraId="63068F30" w14:textId="77777777" w:rsidR="005E620E" w:rsidRPr="00482448" w:rsidRDefault="005E620E" w:rsidP="00C16F39">
            <w:pPr>
              <w:keepNext/>
              <w:spacing w:after="0" w:line="240" w:lineRule="auto"/>
              <w:jc w:val="center"/>
              <w:rPr>
                <w:rFonts w:ascii="Calibri" w:hAnsi="Calibri"/>
                <w:b/>
                <w:color w:val="000000"/>
              </w:rPr>
            </w:pPr>
            <w:r>
              <w:rPr>
                <w:rFonts w:ascii="Calibri" w:hAnsi="Calibri"/>
                <w:b/>
                <w:color w:val="000000"/>
              </w:rPr>
              <w:t>Number of Covariates (Percent Reduced)</w:t>
            </w:r>
          </w:p>
        </w:tc>
        <w:tc>
          <w:tcPr>
            <w:tcW w:w="1272" w:type="dxa"/>
            <w:shd w:val="clear" w:color="auto" w:fill="auto"/>
            <w:noWrap/>
            <w:vAlign w:val="bottom"/>
          </w:tcPr>
          <w:p w14:paraId="0DB0223F" w14:textId="77777777" w:rsidR="005E620E" w:rsidRPr="00482448" w:rsidRDefault="005E620E" w:rsidP="00C16F39">
            <w:pPr>
              <w:keepNext/>
              <w:spacing w:after="0" w:line="240" w:lineRule="auto"/>
              <w:jc w:val="center"/>
              <w:rPr>
                <w:rFonts w:ascii="Calibri" w:hAnsi="Calibri"/>
                <w:b/>
                <w:color w:val="000000"/>
              </w:rPr>
            </w:pPr>
            <w:r>
              <w:rPr>
                <w:rFonts w:ascii="Calibri" w:hAnsi="Calibri"/>
                <w:b/>
                <w:color w:val="000000"/>
              </w:rPr>
              <w:t>Impact of Citalopram on Remission</w:t>
            </w:r>
          </w:p>
        </w:tc>
        <w:tc>
          <w:tcPr>
            <w:tcW w:w="1112" w:type="dxa"/>
            <w:vAlign w:val="bottom"/>
          </w:tcPr>
          <w:p w14:paraId="391E7D64" w14:textId="77777777" w:rsidR="005E620E" w:rsidRPr="00482448" w:rsidRDefault="005E620E" w:rsidP="00C16F39">
            <w:pPr>
              <w:keepNext/>
              <w:spacing w:after="0" w:line="240" w:lineRule="auto"/>
              <w:jc w:val="center"/>
              <w:rPr>
                <w:rFonts w:ascii="Calibri" w:hAnsi="Calibri"/>
                <w:b/>
                <w:color w:val="000000"/>
              </w:rPr>
            </w:pPr>
            <w:r>
              <w:rPr>
                <w:rFonts w:ascii="Calibri" w:hAnsi="Calibri"/>
                <w:b/>
                <w:color w:val="000000"/>
              </w:rPr>
              <w:t>Percent of Variation Explained</w:t>
            </w:r>
          </w:p>
        </w:tc>
        <w:tc>
          <w:tcPr>
            <w:tcW w:w="1166" w:type="dxa"/>
            <w:vAlign w:val="bottom"/>
          </w:tcPr>
          <w:p w14:paraId="61BD2923" w14:textId="77777777" w:rsidR="005E620E" w:rsidRDefault="005E620E" w:rsidP="00C16F39">
            <w:pPr>
              <w:keepNext/>
              <w:spacing w:after="0" w:line="240" w:lineRule="auto"/>
              <w:jc w:val="center"/>
              <w:rPr>
                <w:rFonts w:ascii="Calibri" w:hAnsi="Calibri"/>
                <w:b/>
                <w:color w:val="000000"/>
              </w:rPr>
            </w:pPr>
            <w:r>
              <w:rPr>
                <w:rFonts w:ascii="Calibri" w:hAnsi="Calibri"/>
                <w:b/>
                <w:color w:val="000000"/>
              </w:rPr>
              <w:t>10-fold Cross-Validated AROC</w:t>
            </w:r>
          </w:p>
        </w:tc>
        <w:tc>
          <w:tcPr>
            <w:tcW w:w="1166" w:type="dxa"/>
          </w:tcPr>
          <w:p w14:paraId="30E00C51" w14:textId="77777777" w:rsidR="005E620E" w:rsidRDefault="005E620E" w:rsidP="00C16F39">
            <w:pPr>
              <w:keepNext/>
              <w:spacing w:after="0" w:line="240" w:lineRule="auto"/>
              <w:jc w:val="center"/>
              <w:rPr>
                <w:rFonts w:ascii="Calibri" w:hAnsi="Calibri"/>
                <w:b/>
                <w:color w:val="000000"/>
              </w:rPr>
            </w:pPr>
            <w:r>
              <w:rPr>
                <w:rFonts w:ascii="Calibri" w:hAnsi="Calibri"/>
                <w:b/>
                <w:color w:val="000000"/>
              </w:rPr>
              <w:t>AROC divided by Degrees of Freedom</w:t>
            </w:r>
          </w:p>
        </w:tc>
      </w:tr>
      <w:tr w:rsidR="005E620E" w:rsidRPr="0051562F" w14:paraId="40B3E0E7" w14:textId="77777777" w:rsidTr="00C16F39">
        <w:trPr>
          <w:jc w:val="center"/>
        </w:trPr>
        <w:tc>
          <w:tcPr>
            <w:tcW w:w="3043" w:type="dxa"/>
            <w:shd w:val="clear" w:color="auto" w:fill="auto"/>
            <w:noWrap/>
            <w:vAlign w:val="center"/>
          </w:tcPr>
          <w:p w14:paraId="6305F3D3" w14:textId="77777777" w:rsidR="005E620E" w:rsidRPr="005E6AD1" w:rsidRDefault="005E620E" w:rsidP="00C16F39">
            <w:pPr>
              <w:keepNext/>
              <w:spacing w:after="0" w:line="240" w:lineRule="auto"/>
              <w:rPr>
                <w:rFonts w:ascii="Calibri" w:hAnsi="Calibri"/>
                <w:color w:val="000000"/>
              </w:rPr>
            </w:pPr>
            <w:r w:rsidRPr="005E6AD1">
              <w:rPr>
                <w:rFonts w:ascii="Calibri" w:hAnsi="Calibri"/>
                <w:color w:val="000000"/>
              </w:rPr>
              <w:t>Comprehensive</w:t>
            </w:r>
            <w:r>
              <w:rPr>
                <w:rFonts w:ascii="Calibri" w:hAnsi="Calibri"/>
                <w:color w:val="000000"/>
              </w:rPr>
              <w:t>: Gender, 32 Baseline Diagnoses, &amp; Citalopram</w:t>
            </w:r>
          </w:p>
        </w:tc>
        <w:tc>
          <w:tcPr>
            <w:tcW w:w="1350" w:type="dxa"/>
            <w:vAlign w:val="center"/>
          </w:tcPr>
          <w:p w14:paraId="7667D751" w14:textId="77777777" w:rsidR="005E620E" w:rsidRPr="005E6AD1" w:rsidRDefault="005E620E" w:rsidP="00C16F39">
            <w:pPr>
              <w:keepNext/>
              <w:spacing w:after="0" w:line="240" w:lineRule="auto"/>
              <w:jc w:val="center"/>
              <w:rPr>
                <w:rFonts w:ascii="Calibri" w:hAnsi="Calibri"/>
                <w:color w:val="000000"/>
              </w:rPr>
            </w:pPr>
            <w:r>
              <w:rPr>
                <w:rFonts w:ascii="Calibri" w:hAnsi="Calibri"/>
                <w:color w:val="000000"/>
              </w:rPr>
              <w:t>34 (100%)</w:t>
            </w:r>
          </w:p>
        </w:tc>
        <w:tc>
          <w:tcPr>
            <w:tcW w:w="1272" w:type="dxa"/>
            <w:shd w:val="clear" w:color="auto" w:fill="auto"/>
            <w:noWrap/>
            <w:vAlign w:val="center"/>
          </w:tcPr>
          <w:p w14:paraId="08BC2D53" w14:textId="77777777" w:rsidR="005E620E" w:rsidRPr="005E6AD1" w:rsidRDefault="005E620E" w:rsidP="00C16F39">
            <w:pPr>
              <w:keepNext/>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16(47.05%)</w:t>
            </w:r>
          </w:p>
        </w:tc>
        <w:tc>
          <w:tcPr>
            <w:tcW w:w="1112" w:type="dxa"/>
            <w:vAlign w:val="center"/>
          </w:tcPr>
          <w:p w14:paraId="36237609" w14:textId="77777777" w:rsidR="005E620E" w:rsidRPr="005E6AD1" w:rsidRDefault="005E620E" w:rsidP="00C16F39">
            <w:pPr>
              <w:keepNext/>
              <w:spacing w:after="0" w:line="240" w:lineRule="auto"/>
              <w:jc w:val="center"/>
              <w:rPr>
                <w:rFonts w:ascii="Calibri" w:hAnsi="Calibri"/>
                <w:color w:val="000000"/>
              </w:rPr>
            </w:pPr>
            <w:r>
              <w:rPr>
                <w:rFonts w:ascii="Calibri" w:hAnsi="Calibri"/>
                <w:color w:val="000000"/>
              </w:rPr>
              <w:t>0.532</w:t>
            </w:r>
          </w:p>
        </w:tc>
        <w:tc>
          <w:tcPr>
            <w:tcW w:w="1166" w:type="dxa"/>
            <w:vAlign w:val="center"/>
          </w:tcPr>
          <w:p w14:paraId="0974098B" w14:textId="77777777" w:rsidR="005E620E" w:rsidRPr="005E6AD1" w:rsidRDefault="005E620E" w:rsidP="00C16F39">
            <w:pPr>
              <w:keepNext/>
              <w:spacing w:after="0" w:line="240" w:lineRule="auto"/>
              <w:jc w:val="center"/>
              <w:rPr>
                <w:rFonts w:ascii="Calibri" w:hAnsi="Calibri"/>
                <w:color w:val="000000"/>
              </w:rPr>
            </w:pPr>
            <w:r>
              <w:rPr>
                <w:rFonts w:ascii="Calibri" w:hAnsi="Calibri"/>
                <w:color w:val="000000"/>
              </w:rPr>
              <w:t>61.00%</w:t>
            </w:r>
          </w:p>
        </w:tc>
        <w:tc>
          <w:tcPr>
            <w:tcW w:w="1166" w:type="dxa"/>
            <w:vAlign w:val="center"/>
          </w:tcPr>
          <w:p w14:paraId="439EDDE8" w14:textId="77777777" w:rsidR="005E620E" w:rsidRPr="005E6AD1" w:rsidRDefault="005E620E" w:rsidP="00C16F39">
            <w:pPr>
              <w:keepNext/>
              <w:spacing w:after="0" w:line="240" w:lineRule="auto"/>
              <w:jc w:val="center"/>
              <w:rPr>
                <w:rFonts w:ascii="Calibri" w:hAnsi="Calibri"/>
                <w:color w:val="000000"/>
              </w:rPr>
            </w:pPr>
            <w:r>
              <w:rPr>
                <w:rFonts w:ascii="Calibri" w:hAnsi="Calibri"/>
                <w:color w:val="000000"/>
              </w:rPr>
              <w:t>1.79</w:t>
            </w:r>
          </w:p>
        </w:tc>
      </w:tr>
      <w:tr w:rsidR="005E620E" w:rsidRPr="0051562F" w14:paraId="5D6FA354" w14:textId="77777777" w:rsidTr="00C16F39">
        <w:trPr>
          <w:jc w:val="center"/>
        </w:trPr>
        <w:tc>
          <w:tcPr>
            <w:tcW w:w="3043" w:type="dxa"/>
            <w:shd w:val="clear" w:color="auto" w:fill="auto"/>
            <w:noWrap/>
            <w:vAlign w:val="center"/>
            <w:hideMark/>
          </w:tcPr>
          <w:p w14:paraId="4FC7CCAB" w14:textId="77777777" w:rsidR="005E620E" w:rsidRPr="005E6AD1" w:rsidRDefault="005E620E" w:rsidP="00C16F39">
            <w:pPr>
              <w:spacing w:after="0" w:line="240" w:lineRule="auto"/>
              <w:rPr>
                <w:rFonts w:ascii="Calibri" w:hAnsi="Calibri"/>
                <w:color w:val="000000"/>
              </w:rPr>
            </w:pPr>
            <w:r>
              <w:rPr>
                <w:rFonts w:ascii="Calibri" w:hAnsi="Calibri"/>
                <w:color w:val="000000"/>
              </w:rPr>
              <w:t xml:space="preserve">Only </w:t>
            </w:r>
            <w:r w:rsidRPr="005E6AD1">
              <w:rPr>
                <w:rFonts w:ascii="Calibri" w:hAnsi="Calibri"/>
                <w:color w:val="000000"/>
              </w:rPr>
              <w:t xml:space="preserve">Parents of </w:t>
            </w:r>
            <w:r>
              <w:rPr>
                <w:rFonts w:ascii="Calibri" w:hAnsi="Calibri"/>
                <w:color w:val="000000"/>
              </w:rPr>
              <w:t xml:space="preserve">Citalopram &amp; Citalopram </w:t>
            </w:r>
          </w:p>
        </w:tc>
        <w:tc>
          <w:tcPr>
            <w:tcW w:w="1350" w:type="dxa"/>
            <w:vAlign w:val="center"/>
          </w:tcPr>
          <w:p w14:paraId="3F03924A" w14:textId="77777777" w:rsidR="005E620E" w:rsidRPr="005E6AD1" w:rsidRDefault="005E620E" w:rsidP="00C16F39">
            <w:pPr>
              <w:spacing w:after="0" w:line="240" w:lineRule="auto"/>
              <w:jc w:val="center"/>
              <w:rPr>
                <w:rFonts w:ascii="Calibri" w:hAnsi="Calibri"/>
                <w:color w:val="000000"/>
              </w:rPr>
            </w:pPr>
            <w:r>
              <w:rPr>
                <w:rFonts w:ascii="Calibri" w:hAnsi="Calibri"/>
                <w:color w:val="000000"/>
              </w:rPr>
              <w:t>16(100%)</w:t>
            </w:r>
          </w:p>
        </w:tc>
        <w:tc>
          <w:tcPr>
            <w:tcW w:w="1272" w:type="dxa"/>
            <w:shd w:val="clear" w:color="auto" w:fill="auto"/>
            <w:noWrap/>
            <w:vAlign w:val="center"/>
          </w:tcPr>
          <w:p w14:paraId="070FF661" w14:textId="77777777" w:rsidR="005E620E" w:rsidRPr="005E6AD1" w:rsidRDefault="005E620E" w:rsidP="00C16F39">
            <w:pPr>
              <w:spacing w:after="0" w:line="240" w:lineRule="auto"/>
              <w:jc w:val="center"/>
              <w:rPr>
                <w:rFonts w:ascii="Calibri" w:hAnsi="Calibri"/>
                <w:color w:val="000000"/>
              </w:rPr>
            </w:pPr>
            <w:r>
              <w:rPr>
                <w:rFonts w:ascii="Calibri" w:hAnsi="Calibri"/>
                <w:color w:val="000000"/>
              </w:rPr>
              <w:t>10(62.5%)</w:t>
            </w:r>
          </w:p>
        </w:tc>
        <w:tc>
          <w:tcPr>
            <w:tcW w:w="1112" w:type="dxa"/>
            <w:vAlign w:val="center"/>
          </w:tcPr>
          <w:p w14:paraId="0A6BA462" w14:textId="77777777" w:rsidR="005E620E" w:rsidRPr="005E6AD1" w:rsidRDefault="005E620E" w:rsidP="00C16F39">
            <w:pPr>
              <w:spacing w:after="0" w:line="240" w:lineRule="auto"/>
              <w:jc w:val="center"/>
              <w:rPr>
                <w:rFonts w:ascii="Calibri" w:hAnsi="Calibri"/>
                <w:color w:val="000000"/>
              </w:rPr>
            </w:pPr>
            <w:r>
              <w:rPr>
                <w:rFonts w:ascii="Calibri" w:hAnsi="Calibri"/>
                <w:color w:val="000000"/>
              </w:rPr>
              <w:t>0.514</w:t>
            </w:r>
          </w:p>
        </w:tc>
        <w:tc>
          <w:tcPr>
            <w:tcW w:w="1166" w:type="dxa"/>
            <w:vAlign w:val="center"/>
          </w:tcPr>
          <w:p w14:paraId="5E8DFF78" w14:textId="77777777" w:rsidR="005E620E" w:rsidRPr="005E6AD1" w:rsidRDefault="005E620E" w:rsidP="00C16F39">
            <w:pPr>
              <w:spacing w:after="0" w:line="240" w:lineRule="auto"/>
              <w:jc w:val="center"/>
              <w:rPr>
                <w:rFonts w:ascii="Calibri" w:hAnsi="Calibri"/>
                <w:color w:val="000000"/>
              </w:rPr>
            </w:pPr>
            <w:r>
              <w:rPr>
                <w:rFonts w:ascii="Calibri" w:hAnsi="Calibri"/>
                <w:color w:val="000000"/>
              </w:rPr>
              <w:t>57.00%</w:t>
            </w:r>
          </w:p>
        </w:tc>
        <w:tc>
          <w:tcPr>
            <w:tcW w:w="1166" w:type="dxa"/>
            <w:vAlign w:val="center"/>
          </w:tcPr>
          <w:p w14:paraId="088E7D75" w14:textId="77777777" w:rsidR="005E620E" w:rsidRPr="005E6AD1" w:rsidRDefault="005E620E" w:rsidP="00C16F39">
            <w:pPr>
              <w:spacing w:after="0" w:line="240" w:lineRule="auto"/>
              <w:jc w:val="center"/>
              <w:rPr>
                <w:rFonts w:ascii="Calibri" w:hAnsi="Calibri"/>
                <w:color w:val="000000"/>
              </w:rPr>
            </w:pPr>
            <w:r>
              <w:rPr>
                <w:rFonts w:ascii="Calibri" w:hAnsi="Calibri"/>
                <w:color w:val="000000"/>
              </w:rPr>
              <w:t>3.56</w:t>
            </w:r>
          </w:p>
        </w:tc>
      </w:tr>
    </w:tbl>
    <w:p w14:paraId="699C08A4" w14:textId="77777777" w:rsidR="00FB0A78" w:rsidRPr="00FB0A78" w:rsidRDefault="00FB0A78" w:rsidP="00FB0A78"/>
    <w:sectPr w:rsidR="00FB0A78" w:rsidRPr="00FB0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6F7"/>
    <w:rsid w:val="0026427D"/>
    <w:rsid w:val="005E620E"/>
    <w:rsid w:val="008B46F7"/>
    <w:rsid w:val="00FB0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99BA9"/>
  <w15:chartTrackingRefBased/>
  <w15:docId w15:val="{0CB10206-309D-41F4-BBFB-D2ED19A18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A7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d15mcfceub">
    <w:name w:val="gd15mcfceub"/>
    <w:basedOn w:val="DefaultParagraphFont"/>
    <w:rsid w:val="008B46F7"/>
  </w:style>
  <w:style w:type="character" w:styleId="Hyperlink">
    <w:name w:val="Hyperlink"/>
    <w:basedOn w:val="DefaultParagraphFont"/>
    <w:uiPriority w:val="99"/>
    <w:unhideWhenUsed/>
    <w:rsid w:val="00FB0A78"/>
    <w:rPr>
      <w:color w:val="0000FF"/>
      <w:u w:val="single"/>
    </w:rPr>
  </w:style>
  <w:style w:type="paragraph" w:styleId="ListParagraph">
    <w:name w:val="List Paragraph"/>
    <w:basedOn w:val="Normal"/>
    <w:uiPriority w:val="34"/>
    <w:qFormat/>
    <w:rsid w:val="005E6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mailto:smummidi@gmu.edu" TargetMode="External"/><Relationship Id="rId4" Type="http://schemas.openxmlformats.org/officeDocument/2006/relationships/hyperlink" Target="mailto:falemi@gmu.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m</dc:creator>
  <cp:keywords/>
  <dc:description/>
  <cp:lastModifiedBy>keerthi m</cp:lastModifiedBy>
  <cp:revision>1</cp:revision>
  <dcterms:created xsi:type="dcterms:W3CDTF">2020-05-01T17:08:00Z</dcterms:created>
  <dcterms:modified xsi:type="dcterms:W3CDTF">2020-05-01T17:29:00Z</dcterms:modified>
</cp:coreProperties>
</file>