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60E" w:rsidRPr="007F460E" w:rsidRDefault="007F460E" w:rsidP="007F460E">
      <w:pPr>
        <w:jc w:val="center"/>
        <w:rPr>
          <w:rFonts w:eastAsia="Calibri"/>
          <w:b/>
          <w:color w:val="000000"/>
          <w:sz w:val="36"/>
          <w:szCs w:val="40"/>
          <w:lang w:val="es-ES" w:eastAsia="es-ES"/>
        </w:rPr>
      </w:pPr>
      <w:r w:rsidRPr="007F460E">
        <w:rPr>
          <w:rFonts w:eastAsia="Calibri"/>
          <w:b/>
          <w:color w:val="000000"/>
          <w:sz w:val="36"/>
          <w:szCs w:val="40"/>
          <w:lang w:val="es-ES" w:eastAsia="es-ES"/>
        </w:rPr>
        <w:t>UNIVERSIDAD MAYOR REAL Y PONTIFICIA DE</w:t>
      </w:r>
    </w:p>
    <w:p w:rsidR="007F460E" w:rsidRPr="007F460E" w:rsidRDefault="007F460E" w:rsidP="007F460E">
      <w:pPr>
        <w:spacing w:line="340" w:lineRule="auto"/>
        <w:jc w:val="center"/>
        <w:rPr>
          <w:rFonts w:eastAsia="Calibri"/>
          <w:b/>
          <w:color w:val="000000"/>
          <w:sz w:val="36"/>
          <w:szCs w:val="40"/>
          <w:lang w:val="es-ES" w:eastAsia="es-ES"/>
        </w:rPr>
      </w:pPr>
      <w:r w:rsidRPr="007F460E">
        <w:rPr>
          <w:rFonts w:eastAsia="Calibri"/>
          <w:b/>
          <w:color w:val="000000"/>
          <w:sz w:val="36"/>
          <w:szCs w:val="40"/>
          <w:lang w:val="es-ES" w:eastAsia="es-ES"/>
        </w:rPr>
        <w:t>SAN FRANCISCO XAVIER DE CHUQUISACA</w:t>
      </w:r>
    </w:p>
    <w:p w:rsidR="007F460E" w:rsidRPr="007F460E" w:rsidRDefault="007F460E" w:rsidP="007F460E">
      <w:pPr>
        <w:spacing w:after="240" w:line="340" w:lineRule="auto"/>
        <w:jc w:val="center"/>
        <w:rPr>
          <w:rFonts w:eastAsia="Calibri"/>
          <w:b/>
          <w:color w:val="000000"/>
          <w:sz w:val="24"/>
          <w:szCs w:val="22"/>
          <w:lang w:val="es-ES" w:eastAsia="es-ES"/>
        </w:rPr>
      </w:pPr>
      <w:r w:rsidRPr="007F460E">
        <w:rPr>
          <w:rFonts w:eastAsia="Calibri"/>
          <w:b/>
          <w:noProof/>
          <w:color w:val="000000"/>
          <w:sz w:val="24"/>
          <w:szCs w:val="22"/>
          <w:lang w:val="es-ES" w:eastAsia="es-ES"/>
        </w:rPr>
        <w:drawing>
          <wp:inline distT="0" distB="0" distL="0" distR="0" wp14:anchorId="60CD44AB" wp14:editId="3DD04AF5">
            <wp:extent cx="3067050" cy="3067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60E" w:rsidRPr="007F460E" w:rsidRDefault="007F460E" w:rsidP="007F460E">
      <w:pPr>
        <w:spacing w:line="340" w:lineRule="auto"/>
        <w:jc w:val="center"/>
        <w:rPr>
          <w:rFonts w:eastAsia="Calibri"/>
          <w:b/>
          <w:color w:val="000000"/>
          <w:sz w:val="32"/>
          <w:szCs w:val="36"/>
          <w:lang w:val="es-ES" w:eastAsia="es-ES"/>
        </w:rPr>
      </w:pPr>
      <w:r w:rsidRPr="007F460E">
        <w:rPr>
          <w:rFonts w:eastAsia="Calibri"/>
          <w:b/>
          <w:color w:val="000000"/>
          <w:sz w:val="32"/>
          <w:szCs w:val="36"/>
          <w:lang w:val="es-ES" w:eastAsia="es-ES"/>
        </w:rPr>
        <w:t>FACULTAD DE INGENIERÍA Y CIENCIAS APLICADAS MECA-ELECTRÓNICAS</w:t>
      </w:r>
    </w:p>
    <w:p w:rsidR="007F460E" w:rsidRPr="007F460E" w:rsidRDefault="007F460E" w:rsidP="007F460E">
      <w:pPr>
        <w:spacing w:after="80" w:line="340" w:lineRule="auto"/>
        <w:jc w:val="center"/>
        <w:rPr>
          <w:rFonts w:eastAsia="Calibri"/>
          <w:b/>
          <w:color w:val="2E86C1"/>
          <w:sz w:val="28"/>
          <w:szCs w:val="28"/>
          <w:lang w:val="es-ES" w:eastAsia="es-ES"/>
        </w:rPr>
      </w:pPr>
    </w:p>
    <w:p w:rsidR="007F460E" w:rsidRPr="007F460E" w:rsidRDefault="007F460E" w:rsidP="007F460E">
      <w:pPr>
        <w:spacing w:after="80" w:line="340" w:lineRule="auto"/>
        <w:jc w:val="center"/>
        <w:rPr>
          <w:rFonts w:eastAsia="Calibri"/>
          <w:b/>
          <w:color w:val="000000"/>
          <w:sz w:val="28"/>
          <w:szCs w:val="24"/>
          <w:lang w:eastAsia="es-ES"/>
        </w:rPr>
      </w:pPr>
      <w:r w:rsidRPr="007F460E">
        <w:rPr>
          <w:rFonts w:eastAsia="Calibri"/>
          <w:b/>
          <w:bCs/>
          <w:color w:val="000000"/>
          <w:sz w:val="28"/>
          <w:szCs w:val="24"/>
          <w:lang w:eastAsia="es-ES"/>
        </w:rPr>
        <w:t>PARES CRANEALES</w:t>
      </w:r>
    </w:p>
    <w:p w:rsidR="007F460E" w:rsidRPr="007F460E" w:rsidRDefault="007F460E" w:rsidP="007F460E">
      <w:pPr>
        <w:spacing w:after="80" w:line="340" w:lineRule="auto"/>
        <w:rPr>
          <w:rFonts w:eastAsia="Calibri"/>
          <w:b/>
          <w:color w:val="2E86C1"/>
          <w:sz w:val="24"/>
          <w:szCs w:val="22"/>
          <w:lang w:val="es-ES" w:eastAsia="es-ES"/>
        </w:rPr>
      </w:pPr>
    </w:p>
    <w:p w:rsidR="007F460E" w:rsidRPr="007F460E" w:rsidRDefault="007F460E" w:rsidP="007F460E">
      <w:pPr>
        <w:spacing w:after="80" w:line="340" w:lineRule="auto"/>
        <w:rPr>
          <w:rFonts w:eastAsia="Calibri"/>
          <w:b/>
          <w:color w:val="2E86C1"/>
          <w:sz w:val="24"/>
          <w:szCs w:val="22"/>
          <w:lang w:val="es-ES" w:eastAsia="es-ES"/>
        </w:rPr>
      </w:pPr>
    </w:p>
    <w:p w:rsidR="007F460E" w:rsidRPr="007F460E" w:rsidRDefault="007F460E" w:rsidP="007F460E">
      <w:pPr>
        <w:spacing w:line="340" w:lineRule="auto"/>
        <w:rPr>
          <w:rFonts w:eastAsia="Calibri"/>
          <w:b/>
          <w:color w:val="000000"/>
          <w:sz w:val="24"/>
          <w:szCs w:val="22"/>
          <w:lang w:val="es-ES" w:eastAsia="es-ES"/>
        </w:rPr>
      </w:pPr>
      <w:r w:rsidRPr="007F460E">
        <w:rPr>
          <w:rFonts w:eastAsia="Calibri"/>
          <w:b/>
          <w:bCs/>
          <w:color w:val="000000"/>
          <w:sz w:val="24"/>
          <w:szCs w:val="22"/>
          <w:lang w:val="es-ES" w:eastAsia="es-ES"/>
        </w:rPr>
        <w:t>Nombre:</w:t>
      </w:r>
      <w:r w:rsidRPr="007F460E">
        <w:rPr>
          <w:rFonts w:eastAsia="Calibri"/>
          <w:b/>
          <w:color w:val="000000"/>
          <w:sz w:val="24"/>
          <w:szCs w:val="22"/>
          <w:lang w:val="es-ES" w:eastAsia="es-ES"/>
        </w:rPr>
        <w:t xml:space="preserve"> </w:t>
      </w:r>
      <w:r w:rsidRPr="007F460E">
        <w:rPr>
          <w:rFonts w:eastAsia="Calibri"/>
          <w:bCs/>
          <w:color w:val="1C1C1C"/>
          <w:sz w:val="24"/>
          <w:szCs w:val="22"/>
          <w:lang w:val="es-ES" w:eastAsia="es-ES"/>
        </w:rPr>
        <w:t>Martínez</w:t>
      </w:r>
      <w:r w:rsidRPr="007F460E">
        <w:rPr>
          <w:rFonts w:eastAsia="Calibri"/>
          <w:color w:val="1C1C1C"/>
          <w:sz w:val="24"/>
          <w:szCs w:val="22"/>
          <w:lang w:val="es-ES" w:eastAsia="es-ES"/>
        </w:rPr>
        <w:t xml:space="preserve"> Fernández Luis David</w:t>
      </w:r>
    </w:p>
    <w:p w:rsidR="007F460E" w:rsidRPr="007F460E" w:rsidRDefault="007F460E" w:rsidP="007F460E">
      <w:pPr>
        <w:spacing w:line="340" w:lineRule="auto"/>
        <w:rPr>
          <w:rFonts w:eastAsia="Calibri"/>
          <w:b/>
          <w:color w:val="000000"/>
          <w:sz w:val="24"/>
          <w:szCs w:val="22"/>
          <w:lang w:val="es-ES" w:eastAsia="es-ES"/>
        </w:rPr>
      </w:pPr>
    </w:p>
    <w:p w:rsidR="007F460E" w:rsidRDefault="007F460E" w:rsidP="007F460E">
      <w:pPr>
        <w:spacing w:line="340" w:lineRule="auto"/>
        <w:rPr>
          <w:rFonts w:eastAsia="Calibri"/>
          <w:color w:val="000000"/>
          <w:sz w:val="24"/>
          <w:szCs w:val="22"/>
          <w:lang w:val="es-ES" w:eastAsia="es-ES"/>
        </w:rPr>
      </w:pPr>
      <w:r w:rsidRPr="007F460E">
        <w:rPr>
          <w:rFonts w:eastAsia="Calibri"/>
          <w:b/>
          <w:color w:val="000000"/>
          <w:sz w:val="24"/>
          <w:szCs w:val="22"/>
          <w:lang w:val="es-ES" w:eastAsia="es-ES"/>
        </w:rPr>
        <w:t xml:space="preserve">Fecha: </w:t>
      </w:r>
      <w:r w:rsidRPr="007F460E">
        <w:rPr>
          <w:rFonts w:eastAsia="Calibri"/>
          <w:color w:val="000000"/>
          <w:sz w:val="24"/>
          <w:szCs w:val="22"/>
          <w:lang w:val="es-ES" w:eastAsia="es-ES"/>
        </w:rPr>
        <w:t>0</w:t>
      </w:r>
      <w:r w:rsidR="009D137E">
        <w:rPr>
          <w:rFonts w:eastAsia="Calibri"/>
          <w:color w:val="000000"/>
          <w:sz w:val="24"/>
          <w:szCs w:val="22"/>
          <w:lang w:val="es-ES" w:eastAsia="es-ES"/>
        </w:rPr>
        <w:t>7</w:t>
      </w:r>
      <w:r w:rsidRPr="007F460E">
        <w:rPr>
          <w:rFonts w:eastAsia="Calibri"/>
          <w:color w:val="000000"/>
          <w:sz w:val="24"/>
          <w:szCs w:val="22"/>
          <w:lang w:val="es-ES" w:eastAsia="es-ES"/>
        </w:rPr>
        <w:t>/09/2026</w:t>
      </w:r>
    </w:p>
    <w:p w:rsidR="007F460E" w:rsidRDefault="007F460E" w:rsidP="007F460E">
      <w:pPr>
        <w:spacing w:line="340" w:lineRule="auto"/>
        <w:rPr>
          <w:rFonts w:eastAsia="Calibri"/>
          <w:b/>
          <w:color w:val="000000"/>
          <w:sz w:val="24"/>
          <w:szCs w:val="22"/>
          <w:lang w:val="es-ES" w:eastAsia="es-ES"/>
        </w:rPr>
      </w:pPr>
    </w:p>
    <w:p w:rsidR="007F460E" w:rsidRPr="007F460E" w:rsidRDefault="007F460E" w:rsidP="007F460E">
      <w:pPr>
        <w:spacing w:line="340" w:lineRule="auto"/>
        <w:rPr>
          <w:rFonts w:eastAsia="Calibri"/>
          <w:b/>
          <w:color w:val="000000"/>
          <w:sz w:val="24"/>
          <w:szCs w:val="22"/>
          <w:lang w:val="es-ES" w:eastAsia="es-ES"/>
        </w:rPr>
      </w:pPr>
      <w:r>
        <w:rPr>
          <w:rFonts w:eastAsia="Calibri"/>
          <w:b/>
          <w:color w:val="000000"/>
          <w:sz w:val="24"/>
          <w:szCs w:val="22"/>
          <w:lang w:val="es-ES" w:eastAsia="es-ES"/>
        </w:rPr>
        <w:t xml:space="preserve">Carrera: </w:t>
      </w:r>
      <w:r w:rsidRPr="007F460E">
        <w:rPr>
          <w:rFonts w:eastAsia="Calibri"/>
          <w:color w:val="000000"/>
          <w:sz w:val="24"/>
          <w:szCs w:val="22"/>
          <w:lang w:val="es-ES" w:eastAsia="es-ES"/>
        </w:rPr>
        <w:t>Ingeniería Biomédica</w:t>
      </w:r>
      <w:r>
        <w:rPr>
          <w:rFonts w:eastAsia="Calibri"/>
          <w:b/>
          <w:color w:val="000000"/>
          <w:sz w:val="24"/>
          <w:szCs w:val="22"/>
          <w:lang w:val="es-ES" w:eastAsia="es-ES"/>
        </w:rPr>
        <w:t xml:space="preserve"> </w:t>
      </w:r>
    </w:p>
    <w:p w:rsidR="007F460E" w:rsidRPr="007F460E" w:rsidRDefault="007F460E" w:rsidP="007F460E">
      <w:pPr>
        <w:spacing w:before="200" w:line="340" w:lineRule="auto"/>
        <w:rPr>
          <w:rFonts w:eastAsia="Calibri"/>
          <w:b/>
          <w:color w:val="000000"/>
          <w:sz w:val="24"/>
          <w:szCs w:val="22"/>
          <w:lang w:val="es-ES" w:eastAsia="es-ES"/>
        </w:rPr>
      </w:pPr>
    </w:p>
    <w:p w:rsidR="007F460E" w:rsidRDefault="007F460E" w:rsidP="007F460E">
      <w:pPr>
        <w:spacing w:line="340" w:lineRule="auto"/>
        <w:jc w:val="center"/>
        <w:rPr>
          <w:rFonts w:eastAsia="Calibri"/>
          <w:b/>
          <w:color w:val="000000"/>
          <w:sz w:val="24"/>
          <w:szCs w:val="22"/>
          <w:lang w:val="es-ES" w:eastAsia="es-ES"/>
        </w:rPr>
      </w:pPr>
    </w:p>
    <w:p w:rsidR="007F460E" w:rsidRPr="007F460E" w:rsidRDefault="007F460E" w:rsidP="007F460E">
      <w:pPr>
        <w:spacing w:line="340" w:lineRule="auto"/>
        <w:jc w:val="center"/>
        <w:rPr>
          <w:rFonts w:eastAsia="Calibri"/>
          <w:b/>
          <w:color w:val="000000"/>
          <w:sz w:val="24"/>
          <w:szCs w:val="22"/>
          <w:lang w:val="es-ES" w:eastAsia="es-ES"/>
        </w:rPr>
      </w:pPr>
      <w:r w:rsidRPr="007F460E">
        <w:rPr>
          <w:rFonts w:eastAsia="Calibri"/>
          <w:b/>
          <w:color w:val="000000"/>
          <w:sz w:val="24"/>
          <w:szCs w:val="22"/>
          <w:lang w:val="es-ES" w:eastAsia="es-ES"/>
        </w:rPr>
        <w:t>Sucre – Bolivia</w:t>
      </w:r>
    </w:p>
    <w:p w:rsidR="007F460E" w:rsidRPr="007F460E" w:rsidRDefault="007F460E" w:rsidP="007F460E">
      <w:pPr>
        <w:spacing w:line="340" w:lineRule="auto"/>
        <w:jc w:val="center"/>
        <w:rPr>
          <w:rFonts w:eastAsia="Calibri"/>
          <w:b/>
          <w:color w:val="000000"/>
          <w:sz w:val="24"/>
          <w:szCs w:val="22"/>
          <w:lang w:val="es-ES" w:eastAsia="es-ES"/>
        </w:rPr>
      </w:pPr>
      <w:r w:rsidRPr="007F460E">
        <w:rPr>
          <w:rFonts w:eastAsia="Calibri"/>
          <w:b/>
          <w:color w:val="000000"/>
          <w:sz w:val="24"/>
          <w:szCs w:val="22"/>
          <w:lang w:val="es-ES" w:eastAsia="es-ES"/>
        </w:rPr>
        <w:t>2026</w:t>
      </w:r>
    </w:p>
    <w:p w:rsidR="00606801" w:rsidRPr="009D137E" w:rsidRDefault="00B8257A" w:rsidP="007F460E">
      <w:pPr>
        <w:pStyle w:val="Ttulo1"/>
        <w:spacing w:line="360" w:lineRule="auto"/>
        <w:jc w:val="both"/>
        <w:rPr>
          <w:b/>
        </w:rPr>
      </w:pPr>
      <w:r w:rsidRPr="009D137E">
        <w:rPr>
          <w:rFonts w:eastAsia="Calibri"/>
          <w:b/>
        </w:rPr>
        <w:lastRenderedPageBreak/>
        <w:t>Introducción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Los pares craneales (también denominados nervios craneales) son doce pares de nervios que emergen directamente del encéfalo o del tronco del encéfalo, a diferencia de los nervios espinales que lo hacen desde la médula espinal. Constituyen la vía directa de comunicación entre el sistema nervioso central y las estructuras de la cabeza, el cuello, el tórax y el abdomen.</w:t>
      </w:r>
    </w:p>
    <w:p w:rsidR="00606801" w:rsidRPr="009D137E" w:rsidRDefault="00606801" w:rsidP="007F460E">
      <w:pPr>
        <w:spacing w:before="60" w:after="60" w:line="360" w:lineRule="auto"/>
        <w:jc w:val="both"/>
      </w:pP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Su estudio reviste gran importancia clínica porque la evaluación sistemática de cada par craneal permite localizar lesiones neurológicas con precisión, orientar el diagnóstico diferencial y monitorizar la evolución de enfermedades del sistema nervioso central y periférico.</w:t>
      </w:r>
    </w:p>
    <w:p w:rsidR="007F460E" w:rsidRPr="009D137E" w:rsidRDefault="007F460E" w:rsidP="007F460E">
      <w:pPr>
        <w:pStyle w:val="Ttulo1"/>
        <w:spacing w:line="360" w:lineRule="auto"/>
        <w:jc w:val="both"/>
        <w:rPr>
          <w:rFonts w:eastAsia="Calibri"/>
        </w:rPr>
      </w:pPr>
    </w:p>
    <w:p w:rsidR="00606801" w:rsidRPr="009D137E" w:rsidRDefault="00B8257A" w:rsidP="007F460E">
      <w:pPr>
        <w:pStyle w:val="Ttulo1"/>
        <w:spacing w:line="360" w:lineRule="auto"/>
        <w:jc w:val="both"/>
        <w:rPr>
          <w:b/>
        </w:rPr>
      </w:pPr>
      <w:r w:rsidRPr="009D137E">
        <w:rPr>
          <w:rFonts w:eastAsia="Calibri"/>
          <w:b/>
        </w:rPr>
        <w:t>Clasificación general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Los nervios craneales se clasifican según la naturaleza de las fibras que los componen:</w:t>
      </w:r>
    </w:p>
    <w:p w:rsidR="00606801" w:rsidRPr="009D137E" w:rsidRDefault="00606801" w:rsidP="007F460E">
      <w:pPr>
        <w:spacing w:before="60" w:after="60" w:line="360" w:lineRule="auto"/>
        <w:jc w:val="both"/>
      </w:pP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Nervios sensitivos (aferentes): conducen información sensorial hacia el encéfalo (I, II, VIII).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Nervios motores (eferentes): conducen impulsos motores desde el encéfalo hacia los músculos (III, IV, VI, XI, XII).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Nervios mixtos: poseen componentes sensitivos y motores (V, VII, IX, X).</w:t>
      </w:r>
    </w:p>
    <w:p w:rsidR="00606801" w:rsidRPr="009D137E" w:rsidRDefault="00606801" w:rsidP="007F460E">
      <w:pPr>
        <w:spacing w:before="60" w:after="60" w:line="360" w:lineRule="auto"/>
        <w:jc w:val="both"/>
      </w:pP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Algunos autores añaden una clasificación según su origen embriológico (</w:t>
      </w:r>
      <w:proofErr w:type="spellStart"/>
      <w:r w:rsidRPr="009D137E">
        <w:rPr>
          <w:rFonts w:eastAsia="Calibri"/>
          <w:color w:val="000000"/>
          <w:sz w:val="22"/>
          <w:szCs w:val="22"/>
        </w:rPr>
        <w:t>branquiomotores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9D137E">
        <w:rPr>
          <w:rFonts w:eastAsia="Calibri"/>
          <w:color w:val="000000"/>
          <w:sz w:val="22"/>
          <w:szCs w:val="22"/>
        </w:rPr>
        <w:t>viscerosensitivos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9D137E">
        <w:rPr>
          <w:rFonts w:eastAsia="Calibri"/>
          <w:color w:val="000000"/>
          <w:sz w:val="22"/>
          <w:szCs w:val="22"/>
        </w:rPr>
        <w:t>visceromotores</w:t>
      </w:r>
      <w:proofErr w:type="spellEnd"/>
      <w:r w:rsidRPr="009D137E">
        <w:rPr>
          <w:rFonts w:eastAsia="Calibri"/>
          <w:color w:val="000000"/>
          <w:sz w:val="22"/>
          <w:szCs w:val="22"/>
        </w:rPr>
        <w:t>), lo que resulta especialmente útil para comprender sus trayectos y relaciones anatómicas.</w:t>
      </w:r>
    </w:p>
    <w:p w:rsidR="00606801" w:rsidRPr="009D137E" w:rsidRDefault="00606801" w:rsidP="007F460E">
      <w:pPr>
        <w:spacing w:before="60" w:after="60" w:line="360" w:lineRule="auto"/>
        <w:jc w:val="both"/>
      </w:pPr>
    </w:p>
    <w:p w:rsidR="00606801" w:rsidRPr="009D137E" w:rsidRDefault="00B8257A" w:rsidP="007F460E">
      <w:pPr>
        <w:pStyle w:val="Ttulo1"/>
        <w:spacing w:line="360" w:lineRule="auto"/>
        <w:jc w:val="both"/>
        <w:rPr>
          <w:b/>
        </w:rPr>
      </w:pPr>
      <w:r w:rsidRPr="009D137E">
        <w:rPr>
          <w:rFonts w:eastAsia="Calibri"/>
          <w:b/>
        </w:rPr>
        <w:t>Descripción detallada por par craneal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I — Nervio Olfatorio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Es el nervio sensitivo de menor recorrido. Surge de las células neuroepiteliales de la mucosa olfatoria de la cavidad nasal y sus filetes atraviesan la lámina cribosa del etmoides para hacer sinapsis en el bulbo olfatorio. Su lesión produce anosmia (pérdida del olfato), frecuente en traumatismos craneofaciales o en etapas tempranas de la enfermedad de Alzheimer y Parkinson.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II — Nervio Óptico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lastRenderedPageBreak/>
        <w:t xml:space="preserve">Conduce la información visual desde la retina hasta el quiasma óptico, donde las fibras nasales se </w:t>
      </w:r>
      <w:proofErr w:type="spellStart"/>
      <w:r w:rsidRPr="009D137E">
        <w:rPr>
          <w:rFonts w:eastAsia="Calibri"/>
          <w:color w:val="000000"/>
          <w:sz w:val="22"/>
          <w:szCs w:val="22"/>
        </w:rPr>
        <w:t>decusan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. Técnicamente es un tracto del sistema nervioso central (recubierto de mielina </w:t>
      </w:r>
      <w:proofErr w:type="spellStart"/>
      <w:r w:rsidRPr="009D137E">
        <w:rPr>
          <w:rFonts w:eastAsia="Calibri"/>
          <w:color w:val="000000"/>
          <w:sz w:val="22"/>
          <w:szCs w:val="22"/>
        </w:rPr>
        <w:t>oligodendrocítica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). Su exploración incluye la agudeza visual, el campo visual y el fondo de ojo. Lesiones en distintos puntos producen patrones específicos: amaurosis (lesión del nervio), hemianopsias (lesión </w:t>
      </w:r>
      <w:proofErr w:type="spellStart"/>
      <w:r w:rsidRPr="009D137E">
        <w:rPr>
          <w:rFonts w:eastAsia="Calibri"/>
          <w:color w:val="000000"/>
          <w:sz w:val="22"/>
          <w:szCs w:val="22"/>
        </w:rPr>
        <w:t>quiasmática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 o </w:t>
      </w:r>
      <w:proofErr w:type="spellStart"/>
      <w:r w:rsidRPr="009D137E">
        <w:rPr>
          <w:rFonts w:eastAsia="Calibri"/>
          <w:color w:val="000000"/>
          <w:sz w:val="22"/>
          <w:szCs w:val="22"/>
        </w:rPr>
        <w:t>retroquiasmática</w:t>
      </w:r>
      <w:proofErr w:type="spellEnd"/>
      <w:r w:rsidRPr="009D137E">
        <w:rPr>
          <w:rFonts w:eastAsia="Calibri"/>
          <w:color w:val="000000"/>
          <w:sz w:val="22"/>
          <w:szCs w:val="22"/>
        </w:rPr>
        <w:t>).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III — Nervio Oculomotor (Motor Ocular Común)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 xml:space="preserve">Inerva cuatro de los seis músculos extraoculares (recto superior, recto inferior, recto medial y oblicuo inferior), el elevador del párpado superior y la musculatura intrínseca del ojo mediante fibras parasimpáticas (constrictor pupilar y músculo ciliar). Su parálisis causa </w:t>
      </w:r>
      <w:proofErr w:type="spellStart"/>
      <w:r w:rsidRPr="009D137E">
        <w:rPr>
          <w:rFonts w:eastAsia="Calibri"/>
          <w:color w:val="000000"/>
          <w:sz w:val="22"/>
          <w:szCs w:val="22"/>
        </w:rPr>
        <w:t>ptosis</w:t>
      </w:r>
      <w:proofErr w:type="spellEnd"/>
      <w:r w:rsidRPr="009D137E">
        <w:rPr>
          <w:rFonts w:eastAsia="Calibri"/>
          <w:color w:val="000000"/>
          <w:sz w:val="22"/>
          <w:szCs w:val="22"/>
        </w:rPr>
        <w:t>, midriasis, estrabismo divergente y diplopía.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IV — Nervio Troclear (Patético)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Es el único nervio craneal que emerge dorsalmente del tronco del encéfalo. Inerva exclusivamente el músculo oblicuo superior, responsable de la depresión, intorsión y abducción del globo ocular. Su parálisis obliga al paciente a inclinar la cabeza hacia el lado contralateral para compensar la diplopía vertical.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V — Nervio Trigémino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Es el nervio craneal más voluminoso. Tiene tres ramas: oftálmica (V1), maxilar (V2) y mandibular (V3). Proporciona sensibilidad general a casi toda la cara, la córnea, los senos paranasales, los dientes y las meninges anteriores. La rama mandibular es mixta e inerva los músculos de la masticación. La neuralgia del trigémino es una de las causas más incapacitantes de dolor facial.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 xml:space="preserve">Par VI — Nervio </w:t>
      </w:r>
      <w:proofErr w:type="spellStart"/>
      <w:r w:rsidRPr="009D137E">
        <w:rPr>
          <w:rFonts w:eastAsia="Calibri"/>
        </w:rPr>
        <w:t>Abducens</w:t>
      </w:r>
      <w:proofErr w:type="spellEnd"/>
      <w:r w:rsidRPr="009D137E">
        <w:rPr>
          <w:rFonts w:eastAsia="Calibri"/>
        </w:rPr>
        <w:t xml:space="preserve"> (Motor Ocular Externo)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Inerva únicamente el músculo recto lateral, responsable de la abducción ocular. Es especialmente vulnerable a los aumentos de presión intracraneal por su largo recorrido intracraneal. Su parálisis produce estrabismo convergente e incapacidad para abducir el ojo afectado.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VII — Nervio Facial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Nervio mixto con componentes motores, sensitivos y parasimpáticos. Inerva todos los músculos de la expresión facial, el músculo estilohioideo y el vientre posterior del digástrico. Transporta el gusto de los dos tercios anteriores de la lengua y regula la secreción de las glándulas lagrimales, submaxilares y sublinguales. La parálisis de Bell es la neuropatía periférica facial más común.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VIII — Nervio Vestibulococlear (Estatoacústico)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lastRenderedPageBreak/>
        <w:t xml:space="preserve">Puramente sensitivo, con dos ramas: la coclear (audición) y la vestibular (equilibrio y posición). Su exploración implica pruebas auditivas (Rinne, Weber) y pruebas de equilibrio. Las lesiones producen hipoacusia, </w:t>
      </w:r>
      <w:proofErr w:type="spellStart"/>
      <w:r w:rsidRPr="009D137E">
        <w:rPr>
          <w:rFonts w:eastAsia="Calibri"/>
          <w:color w:val="000000"/>
          <w:sz w:val="22"/>
          <w:szCs w:val="22"/>
        </w:rPr>
        <w:t>tinnitus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 o vértigo según el componente afectado. Los </w:t>
      </w:r>
      <w:proofErr w:type="spellStart"/>
      <w:r w:rsidRPr="009D137E">
        <w:rPr>
          <w:rFonts w:eastAsia="Calibri"/>
          <w:color w:val="000000"/>
          <w:sz w:val="22"/>
          <w:szCs w:val="22"/>
        </w:rPr>
        <w:t>schwannomas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 vestibulares (neurinomas del acústico) son los tumores más frecuentes del ángulo </w:t>
      </w:r>
      <w:proofErr w:type="spellStart"/>
      <w:r w:rsidRPr="009D137E">
        <w:rPr>
          <w:rFonts w:eastAsia="Calibri"/>
          <w:color w:val="000000"/>
          <w:sz w:val="22"/>
          <w:szCs w:val="22"/>
        </w:rPr>
        <w:t>pontocerebeloso</w:t>
      </w:r>
      <w:proofErr w:type="spellEnd"/>
      <w:r w:rsidRPr="009D137E">
        <w:rPr>
          <w:rFonts w:eastAsia="Calibri"/>
          <w:color w:val="000000"/>
          <w:sz w:val="22"/>
          <w:szCs w:val="22"/>
        </w:rPr>
        <w:t>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IX — Nervio Glosofaríngeo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 xml:space="preserve">Inerva sensitivamente el tercio posterior de la lengua (gusto y sensibilidad general), la faringe, el oído medio y el seno carotídeo. Motor para el músculo </w:t>
      </w:r>
      <w:proofErr w:type="spellStart"/>
      <w:r w:rsidRPr="009D137E">
        <w:rPr>
          <w:rFonts w:eastAsia="Calibri"/>
          <w:color w:val="000000"/>
          <w:sz w:val="22"/>
          <w:szCs w:val="22"/>
        </w:rPr>
        <w:t>estilofaríngeo</w:t>
      </w:r>
      <w:proofErr w:type="spellEnd"/>
      <w:r w:rsidRPr="009D137E">
        <w:rPr>
          <w:rFonts w:eastAsia="Calibri"/>
          <w:color w:val="000000"/>
          <w:sz w:val="22"/>
          <w:szCs w:val="22"/>
        </w:rPr>
        <w:t xml:space="preserve"> y secretor para la glándula parótida (vía fibras parasimpáticas preganglionares). Participa en el reflejo faríngeo (nauseoso).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X — Nervio Vago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El nervio de mayor distribución del organismo. Aporta inervación parasimpática al corazón, pulmones y tubo digestivo hasta el ángulo esplénico del colon. Motor para la faringe y la laringe (fonación y deglución). Su lesión bilateral produce afonía, disfagia grave y taquicardia. La rama recurrente laríngea es especialmente susceptible en cirugías tiroideas.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XI — Nervio Accesorio (Espinal)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Inerva los músculos esternocleidomastoideo y trapecio. Facilita la rotación de la cabeza hacia el lado contralateral y la elevación del hombro ipsilateral. Su lesión (frecuente en vaciamientos ganglionares cervicales) produce debilidad o parálisis de esos movimientos y escápula alada.</w:t>
      </w:r>
    </w:p>
    <w:p w:rsidR="00606801" w:rsidRPr="009D137E" w:rsidRDefault="00B8257A" w:rsidP="007F460E">
      <w:pPr>
        <w:pStyle w:val="Ttulo2"/>
        <w:spacing w:line="360" w:lineRule="auto"/>
        <w:jc w:val="both"/>
      </w:pPr>
      <w:r w:rsidRPr="009D137E">
        <w:rPr>
          <w:rFonts w:eastAsia="Calibri"/>
        </w:rPr>
        <w:t>Par XII — Nervio Hipogloso</w:t>
      </w:r>
    </w:p>
    <w:p w:rsidR="00606801" w:rsidRPr="009D137E" w:rsidRDefault="00B8257A" w:rsidP="007F460E">
      <w:pPr>
        <w:spacing w:before="80" w:after="80" w:line="360" w:lineRule="auto"/>
        <w:jc w:val="both"/>
        <w:rPr>
          <w:rFonts w:eastAsia="Calibri"/>
          <w:color w:val="000000"/>
          <w:sz w:val="22"/>
          <w:szCs w:val="22"/>
        </w:rPr>
      </w:pPr>
      <w:r w:rsidRPr="009D137E">
        <w:rPr>
          <w:rFonts w:eastAsia="Calibri"/>
          <w:color w:val="000000"/>
          <w:sz w:val="22"/>
          <w:szCs w:val="22"/>
        </w:rPr>
        <w:t>Motor para todos los músculos intrínsecos y extrínsecos de la lengua (excepto el palatogloso). Su exploración consiste en pedir al paciente que protruya la lengua: en lesiones periféricas, la lengua desvía hacia el lado lesionado por acción de los músculos contralaterales sin oposición. Las lesiones bilaterales producen disartria y disfagia severas.</w:t>
      </w:r>
    </w:p>
    <w:p w:rsidR="000263A9" w:rsidRPr="009D137E" w:rsidRDefault="000263A9" w:rsidP="007F460E">
      <w:pPr>
        <w:spacing w:before="80" w:after="80" w:line="360" w:lineRule="auto"/>
        <w:jc w:val="both"/>
      </w:pPr>
    </w:p>
    <w:p w:rsidR="00606801" w:rsidRPr="009D137E" w:rsidRDefault="00B8257A" w:rsidP="007F460E">
      <w:pPr>
        <w:pStyle w:val="Ttulo1"/>
        <w:spacing w:line="360" w:lineRule="auto"/>
        <w:jc w:val="both"/>
        <w:rPr>
          <w:b/>
        </w:rPr>
      </w:pPr>
      <w:r w:rsidRPr="009D137E">
        <w:rPr>
          <w:rFonts w:eastAsia="Calibri"/>
          <w:b/>
        </w:rPr>
        <w:t>Exploración neurológica de los pares craneales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 xml:space="preserve">La evaluación sistemática de los pares craneales forma parte esencial del examen neurológico. A </w:t>
      </w:r>
      <w:r w:rsidR="007F460E" w:rsidRPr="009D137E">
        <w:rPr>
          <w:rFonts w:eastAsia="Calibri"/>
          <w:color w:val="000000"/>
          <w:sz w:val="22"/>
          <w:szCs w:val="22"/>
        </w:rPr>
        <w:t>continuación,</w:t>
      </w:r>
      <w:r w:rsidRPr="009D137E">
        <w:rPr>
          <w:rFonts w:eastAsia="Calibri"/>
          <w:color w:val="000000"/>
          <w:sz w:val="22"/>
          <w:szCs w:val="22"/>
        </w:rPr>
        <w:t xml:space="preserve"> se describen las pruebas básicas para cada par:</w:t>
      </w:r>
    </w:p>
    <w:p w:rsidR="00606801" w:rsidRPr="009D137E" w:rsidRDefault="00606801" w:rsidP="007F460E">
      <w:pPr>
        <w:spacing w:before="60" w:after="60" w:line="360" w:lineRule="auto"/>
        <w:jc w:val="both"/>
      </w:pP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I (Olfatorio): presentar sustancias odoríferas (café, vainilla) a cada narina por separado.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II (Óptico): agudeza visual (tabla de Snellen), campos visuales por confrontación, reflejo fotomotor.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 xml:space="preserve">III, IV, VI (Oculomotores): seguimiento visual en "H", evaluar </w:t>
      </w:r>
      <w:proofErr w:type="spellStart"/>
      <w:r w:rsidRPr="009D137E">
        <w:rPr>
          <w:rFonts w:eastAsia="Calibri"/>
          <w:sz w:val="22"/>
          <w:szCs w:val="22"/>
        </w:rPr>
        <w:t>ptosis</w:t>
      </w:r>
      <w:proofErr w:type="spellEnd"/>
      <w:r w:rsidRPr="009D137E">
        <w:rPr>
          <w:rFonts w:eastAsia="Calibri"/>
          <w:sz w:val="22"/>
          <w:szCs w:val="22"/>
        </w:rPr>
        <w:t xml:space="preserve"> y tamaño pupilar.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lastRenderedPageBreak/>
        <w:t xml:space="preserve">• </w:t>
      </w:r>
      <w:r w:rsidRPr="009D137E">
        <w:rPr>
          <w:rFonts w:eastAsia="Calibri"/>
          <w:sz w:val="22"/>
          <w:szCs w:val="22"/>
        </w:rPr>
        <w:t>V (Trigémino): sensibilidad táctil y dolorosa facial, reflejo corneal, fuerza masticatoria.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VII (Facial): simetría facial en reposo y en movimiento (fruncir ceño, cerrar ojos, sonreír).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 xml:space="preserve">VIII (Vestibulococlear): prueba de voz susurrada, Rinne y Weber con diapasón, Romberg, </w:t>
      </w:r>
      <w:proofErr w:type="spellStart"/>
      <w:r w:rsidRPr="009D137E">
        <w:rPr>
          <w:rFonts w:eastAsia="Calibri"/>
          <w:sz w:val="22"/>
          <w:szCs w:val="22"/>
        </w:rPr>
        <w:t>Unterberger</w:t>
      </w:r>
      <w:proofErr w:type="spellEnd"/>
      <w:r w:rsidRPr="009D137E">
        <w:rPr>
          <w:rFonts w:eastAsia="Calibri"/>
          <w:sz w:val="22"/>
          <w:szCs w:val="22"/>
        </w:rPr>
        <w:t>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IX y X (Glosofaríngeo/Vago): voz, reflejo nauseoso, elevación del velo del paladar.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XI (Accesorio): rotación cefálica contra resistencia, elevación de hombros.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XII (Hipogloso): protrusión lingual, evaluación de atrofias o fasciculaciones.</w:t>
      </w:r>
    </w:p>
    <w:p w:rsidR="007F460E" w:rsidRPr="009D137E" w:rsidRDefault="007F460E" w:rsidP="007F460E">
      <w:pPr>
        <w:pStyle w:val="Ttulo1"/>
        <w:spacing w:line="360" w:lineRule="auto"/>
        <w:jc w:val="both"/>
        <w:rPr>
          <w:rFonts w:eastAsia="Calibri"/>
        </w:rPr>
      </w:pPr>
    </w:p>
    <w:p w:rsidR="00606801" w:rsidRPr="009D137E" w:rsidRDefault="00B8257A" w:rsidP="007F460E">
      <w:pPr>
        <w:pStyle w:val="Ttulo1"/>
        <w:spacing w:line="360" w:lineRule="auto"/>
        <w:jc w:val="both"/>
        <w:rPr>
          <w:b/>
        </w:rPr>
      </w:pPr>
      <w:r w:rsidRPr="009D137E">
        <w:rPr>
          <w:rFonts w:eastAsia="Calibri"/>
          <w:b/>
        </w:rPr>
        <w:t>Importancia clínica y patologías frecuentes</w:t>
      </w:r>
    </w:p>
    <w:p w:rsidR="00606801" w:rsidRPr="009D137E" w:rsidRDefault="00B8257A" w:rsidP="007F460E">
      <w:pPr>
        <w:spacing w:before="80" w:after="80" w:line="360" w:lineRule="auto"/>
        <w:jc w:val="both"/>
      </w:pPr>
      <w:r w:rsidRPr="009D137E">
        <w:rPr>
          <w:rFonts w:eastAsia="Calibri"/>
          <w:color w:val="000000"/>
          <w:sz w:val="22"/>
          <w:szCs w:val="22"/>
        </w:rPr>
        <w:t>El conocimiento detallado de los pares craneales permite al clínico realizar una topografía neurológica precisa. Algunas de las condiciones más relevante</w:t>
      </w:r>
      <w:bookmarkStart w:id="0" w:name="_GoBack"/>
      <w:bookmarkEnd w:id="0"/>
      <w:r w:rsidRPr="009D137E">
        <w:rPr>
          <w:rFonts w:eastAsia="Calibri"/>
          <w:color w:val="000000"/>
          <w:sz w:val="22"/>
          <w:szCs w:val="22"/>
        </w:rPr>
        <w:t>s incluyen:</w:t>
      </w:r>
    </w:p>
    <w:p w:rsidR="00606801" w:rsidRPr="009D137E" w:rsidRDefault="00606801" w:rsidP="007F460E">
      <w:pPr>
        <w:spacing w:before="60" w:after="60" w:line="360" w:lineRule="auto"/>
        <w:jc w:val="both"/>
      </w:pP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Parálisis de Bell: parálisis facial periférica idiopática del VII par, frecuentemente de origen viral.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Neuralgia del trigémino: dolor facial paroxístico en el territorio del V par, a veces compresivo.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 xml:space="preserve">Síndrome de Horner: </w:t>
      </w:r>
      <w:proofErr w:type="spellStart"/>
      <w:r w:rsidRPr="009D137E">
        <w:rPr>
          <w:rFonts w:eastAsia="Calibri"/>
          <w:sz w:val="22"/>
          <w:szCs w:val="22"/>
        </w:rPr>
        <w:t>ptosis</w:t>
      </w:r>
      <w:proofErr w:type="spellEnd"/>
      <w:r w:rsidRPr="009D137E">
        <w:rPr>
          <w:rFonts w:eastAsia="Calibri"/>
          <w:sz w:val="22"/>
          <w:szCs w:val="22"/>
        </w:rPr>
        <w:t>, miosis y anhidrosis por lesión de fibras simpáticas (afecta indirectamente al III par).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 xml:space="preserve">Síndrome del ángulo </w:t>
      </w:r>
      <w:proofErr w:type="spellStart"/>
      <w:r w:rsidRPr="009D137E">
        <w:rPr>
          <w:rFonts w:eastAsia="Calibri"/>
          <w:sz w:val="22"/>
          <w:szCs w:val="22"/>
        </w:rPr>
        <w:t>pontocerebeloso</w:t>
      </w:r>
      <w:proofErr w:type="spellEnd"/>
      <w:r w:rsidRPr="009D137E">
        <w:rPr>
          <w:rFonts w:eastAsia="Calibri"/>
          <w:sz w:val="22"/>
          <w:szCs w:val="22"/>
        </w:rPr>
        <w:t xml:space="preserve">: lesión de V, VII y VIII, típico </w:t>
      </w:r>
      <w:r w:rsidR="007F460E" w:rsidRPr="009D137E">
        <w:rPr>
          <w:rFonts w:eastAsia="Calibri"/>
          <w:sz w:val="22"/>
          <w:szCs w:val="22"/>
        </w:rPr>
        <w:t>de la neurinoma</w:t>
      </w:r>
      <w:r w:rsidRPr="009D137E">
        <w:rPr>
          <w:rFonts w:eastAsia="Calibri"/>
          <w:sz w:val="22"/>
          <w:szCs w:val="22"/>
        </w:rPr>
        <w:t xml:space="preserve"> del acústico.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proofErr w:type="spellStart"/>
      <w:r w:rsidRPr="009D137E">
        <w:rPr>
          <w:rFonts w:eastAsia="Calibri"/>
          <w:sz w:val="22"/>
          <w:szCs w:val="22"/>
        </w:rPr>
        <w:t>Oftalmoparesia</w:t>
      </w:r>
      <w:proofErr w:type="spellEnd"/>
      <w:r w:rsidRPr="009D137E">
        <w:rPr>
          <w:rFonts w:eastAsia="Calibri"/>
          <w:sz w:val="22"/>
          <w:szCs w:val="22"/>
        </w:rPr>
        <w:t xml:space="preserve"> por aneurisma de la comunicante posterior: compresión del III par con midriasis.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 xml:space="preserve">Síndrome de </w:t>
      </w:r>
      <w:proofErr w:type="spellStart"/>
      <w:r w:rsidRPr="009D137E">
        <w:rPr>
          <w:rFonts w:eastAsia="Calibri"/>
          <w:sz w:val="22"/>
          <w:szCs w:val="22"/>
        </w:rPr>
        <w:t>Wallenberg</w:t>
      </w:r>
      <w:proofErr w:type="spellEnd"/>
      <w:r w:rsidRPr="009D137E">
        <w:rPr>
          <w:rFonts w:eastAsia="Calibri"/>
          <w:sz w:val="22"/>
          <w:szCs w:val="22"/>
        </w:rPr>
        <w:t>: afectación de V, VIII, IX, X y XI por infarto de la arteria cerebelosa posteroinferior.</w:t>
      </w:r>
    </w:p>
    <w:p w:rsidR="00606801" w:rsidRPr="009D137E" w:rsidRDefault="00B8257A" w:rsidP="007F460E">
      <w:pPr>
        <w:spacing w:before="40" w:after="40" w:line="360" w:lineRule="auto"/>
        <w:ind w:left="431" w:hanging="288"/>
        <w:jc w:val="both"/>
      </w:pPr>
      <w:r w:rsidRPr="009D137E">
        <w:rPr>
          <w:rFonts w:eastAsia="Calibri"/>
          <w:b/>
          <w:bCs/>
          <w:color w:val="2E74B5"/>
          <w:sz w:val="22"/>
          <w:szCs w:val="22"/>
        </w:rPr>
        <w:t xml:space="preserve">• </w:t>
      </w:r>
      <w:r w:rsidRPr="009D137E">
        <w:rPr>
          <w:rFonts w:eastAsia="Calibri"/>
          <w:sz w:val="22"/>
          <w:szCs w:val="22"/>
        </w:rPr>
        <w:t>Esclerosis lateral amiotrófica: puede comprometer el XII par causando atrofia y fasciculaciones linguales.</w:t>
      </w:r>
    </w:p>
    <w:p w:rsidR="00606801" w:rsidRDefault="00606801" w:rsidP="007F460E">
      <w:pPr>
        <w:spacing w:before="40" w:after="40" w:line="360" w:lineRule="auto"/>
        <w:jc w:val="both"/>
      </w:pPr>
    </w:p>
    <w:sectPr w:rsidR="00606801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7DDC" w:rsidRDefault="00517DDC">
      <w:r>
        <w:separator/>
      </w:r>
    </w:p>
  </w:endnote>
  <w:endnote w:type="continuationSeparator" w:id="0">
    <w:p w:rsidR="00517DDC" w:rsidRDefault="00517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7DDC" w:rsidRDefault="00517DDC">
      <w:r>
        <w:separator/>
      </w:r>
    </w:p>
  </w:footnote>
  <w:footnote w:type="continuationSeparator" w:id="0">
    <w:p w:rsidR="00517DDC" w:rsidRDefault="00517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5916D4"/>
    <w:multiLevelType w:val="hybridMultilevel"/>
    <w:tmpl w:val="D4A2F150"/>
    <w:lvl w:ilvl="0" w:tplc="4F26FB4E">
      <w:start w:val="1"/>
      <w:numFmt w:val="bullet"/>
      <w:lvlText w:val="●"/>
      <w:lvlJc w:val="left"/>
      <w:pPr>
        <w:ind w:left="720" w:hanging="360"/>
      </w:pPr>
    </w:lvl>
    <w:lvl w:ilvl="1" w:tplc="8AAE9EA6">
      <w:start w:val="1"/>
      <w:numFmt w:val="bullet"/>
      <w:lvlText w:val="○"/>
      <w:lvlJc w:val="left"/>
      <w:pPr>
        <w:ind w:left="1440" w:hanging="360"/>
      </w:pPr>
    </w:lvl>
    <w:lvl w:ilvl="2" w:tplc="BB681570">
      <w:start w:val="1"/>
      <w:numFmt w:val="bullet"/>
      <w:lvlText w:val="■"/>
      <w:lvlJc w:val="left"/>
      <w:pPr>
        <w:ind w:left="2160" w:hanging="360"/>
      </w:pPr>
    </w:lvl>
    <w:lvl w:ilvl="3" w:tplc="B4D8623E">
      <w:start w:val="1"/>
      <w:numFmt w:val="bullet"/>
      <w:lvlText w:val="●"/>
      <w:lvlJc w:val="left"/>
      <w:pPr>
        <w:ind w:left="2880" w:hanging="360"/>
      </w:pPr>
    </w:lvl>
    <w:lvl w:ilvl="4" w:tplc="45123A7E">
      <w:start w:val="1"/>
      <w:numFmt w:val="bullet"/>
      <w:lvlText w:val="○"/>
      <w:lvlJc w:val="left"/>
      <w:pPr>
        <w:ind w:left="3600" w:hanging="360"/>
      </w:pPr>
    </w:lvl>
    <w:lvl w:ilvl="5" w:tplc="4C1EA5CC">
      <w:start w:val="1"/>
      <w:numFmt w:val="bullet"/>
      <w:lvlText w:val="■"/>
      <w:lvlJc w:val="left"/>
      <w:pPr>
        <w:ind w:left="4320" w:hanging="360"/>
      </w:pPr>
    </w:lvl>
    <w:lvl w:ilvl="6" w:tplc="0936AE56">
      <w:start w:val="1"/>
      <w:numFmt w:val="bullet"/>
      <w:lvlText w:val="●"/>
      <w:lvlJc w:val="left"/>
      <w:pPr>
        <w:ind w:left="5040" w:hanging="360"/>
      </w:pPr>
    </w:lvl>
    <w:lvl w:ilvl="7" w:tplc="964427DA">
      <w:start w:val="1"/>
      <w:numFmt w:val="bullet"/>
      <w:lvlText w:val="●"/>
      <w:lvlJc w:val="left"/>
      <w:pPr>
        <w:ind w:left="5760" w:hanging="360"/>
      </w:pPr>
    </w:lvl>
    <w:lvl w:ilvl="8" w:tplc="2A88FB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801"/>
    <w:rsid w:val="000263A9"/>
    <w:rsid w:val="00415330"/>
    <w:rsid w:val="00517DDC"/>
    <w:rsid w:val="00606801"/>
    <w:rsid w:val="007F460E"/>
    <w:rsid w:val="009D137E"/>
    <w:rsid w:val="00B8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C53D49"/>
  <w15:docId w15:val="{419321CF-2782-4B24-B3E5-73DD768F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460E"/>
  </w:style>
  <w:style w:type="paragraph" w:styleId="Ttulo1">
    <w:name w:val="heading 1"/>
    <w:uiPriority w:val="9"/>
    <w:qFormat/>
    <w:rsid w:val="007F460E"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rsid w:val="007F460E"/>
    <w:pPr>
      <w:outlineLvl w:val="1"/>
    </w:pPr>
    <w:rPr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F46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460E"/>
  </w:style>
  <w:style w:type="paragraph" w:styleId="Piedepgina">
    <w:name w:val="footer"/>
    <w:basedOn w:val="Normal"/>
    <w:link w:val="PiedepginaCar"/>
    <w:uiPriority w:val="99"/>
    <w:unhideWhenUsed/>
    <w:rsid w:val="007F46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4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1250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</cp:lastModifiedBy>
  <cp:revision>3</cp:revision>
  <dcterms:created xsi:type="dcterms:W3CDTF">2026-09-05T01:48:00Z</dcterms:created>
  <dcterms:modified xsi:type="dcterms:W3CDTF">2026-09-07T02:44:00Z</dcterms:modified>
</cp:coreProperties>
</file>