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300"/>
        <w:jc w:val="center"/>
      </w:pPr>
      <w:r>
        <w:rPr>
          <w:rFonts w:ascii="Arial" w:cs="Arial" w:eastAsia="Arial" w:hAnsi="Arial"/>
          <w:b/>
          <w:bCs/>
          <w:color w:val="1B3A5C"/>
          <w:sz w:val="56"/>
          <w:szCs w:val="56"/>
        </w:rPr>
        <w:t xml:space="preserve">Agentic AI Design Patterns</w:t>
      </w:r>
    </w:p>
    <w:p>
      <w:pPr>
        <w:spacing w:after="600"/>
        <w:jc w:val="center"/>
      </w:pPr>
      <w:r>
        <w:rPr>
          <w:rFonts w:ascii="Arial" w:cs="Arial" w:eastAsia="Arial" w:hAnsi="Arial"/>
          <w:color w:val="555555"/>
          <w:sz w:val="36"/>
          <w:szCs w:val="36"/>
        </w:rPr>
        <w:t xml:space="preserve">A Comprehensive Research Survey</w:t>
      </w:r>
    </w:p>
    <w:p>
      <w:pPr>
        <w:spacing w:after="1200"/>
        <w:jc w:val="center"/>
      </w:pPr>
      <w:r>
        <w:rPr>
          <w:rFonts w:ascii="Arial" w:cs="Arial" w:eastAsia="Arial" w:hAnsi="Arial"/>
          <w:i/>
          <w:iCs/>
          <w:color w:val="777777"/>
          <w:sz w:val="26"/>
          <w:szCs w:val="26"/>
        </w:rPr>
        <w:t xml:space="preserve">From Reasoning and Reflection to Multi-Agent Collaboration</w:t>
      </w:r>
    </w:p>
    <w:p>
      <w:pPr>
        <w:jc w:val="center"/>
      </w:pPr>
      <w:r>
        <w:rPr>
          <w:rFonts w:ascii="Arial" w:cs="Arial" w:eastAsia="Arial" w:hAnsi="Arial"/>
          <w:color w:val="888888"/>
          <w:sz w:val="24"/>
          <w:szCs w:val="24"/>
        </w:rPr>
        <w:t xml:space="preserve">Deep Research Report  |  March 2026</w:t>
      </w:r>
    </w:p>
    <w:p>
      <w:pPr>
        <w:spacing w:before="200"/>
        <w:jc w:val="center"/>
      </w:pPr>
      <w:r>
        <w:rPr>
          <w:rFonts w:ascii="Arial" w:cs="Arial" w:eastAsia="Arial" w:hAnsi="Arial"/>
          <w:color w:val="999999"/>
          <w:sz w:val="22"/>
          <w:szCs w:val="22"/>
        </w:rPr>
        <w:t xml:space="preserve">Compiled with 20+ academic references in BibTeX format</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200" w:line="276"/>
      </w:pPr>
      <w:r>
        <w:rPr>
          <w:rFonts w:ascii="Arial" w:cs="Arial" w:eastAsia="Arial" w:hAnsi="Arial"/>
          <w:sz w:val="24"/>
          <w:szCs w:val="24"/>
        </w:rPr>
        <w:t xml:space="preserve">The emergence of large language models (LLMs) has catalyzed a paradigm shift from static, single-turn AI interactions toward autonomous, goal-driven systems known as AI agents. Where earlier LLM applications relied on direct prompting to produce a single response, agentic AI systems orchestrate multi-step workflows in which models reason about problems, plan sequences of actions, invoke external tools, reflect on intermediate results, and collaborate with other agents or humans to accomplish complex objectives. Andrew Ng, in his influential 2024 keynote, identified agentic workflows as the most promising frontier in applied AI, arguing that they hold far greater potential than incremental improvements to base model capabilities [Ng, BUILD 2024].</w:t>
      </w:r>
    </w:p>
    <w:p>
      <w:pPr>
        <w:spacing w:after="200" w:line="276"/>
      </w:pPr>
      <w:r>
        <w:rPr>
          <w:rFonts w:ascii="Arial" w:cs="Arial" w:eastAsia="Arial" w:hAnsi="Arial"/>
          <w:sz w:val="24"/>
          <w:szCs w:val="24"/>
        </w:rPr>
        <w:t xml:space="preserve">Agentic design patterns provide the architectural blueprints for building such systems. They codify recurring strategies for structuring how agents think, act, learn, and coordinate. Just as software engineering benefits from catalogued design patterns (observer, factory, strategy, etc.), the nascent field of agentic AI is converging on a set of core patterns—each with distinct trade-offs in accuracy, latency, cost, and interpretability. This report provides a comprehensive survey of these patterns, grounded in the primary academic literature from 2022–2025.</w:t>
      </w:r>
    </w:p>
    <w:p>
      <w:pPr>
        <w:spacing w:after="200" w:line="276"/>
      </w:pPr>
      <w:r>
        <w:rPr>
          <w:rFonts w:ascii="Arial" w:cs="Arial" w:eastAsia="Arial" w:hAnsi="Arial"/>
          <w:sz w:val="24"/>
          <w:szCs w:val="24"/>
        </w:rPr>
        <w:t xml:space="preserve">The patterns covered in this report span four broad categories: (1) reasoning-enhanced patterns that structure how agents deliberate internally, (2) self-evaluation and reflection patterns that enable agents to critique and improve their own outputs, (3) tool-use and augmentation patterns that extend agents beyond the knowledge baked into their weights, and (4) multi-agent collaboration patterns that distribute complex tasks across ensembles of specialized agents. We examine the foundational papers behind each pattern, discuss practical implementations, analyze trade-offs, and conclude with an outlook on emerging trends and open challenges.</w:t>
      </w:r>
    </w:p>
    <w:p>
      <w:pPr>
        <w:pStyle w:val="Heading1"/>
      </w:pPr>
      <w:r>
        <w:t xml:space="preserve">2. Reasoning-Enhanced Patterns</w:t>
      </w:r>
    </w:p>
    <w:p>
      <w:pPr>
        <w:spacing w:after="200" w:line="276"/>
      </w:pPr>
      <w:r>
        <w:rPr>
          <w:rFonts w:ascii="Arial" w:cs="Arial" w:eastAsia="Arial" w:hAnsi="Arial"/>
          <w:sz w:val="24"/>
          <w:szCs w:val="24"/>
        </w:rPr>
        <w:t xml:space="preserve">A defining feature of agentic AI is the ability to reason through problems before acting. Reasoning-enhanced patterns provide structure for the internal deliberation that precedes and guides an agent's actions. These patterns range from linear chains of thought to branching tree structures and arbitrary graph topologies, each offering different trade-offs between exploration breadth and computational cost.</w:t>
      </w:r>
    </w:p>
    <w:p>
      <w:pPr>
        <w:pStyle w:val="Heading2"/>
      </w:pPr>
      <w:r>
        <w:t xml:space="preserve">2.1 Chain-of-Thought (CoT) Prompting</w:t>
      </w:r>
    </w:p>
    <w:p>
      <w:pPr>
        <w:spacing w:after="200" w:line="276"/>
      </w:pPr>
      <w:r>
        <w:rPr>
          <w:rFonts w:ascii="Arial" w:cs="Arial" w:eastAsia="Arial" w:hAnsi="Arial"/>
          <w:sz w:val="24"/>
          <w:szCs w:val="24"/>
        </w:rPr>
        <w:t xml:space="preserve">Chain-of-Thought prompting, introduced by Wei et al. (2022), demonstrated that encouraging a model to produce intermediate reasoning steps dramatically improves performance on complex tasks. Rather than jumping directly from question to answer, the model generates a linear sequence of reasoning steps—each building on the last—before arriving at a conclusion. The original study showed that providing just eight exemplars with explicit reasoning chains to a 540-billion-parameter model achieved state-of-the-art accuracy on the GSM8K math benchmark, surpassing models that had been specifically fine-tuned for arithmetic reasoning [wei2022chain].</w:t>
      </w:r>
    </w:p>
    <w:p>
      <w:pPr>
        <w:spacing w:after="200" w:line="276"/>
      </w:pPr>
      <w:r>
        <w:rPr>
          <w:rFonts w:ascii="Arial" w:cs="Arial" w:eastAsia="Arial" w:hAnsi="Arial"/>
          <w:sz w:val="24"/>
          <w:szCs w:val="24"/>
        </w:rPr>
        <w:t xml:space="preserve">The impact of CoT extends well beyond mathematics. Experiments across arithmetic, commonsense, and symbolic reasoning tasks all showed substantial improvements. The technique is notable for its simplicity: it requires no model fine-tuning, no architectural changes, and no additional training data—only a change in the prompt structure. This accessibility made CoT one of the most widely adopted techniques in the LLM practitioner's toolkit.</w:t>
      </w:r>
    </w:p>
    <w:p>
      <w:pPr>
        <w:spacing w:after="200" w:line="276"/>
      </w:pPr>
      <w:r>
        <w:rPr>
          <w:rFonts w:ascii="Arial" w:cs="Arial" w:eastAsia="Arial" w:hAnsi="Arial"/>
          <w:sz w:val="24"/>
          <w:szCs w:val="24"/>
        </w:rPr>
        <w:t xml:space="preserve">Two major variants emerged shortly after. Zero-Shot CoT, proposed by Kojima et al. (2022), showed that simply appending the phrase “Let’s think step by step” to a prompt could elicit reasoning chains without any provided examples [kojima2022zero]. Self-Consistency, introduced by Wang et al. (2023), improved upon standard CoT by sampling multiple diverse reasoning paths and selecting the answer that appeared most frequently across them, effectively using majority voting to reduce the variance inherent in any single reasoning chain [wang2023selfconsistency].</w:t>
      </w:r>
    </w:p>
    <w:p>
      <w:pPr>
        <w:spacing w:after="200" w:line="276"/>
      </w:pPr>
      <w:r>
        <w:rPr>
          <w:rFonts w:ascii="Arial" w:cs="Arial" w:eastAsia="Arial" w:hAnsi="Arial"/>
          <w:sz w:val="24"/>
          <w:szCs w:val="24"/>
        </w:rPr>
        <w:t xml:space="preserve">CoT serves as a foundational building block for nearly all subsequent agentic patterns. It established the principle that making an LLM's internal reasoning process explicit—forcing it to “show its work”—improves both accuracy and interpretability. This principle recurs throughout every pattern discussed in this report.</w:t>
      </w:r>
    </w:p>
    <w:p>
      <w:pPr>
        <w:pStyle w:val="Heading2"/>
      </w:pPr>
      <w:r>
        <w:t xml:space="preserve">2.2 Tree of Thoughts (ToT)</w:t>
      </w:r>
    </w:p>
    <w:p>
      <w:pPr>
        <w:spacing w:after="200" w:line="276"/>
      </w:pPr>
      <w:r>
        <w:rPr>
          <w:rFonts w:ascii="Arial" w:cs="Arial" w:eastAsia="Arial" w:hAnsi="Arial"/>
          <w:sz w:val="24"/>
          <w:szCs w:val="24"/>
        </w:rPr>
        <w:t xml:space="preserve">While CoT follows a single linear reasoning path, the Tree of Thoughts framework, introduced by Yao et al. (2023), generalizes this to a branching tree structure. At each step, the model generates multiple candidate “thoughts” (coherent language sequences serving as intermediate reasoning steps), evaluates their promise, and selectively expands the most promising branches. The framework draws explicit inspiration from classical AI search algorithms and the work of Newell, Shaw, and Simon on problem-solving as search through a combinatorial space [yao2023tree].</w:t>
      </w:r>
    </w:p>
    <w:p>
      <w:pPr>
        <w:spacing w:after="200" w:line="276"/>
      </w:pPr>
      <w:r>
        <w:rPr>
          <w:rFonts w:ascii="Arial" w:cs="Arial" w:eastAsia="Arial" w:hAnsi="Arial"/>
          <w:sz w:val="24"/>
          <w:szCs w:val="24"/>
        </w:rPr>
        <w:t xml:space="preserve">ToT introduces two key innovations beyond CoT. First, it generates multiple alternative reasoning paths at each step rather than committing to a single chain. Second, it incorporates deliberate evaluation—the model assesses the quality of intermediate states and can prune unpromising branches or backtrack to explore alternatives. This transforms LLM reasoning from a purely forward, greedy process into a structured search with lookahead capability.</w:t>
      </w:r>
    </w:p>
    <w:p>
      <w:pPr>
        <w:spacing w:after="200" w:line="276"/>
      </w:pPr>
      <w:r>
        <w:rPr>
          <w:rFonts w:ascii="Arial" w:cs="Arial" w:eastAsia="Arial" w:hAnsi="Arial"/>
          <w:sz w:val="24"/>
          <w:szCs w:val="24"/>
        </w:rPr>
        <w:t xml:space="preserve">The framework was evaluated on tasks requiring non-trivial planning, such as the Game of 24, creative writing, and crossword puzzles. On the Game of 24, where standard CoT prompting achieved only 4% success, ToT with breadth-first search reached 74%. These results demonstrated that for problems requiring exploration and backtracking, structured search over reasoning paths yields dramatic improvements.</w:t>
      </w:r>
    </w:p>
    <w:p>
      <w:pPr>
        <w:spacing w:after="200" w:line="276"/>
      </w:pPr>
      <w:r>
        <w:rPr>
          <w:rFonts w:ascii="Arial" w:cs="Arial" w:eastAsia="Arial" w:hAnsi="Arial"/>
          <w:sz w:val="24"/>
          <w:szCs w:val="24"/>
        </w:rPr>
        <w:t xml:space="preserve">A further generalization, the Graph of Thoughts (GoT) framework by Besta et al. (2024), relaxes the tree constraint to allow arbitrary graph structures. GoT supports operations like merging multiple thoughts, refining existing ones, and reusing intermediate results across different branches. This enables more flexible reasoning patterns that mirror how humans combine and synthesize insights from multiple lines of thinking [besta2024graph].</w:t>
      </w:r>
    </w:p>
    <w:p>
      <w:pPr>
        <w:pStyle w:val="Heading2"/>
      </w:pPr>
      <w:r>
        <w:t xml:space="preserve">2.3 ReAct: Synergizing Reasoning and Acting</w:t>
      </w:r>
    </w:p>
    <w:p>
      <w:pPr>
        <w:spacing w:after="200" w:line="276"/>
      </w:pPr>
      <w:r>
        <w:rPr>
          <w:rFonts w:ascii="Arial" w:cs="Arial" w:eastAsia="Arial" w:hAnsi="Arial"/>
          <w:sz w:val="24"/>
          <w:szCs w:val="24"/>
        </w:rPr>
        <w:t xml:space="preserve">The ReAct framework, proposed by Yao et al. (2023), represents a foundational pattern for agentic AI by interleaving reasoning traces with concrete actions in a unified loop. Where CoT confines reasoning to the model's internal representations, ReAct connects reasoning to the external world: the agent can formulate a thought about what information it needs, execute an action (such as searching a database or calling an API), observe the result, and then reason about what to do next [yao2023react].</w:t>
      </w:r>
    </w:p>
    <w:p>
      <w:pPr>
        <w:spacing w:after="200" w:line="276"/>
      </w:pPr>
      <w:r>
        <w:rPr>
          <w:rFonts w:ascii="Arial" w:cs="Arial" w:eastAsia="Arial" w:hAnsi="Arial"/>
          <w:sz w:val="24"/>
          <w:szCs w:val="24"/>
        </w:rPr>
        <w:t xml:space="preserve">ReAct operates through an iterative Thought–Action–Observation cycle. In each iteration, the model first generates a Thought that analyzes the current situation, identifies gaps, or plans next steps. It then selects and executes an Action, such as querying an external source. The resulting Observation feeds back into the next iteration's context, enabling the agent to dynamically adjust its strategy based on real-world feedback.</w:t>
      </w:r>
    </w:p>
    <w:p>
      <w:pPr>
        <w:spacing w:after="200" w:line="276"/>
      </w:pPr>
      <w:r>
        <w:rPr>
          <w:rFonts w:ascii="Arial" w:cs="Arial" w:eastAsia="Arial" w:hAnsi="Arial"/>
          <w:sz w:val="24"/>
          <w:szCs w:val="24"/>
        </w:rPr>
        <w:t xml:space="preserve">This pattern is widely considered the foundational architecture for modern LLM agents. Its key strength lies in the externalization of reasoning: every decision is visible and auditable, creating a transparent chain from problem to solution. When agents fail, developers can trace exactly where logic broke down. ReAct has been successfully applied to knowledge-intensive question answering (HotPotQA), fact verification (FEVER), interactive text-based environments (ALFWorld), and web navigation tasks (WebShop).</w:t>
      </w:r>
    </w:p>
    <w:p>
      <w:pPr>
        <w:spacing w:after="200" w:line="276"/>
      </w:pPr>
      <w:r>
        <w:rPr>
          <w:rFonts w:ascii="Arial" w:cs="Arial" w:eastAsia="Arial" w:hAnsi="Arial"/>
          <w:sz w:val="24"/>
          <w:szCs w:val="24"/>
        </w:rPr>
        <w:t xml:space="preserve">The trade-off is cost and latency. Each reasoning loop requires an additional model call, and if one tool returns incorrect data, errors can propagate through subsequent reasoning steps. Despite these limitations, ReAct has become the default starting pattern for agents handling complex, unpredictable tasks, and it forms the backbone of frameworks like LangChain's agent module and many production agentic systems.</w:t>
      </w:r>
    </w:p>
    <w:p>
      <w:pPr>
        <w:pStyle w:val="Heading1"/>
      </w:pPr>
      <w:r>
        <w:t xml:space="preserve">3. Self-Evaluation and Reflection Patterns</w:t>
      </w:r>
    </w:p>
    <w:p>
      <w:pPr>
        <w:spacing w:after="200" w:line="276"/>
      </w:pPr>
      <w:r>
        <w:rPr>
          <w:rFonts w:ascii="Arial" w:cs="Arial" w:eastAsia="Arial" w:hAnsi="Arial"/>
          <w:sz w:val="24"/>
          <w:szCs w:val="24"/>
        </w:rPr>
        <w:t xml:space="preserve">A hallmark of human intelligence is the ability to evaluate one's own work, recognize mistakes, and improve. Self-evaluation and reflection patterns bring this capability to AI agents, enabling them to critique their outputs and iteratively refine results without external supervision. As Lakshmanan (2025) argued, the capacity for self-correction is what fundamentally distinguishes a true agent from deterministic, pre-programmed behavior.</w:t>
      </w:r>
    </w:p>
    <w:p>
      <w:pPr>
        <w:pStyle w:val="Heading2"/>
      </w:pPr>
      <w:r>
        <w:t xml:space="preserve">3.1 Reflexion</w:t>
      </w:r>
    </w:p>
    <w:p>
      <w:pPr>
        <w:spacing w:after="200" w:line="276"/>
      </w:pPr>
      <w:r>
        <w:rPr>
          <w:rFonts w:ascii="Arial" w:cs="Arial" w:eastAsia="Arial" w:hAnsi="Arial"/>
          <w:sz w:val="24"/>
          <w:szCs w:val="24"/>
        </w:rPr>
        <w:t xml:space="preserve">Reflexion, introduced by Shinn et al. (2023), provides agents with dynamic memory and self-reflection capabilities, enabling them to learn from mistakes across trials without requiring weight updates. The framework operates through a cycle of acting, evaluating, and reflecting. After each attempt at a task, the agent generates a verbal self-reflection—a natural language analysis of what went wrong and how to improve—which is stored in an episodic memory buffer and consulted in subsequent attempts [shinn2023reflexion].</w:t>
      </w:r>
    </w:p>
    <w:p>
      <w:pPr>
        <w:spacing w:after="200" w:line="276"/>
      </w:pPr>
      <w:r>
        <w:rPr>
          <w:rFonts w:ascii="Arial" w:cs="Arial" w:eastAsia="Arial" w:hAnsi="Arial"/>
          <w:sz w:val="24"/>
          <w:szCs w:val="24"/>
        </w:rPr>
        <w:t xml:space="preserve">This approach is termed “verbal reinforcement learning” because the agent improves not through gradient-based optimization but through linguistic feedback stored as memory. The framework is flexible enough to incorporate scalar rewards, binary success signals, or free-form language feedback from external evaluators. On the HumanEval coding benchmark, a Reflexion agent achieved 91% pass@1 accuracy, surpassing the 80% achieved by GPT-4 alone. Reflexion also showed significant improvements on sequential decision-making tasks in ALFWorld and reasoning tasks in HotPotQA.</w:t>
      </w:r>
    </w:p>
    <w:p>
      <w:pPr>
        <w:spacing w:after="200" w:line="276"/>
      </w:pPr>
      <w:r>
        <w:rPr>
          <w:rFonts w:ascii="Arial" w:cs="Arial" w:eastAsia="Arial" w:hAnsi="Arial"/>
          <w:sz w:val="24"/>
          <w:szCs w:val="24"/>
        </w:rPr>
        <w:t xml:space="preserve">Critically, Reflexion demonstrated that the act of articulating what went wrong—writing a self-reflection in the first person—yields an 8% absolute improvement over simply providing the agent with its prior trajectory as episodic memory. This suggests that the process of self-explanation, not just access to past experience, drives learning improvement.</w:t>
      </w:r>
    </w:p>
    <w:p>
      <w:pPr>
        <w:pStyle w:val="Heading2"/>
      </w:pPr>
      <w:r>
        <w:t xml:space="preserve">3.2 Self-Refine</w:t>
      </w:r>
    </w:p>
    <w:p>
      <w:pPr>
        <w:spacing w:after="200" w:line="276"/>
      </w:pPr>
      <w:r>
        <w:rPr>
          <w:rFonts w:ascii="Arial" w:cs="Arial" w:eastAsia="Arial" w:hAnsi="Arial"/>
          <w:sz w:val="24"/>
          <w:szCs w:val="24"/>
        </w:rPr>
        <w:t xml:space="preserve">Self-Refine, proposed by Madaan et al. (2023), implements a simpler but powerful iterative refinement loop within a single trial. The agent generates an initial output, then switches into a critic role to evaluate its own work, and finally produces a revised version that addresses the identified shortcomings. This generate–critique–refine cycle can repeat multiple times until quality thresholds are met [madaan2023selfrefine].</w:t>
      </w:r>
    </w:p>
    <w:p>
      <w:pPr>
        <w:spacing w:after="200" w:line="276"/>
      </w:pPr>
      <w:r>
        <w:rPr>
          <w:rFonts w:ascii="Arial" w:cs="Arial" w:eastAsia="Arial" w:hAnsi="Arial"/>
          <w:sz w:val="24"/>
          <w:szCs w:val="24"/>
        </w:rPr>
        <w:t xml:space="preserve">The key advantage over Reflexion is that Self-Refine operates within a single attempt rather than across multiple trials, making it suitable for scenarios where there is no opportunity for repeated attempts. The pattern's effectiveness depends on forcing explicit role separation: the agent must treat its own output as external content to evaluate rather than defending its first answer. This reduces confirmation bias and enables genuine self-correction. The pattern has proven particularly valuable for code generation requiring security audits, content creation needing factual verification, and document drafting with compliance requirements.</w:t>
      </w:r>
    </w:p>
    <w:p>
      <w:pPr>
        <w:pStyle w:val="Heading1"/>
      </w:pPr>
      <w:r>
        <w:t xml:space="preserve">4. Tool Use and Augmentation Patterns</w:t>
      </w:r>
    </w:p>
    <w:p>
      <w:pPr>
        <w:spacing w:after="200" w:line="276"/>
      </w:pPr>
      <w:r>
        <w:rPr>
          <w:rFonts w:ascii="Arial" w:cs="Arial" w:eastAsia="Arial" w:hAnsi="Arial"/>
          <w:sz w:val="24"/>
          <w:szCs w:val="24"/>
        </w:rPr>
        <w:t xml:space="preserve">LLMs, despite their impressive capabilities, are fundamentally limited by the knowledge frozen into their weights at training time and by their lack of ability to interact directly with the world. Tool-use patterns overcome these limitations by enabling agents to invoke external resources—calculators, search engines, APIs, databases, code interpreters, and specialized models—at inference time. Mialon et al. (2024) provide an extensive survey of augmented language models, documenting the trajectory from retrieval-augmented generation to fully tool-augmented agents [mialon2023augmented].</w:t>
      </w:r>
    </w:p>
    <w:p>
      <w:pPr>
        <w:pStyle w:val="Heading2"/>
      </w:pPr>
      <w:r>
        <w:t xml:space="preserve">4.1 Toolformer</w:t>
      </w:r>
    </w:p>
    <w:p>
      <w:pPr>
        <w:spacing w:after="200" w:line="276"/>
      </w:pPr>
      <w:r>
        <w:rPr>
          <w:rFonts w:ascii="Arial" w:cs="Arial" w:eastAsia="Arial" w:hAnsi="Arial"/>
          <w:sz w:val="24"/>
          <w:szCs w:val="24"/>
        </w:rPr>
        <w:t xml:space="preserve">Toolformer, introduced by Schick et al. (2023), demonstrated that language models can teach themselves to use external tools in a self-supervised manner. The model was trained to decide which APIs to call, when to call them, what arguments to pass, and how to incorporate results back into its generation—all requiring nothing more than a handful of demonstrations per API. The tools integrated included a calculator, a Q&amp;A system, search engines, a translation system, and a calendar [schick2023toolformer].</w:t>
      </w:r>
    </w:p>
    <w:p>
      <w:pPr>
        <w:spacing w:after="200" w:line="276"/>
      </w:pPr>
      <w:r>
        <w:rPr>
          <w:rFonts w:ascii="Arial" w:cs="Arial" w:eastAsia="Arial" w:hAnsi="Arial"/>
          <w:sz w:val="24"/>
          <w:szCs w:val="24"/>
        </w:rPr>
        <w:t xml:space="preserve">What made Toolformer particularly significant was its demonstration that tool use could emerge from self-supervised learning rather than requiring extensive human annotation of when and how to use tools. The model learned to insert API calls at the precise points in its generation where external information would be most useful. This established the paradigm that agents should be able to autonomously decide when to use tools rather than having tool use dictated by rigid, pre-programmed rules.</w:t>
      </w:r>
    </w:p>
    <w:p>
      <w:pPr>
        <w:pStyle w:val="Heading2"/>
      </w:pPr>
      <w:r>
        <w:t xml:space="preserve">4.2 HuggingGPT and Task Planning</w:t>
      </w:r>
    </w:p>
    <w:p>
      <w:pPr>
        <w:spacing w:after="200" w:line="276"/>
      </w:pPr>
      <w:r>
        <w:rPr>
          <w:rFonts w:ascii="Arial" w:cs="Arial" w:eastAsia="Arial" w:hAnsi="Arial"/>
          <w:sz w:val="24"/>
          <w:szCs w:val="24"/>
        </w:rPr>
        <w:t xml:space="preserve">HuggingGPT, introduced by Shen et al. (2023), demonstrated a planning pattern in which an LLM serves as a controller that orchestrates calls to specialized models hosted on the Hugging Face platform. Given a complex user request, the LLM decomposes it into subtasks, selects appropriate specialist models for each subtask (choosing from image classifiers, text generators, audio processors, etc.), manages the execution pipeline, and synthesizes the final result [shen2023hugginggpt].</w:t>
      </w:r>
    </w:p>
    <w:p>
      <w:pPr>
        <w:spacing w:after="200" w:line="276"/>
      </w:pPr>
      <w:r>
        <w:rPr>
          <w:rFonts w:ascii="Arial" w:cs="Arial" w:eastAsia="Arial" w:hAnsi="Arial"/>
          <w:sz w:val="24"/>
          <w:szCs w:val="24"/>
        </w:rPr>
        <w:t xml:space="preserve">This pattern embodies the broader planning design pattern in which an LLM breaks down a complex goal into a sequence of manageable subtasks and coordinates their execution. The planning pattern is applicable whenever a task is too complex for a single model call and requires orchestrating multiple steps, tools, or specialized capabilities. Depending on the task's complexity, the agent may plan actions in a linear sequence or create branches for parallel execution. The key challenges in planning involve dealing with errors in intermediate steps, managing dependencies between subtasks, and knowing when to re-plan if the original plan encounters obstacles.</w:t>
      </w:r>
    </w:p>
    <w:p>
      <w:pPr>
        <w:pStyle w:val="Heading2"/>
      </w:pPr>
      <w:r>
        <w:t xml:space="preserve">4.3 Standardized Tool Integration: Model Context Protocol</w:t>
      </w:r>
    </w:p>
    <w:p>
      <w:pPr>
        <w:spacing w:after="200" w:line="276"/>
      </w:pPr>
      <w:r>
        <w:rPr>
          <w:rFonts w:ascii="Arial" w:cs="Arial" w:eastAsia="Arial" w:hAnsi="Arial"/>
          <w:sz w:val="24"/>
          <w:szCs w:val="24"/>
        </w:rPr>
        <w:t xml:space="preserve">As the tool-use ecosystem has matured, the need for standardization has given rise to protocols like the Model Context Protocol (MCP), which provides a uniform interface for LLMs to discover and interact with external tools, data sources, and services. Standardized tool integration simplifies the development of agentic applications by decoupling the agent's reasoning logic from the specifics of each tool's API, enabling plug-and-play tool extensibility. This mirrors the historical arc in software engineering from ad-hoc integrations to standardized interfaces and middleware.</w:t>
      </w:r>
    </w:p>
    <w:p>
      <w:pPr>
        <w:pStyle w:val="Heading1"/>
      </w:pPr>
      <w:r>
        <w:t xml:space="preserve">5. Multi-Agent Collaboration Patterns</w:t>
      </w:r>
    </w:p>
    <w:p>
      <w:pPr>
        <w:spacing w:after="200" w:line="276"/>
      </w:pPr>
      <w:r>
        <w:rPr>
          <w:rFonts w:ascii="Arial" w:cs="Arial" w:eastAsia="Arial" w:hAnsi="Arial"/>
          <w:sz w:val="24"/>
          <w:szCs w:val="24"/>
        </w:rPr>
        <w:t xml:space="preserve">Multi-agent patterns address problems that exceed the capacity of any single agent by distributing work across multiple specialized agents that communicate and coordinate. These patterns draw on decades of research in multi-agent systems from classical AI, now reimagined with LLM-powered agents.</w:t>
      </w:r>
    </w:p>
    <w:p>
      <w:pPr>
        <w:pStyle w:val="Heading2"/>
      </w:pPr>
      <w:r>
        <w:t xml:space="preserve">5.1 AutoGen</w:t>
      </w:r>
    </w:p>
    <w:p>
      <w:pPr>
        <w:spacing w:after="200" w:line="276"/>
      </w:pPr>
      <w:r>
        <w:rPr>
          <w:rFonts w:ascii="Arial" w:cs="Arial" w:eastAsia="Arial" w:hAnsi="Arial"/>
          <w:sz w:val="24"/>
          <w:szCs w:val="24"/>
        </w:rPr>
        <w:t xml:space="preserve">AutoGen, developed by Wu et al. (2023) at Microsoft Research, is an open-source framework that enables the development of LLM applications through multi-agent conversation. AutoGen introduces the concept of “conversable agents”—customizable entities that can be backed by LLMs, humans, tools, or any combination thereof—and “conversation programming” for defining flexible interaction patterns between them [wu2023autogen].</w:t>
      </w:r>
    </w:p>
    <w:p>
      <w:pPr>
        <w:spacing w:after="200" w:line="276"/>
      </w:pPr>
      <w:r>
        <w:rPr>
          <w:rFonts w:ascii="Arial" w:cs="Arial" w:eastAsia="Arial" w:hAnsi="Arial"/>
          <w:sz w:val="24"/>
          <w:szCs w:val="24"/>
        </w:rPr>
        <w:t xml:space="preserve">The framework supports both fully autonomous conversations and human-in-the-loop workflows, with configurable levels of human involvement. AutoGen demonstrated effectiveness across a wide range of domains including mathematics, coding, question answering, operations research, and interactive entertainment. Its design allows both static conversation flows (predefined topologies) and dynamic flows (topologies that adapt based on actual conversation content), making it suitable for problems where interaction patterns cannot be predetermined.</w:t>
      </w:r>
    </w:p>
    <w:p>
      <w:pPr>
        <w:spacing w:after="200" w:line="276"/>
      </w:pPr>
      <w:r>
        <w:rPr>
          <w:rFonts w:ascii="Arial" w:cs="Arial" w:eastAsia="Arial" w:hAnsi="Arial"/>
          <w:sz w:val="24"/>
          <w:szCs w:val="24"/>
        </w:rPr>
        <w:t xml:space="preserve">AutoGen's architecture provides several key advantages for multi-agent collaboration. First, it gracefully navigates the imperfect generation and reasoning abilities of LLMs by allowing multiple agents to verify and build upon each other's work. Second, it leverages human intelligence by seamlessly integrating human input alongside automated agent responses. Third, it unifies the implementation of complex workflows under a single conversational abstraction, reducing the engineering overhead of multi-agent systems.</w:t>
      </w:r>
    </w:p>
    <w:p>
      <w:pPr>
        <w:pStyle w:val="Heading2"/>
      </w:pPr>
      <w:r>
        <w:t xml:space="preserve">5.2 MetaGPT</w:t>
      </w:r>
    </w:p>
    <w:p>
      <w:pPr>
        <w:spacing w:after="200" w:line="276"/>
      </w:pPr>
      <w:r>
        <w:rPr>
          <w:rFonts w:ascii="Arial" w:cs="Arial" w:eastAsia="Arial" w:hAnsi="Arial"/>
          <w:sz w:val="24"/>
          <w:szCs w:val="24"/>
        </w:rPr>
        <w:t xml:space="preserve">MetaGPT, introduced by Hong et al. (2023), takes a distinctive approach to multi-agent collaboration by encoding Standardized Operating Procedures (SOPs) from human organizations into multi-agent workflows. Rather than relying on free-form conversation between agents, MetaGPT assigns agents specific roles within a structured process—for example, product manager, architect, engineer, and QA tester for a software development team—with clearly defined inputs, outputs, and handoff protocols for each role [hong2023metagpt].</w:t>
      </w:r>
    </w:p>
    <w:p>
      <w:pPr>
        <w:spacing w:after="200" w:line="276"/>
      </w:pPr>
      <w:r>
        <w:rPr>
          <w:rFonts w:ascii="Arial" w:cs="Arial" w:eastAsia="Arial" w:hAnsi="Arial"/>
          <w:sz w:val="24"/>
          <w:szCs w:val="24"/>
        </w:rPr>
        <w:t xml:space="preserve">This SOP-driven approach addresses a key challenge in multi-agent systems: cascading errors and miscommunication. By requiring structured intermediate artifacts (requirements documents, design specifications, code modules, test reports) rather than informal natural language exchanges, MetaGPT reduces the ambiguity that can lead to compounding mistakes. The framework draws on proven organizational patterns from software engineering, including methodologies like Agile and Scrum, to coordinate agent behavior.</w:t>
      </w:r>
    </w:p>
    <w:p>
      <w:pPr>
        <w:pStyle w:val="Heading2"/>
      </w:pPr>
      <w:r>
        <w:t xml:space="preserve">5.3 Multi-Agent Debate</w:t>
      </w:r>
    </w:p>
    <w:p>
      <w:pPr>
        <w:spacing w:after="200" w:line="276"/>
      </w:pPr>
      <w:r>
        <w:rPr>
          <w:rFonts w:ascii="Arial" w:cs="Arial" w:eastAsia="Arial" w:hAnsi="Arial"/>
          <w:sz w:val="24"/>
          <w:szCs w:val="24"/>
        </w:rPr>
        <w:t xml:space="preserve">Multi-agent debate patterns involve multiple agents taking distinct positions on a question and engaging in structured argumentation to converge on more accurate or well-reasoned answers. Liang et al. (2024) showed that encouraging divergent thinking through multi-agent debate improves the quality and diversity of LLM outputs [liang2023encouraging]. Du et al. (2024) demonstrated that even simple debate protocols—where agents propose answers, critique each other's reasoning, and revise their positions—lead to improved factuality and reasoning accuracy compared to single-agent approaches [du2023improving].</w:t>
      </w:r>
    </w:p>
    <w:p>
      <w:pPr>
        <w:spacing w:after="200" w:line="276"/>
      </w:pPr>
      <w:r>
        <w:rPr>
          <w:rFonts w:ascii="Arial" w:cs="Arial" w:eastAsia="Arial" w:hAnsi="Arial"/>
          <w:sz w:val="24"/>
          <w:szCs w:val="24"/>
        </w:rPr>
        <w:t xml:space="preserve">The debate pattern is valuable precisely because it harnesses beneficial disagreement. Individual LLMs tend toward confident but potentially incorrect answers; by forcing agents to defend their positions against critique, weak arguments are exposed and stronger reasoning emerges. This pattern is particularly effective for tasks where there is no single correct approach and where considering multiple perspectives improves outcome quality.</w:t>
      </w:r>
    </w:p>
    <w:p>
      <w:pPr>
        <w:pStyle w:val="Heading2"/>
      </w:pPr>
      <w:r>
        <w:t xml:space="preserve">5.4 Generative Agents and Social Simulation</w:t>
      </w:r>
    </w:p>
    <w:p>
      <w:pPr>
        <w:spacing w:after="200" w:line="276"/>
      </w:pPr>
      <w:r>
        <w:rPr>
          <w:rFonts w:ascii="Arial" w:cs="Arial" w:eastAsia="Arial" w:hAnsi="Arial"/>
          <w:sz w:val="24"/>
          <w:szCs w:val="24"/>
        </w:rPr>
        <w:t xml:space="preserve">Park et al. (2023) introduced Generative Agents—autonomous computational entities that simulate human-like behavior in interactive environments. Each agent maintains a comprehensive memory of its experiences, retrieves relevant memories to inform current decisions, and reflects on past events to form higher-level abstractions. The agents plan their daily activities, react to environmental changes, and engage in social interactions with other agents, producing emergent collective behaviors that mirrored plausible human social dynamics [park2023generative].</w:t>
      </w:r>
    </w:p>
    <w:p>
      <w:pPr>
        <w:spacing w:after="200" w:line="276"/>
      </w:pPr>
      <w:r>
        <w:rPr>
          <w:rFonts w:ascii="Arial" w:cs="Arial" w:eastAsia="Arial" w:hAnsi="Arial"/>
          <w:sz w:val="24"/>
          <w:szCs w:val="24"/>
        </w:rPr>
        <w:t xml:space="preserve">This work pioneered the integration of long-term memory architectures with agentic behavior, demonstrating the critical role of memory in enabling agents to maintain consistent personas, build on prior experiences, and engage in meaningful social interactions over extended timeframes. The memory architecture—comprising observation, reflection, and planning streams—has influenced subsequent work on agent memory systems.</w:t>
      </w:r>
    </w:p>
    <w:p>
      <w:pPr>
        <w:pStyle w:val="Heading1"/>
      </w:pPr>
      <w:r>
        <w:t xml:space="preserve">6. Memory and Context Management</w:t>
      </w:r>
    </w:p>
    <w:p>
      <w:pPr>
        <w:spacing w:after="200" w:line="276"/>
      </w:pPr>
      <w:r>
        <w:rPr>
          <w:rFonts w:ascii="Arial" w:cs="Arial" w:eastAsia="Arial" w:hAnsi="Arial"/>
          <w:sz w:val="24"/>
          <w:szCs w:val="24"/>
        </w:rPr>
        <w:t xml:space="preserve">Memory is the architectural component that transforms a stateless LLM into a persistent agent capable of learning and adapting over time. Zhang et al. (2024) provide a comprehensive survey of memory mechanisms in LLM-based agents, identifying memory as the key component supporting agent-environment interactions and self-evolution [zhang2024memory].</w:t>
      </w:r>
    </w:p>
    <w:p>
      <w:pPr>
        <w:spacing w:after="200" w:line="276"/>
      </w:pPr>
      <w:r>
        <w:rPr>
          <w:rFonts w:ascii="Arial" w:cs="Arial" w:eastAsia="Arial" w:hAnsi="Arial"/>
          <w:sz w:val="24"/>
          <w:szCs w:val="24"/>
        </w:rPr>
        <w:t xml:space="preserve">Agent memory systems typically comprise multiple layers. Short-term memory, often implemented as the context window itself, maintains awareness of the current task and recent interactions. Long-term memory, implemented through external stores (vector databases, knowledge graphs, or structured logs), preserves accumulated knowledge and experience for future retrieval. The interplay between these layers enables agents to balance immediate task context with historical knowledge.</w:t>
      </w:r>
    </w:p>
    <w:p>
      <w:pPr>
        <w:spacing w:after="200" w:line="276"/>
      </w:pPr>
      <w:r>
        <w:rPr>
          <w:rFonts w:ascii="Arial" w:cs="Arial" w:eastAsia="Arial" w:hAnsi="Arial"/>
          <w:sz w:val="24"/>
          <w:szCs w:val="24"/>
        </w:rPr>
        <w:t xml:space="preserve">Research on agent memory has evolved through three stages: storage (simple trajectory preservation), reflection (trajectory refinement through self-analysis), and experience (trajectory abstraction into transferable knowledge). Modern memory architectures often incorporate all three, enabling agents to not just remember what happened but to extract lessons and patterns from their experience. The design of effective memory mechanisms remains one of the most active and challenging areas in agentic AI research.</w:t>
      </w:r>
    </w:p>
    <w:p>
      <w:pPr>
        <w:pStyle w:val="Heading1"/>
      </w:pPr>
      <w:r>
        <w:t xml:space="preserve">7. Human-in-the-Loop Patterns</w:t>
      </w:r>
    </w:p>
    <w:p>
      <w:pPr>
        <w:spacing w:after="200" w:line="276"/>
      </w:pPr>
      <w:r>
        <w:rPr>
          <w:rFonts w:ascii="Arial" w:cs="Arial" w:eastAsia="Arial" w:hAnsi="Arial"/>
          <w:sz w:val="24"/>
          <w:szCs w:val="24"/>
        </w:rPr>
        <w:t xml:space="preserve">Full autonomy is neither desirable nor achievable for many high-stakes applications. Human-in-the-loop (HITL) patterns incorporate human oversight, approval, and guidance into agentic workflows at critical decision points. These patterns acknowledge that LLMs can make consequential errors and that certain decisions—those involving safety, ethics, legal compliance, or significant irreversible actions—require human judgment.</w:t>
      </w:r>
    </w:p>
    <w:p>
      <w:pPr>
        <w:spacing w:after="200" w:line="276"/>
      </w:pPr>
      <w:r>
        <w:rPr>
          <w:rFonts w:ascii="Arial" w:cs="Arial" w:eastAsia="Arial" w:hAnsi="Arial"/>
          <w:sz w:val="24"/>
          <w:szCs w:val="24"/>
        </w:rPr>
        <w:t xml:space="preserve">HITL patterns range from lightweight confirmation gates (requiring human approval before executing specific actions) to deep collaborative workflows where humans and agents alternate in contributing to a solution. The AutoGen framework explicitly supports configurable levels of human involvement, allowing developers to set policies that determine when and how human input is solicited. Effective HITL design requires balancing the efficiency gains of automation against the risk and cost of errors, placing approval gates at the points in a workflow where the consequences of mistakes are highest and where human judgment adds the most value.</w:t>
      </w:r>
    </w:p>
    <w:p>
      <w:pPr>
        <w:pStyle w:val="Heading1"/>
      </w:pPr>
      <w:r>
        <w:t xml:space="preserve">8. Pattern Selection and Composition</w:t>
      </w:r>
    </w:p>
    <w:p>
      <w:pPr>
        <w:spacing w:after="200" w:line="276"/>
      </w:pPr>
      <w:r>
        <w:rPr>
          <w:rFonts w:ascii="Arial" w:cs="Arial" w:eastAsia="Arial" w:hAnsi="Arial"/>
          <w:sz w:val="24"/>
          <w:szCs w:val="24"/>
        </w:rPr>
        <w:t xml:space="preserve">Practitioners rarely use a single pattern in isolation. Production agentic systems typically compose multiple patterns: a ReAct loop might use CoT reasoning within each thought step, invoke tools for information gathering, and employ Reflexion-style memory to learn from prior failures. Google's architectural guidance for agentic systems emphasizes beginning with requirements analysis—assessing task complexity, latency constraints, cost budget, and the need for human oversight—before selecting an appropriate pattern or composition of patterns.</w:t>
      </w:r>
    </w:p>
    <w:p>
      <w:pPr>
        <w:spacing w:after="200" w:line="276"/>
      </w:pPr>
      <w:r>
        <w:rPr>
          <w:rFonts w:ascii="Arial" w:cs="Arial" w:eastAsia="Arial" w:hAnsi="Arial"/>
          <w:sz w:val="24"/>
          <w:szCs w:val="24"/>
        </w:rPr>
        <w:t xml:space="preserve">Several principles guide effective pattern selection. First, start with the simplest pattern that meets the task's requirements; unnecessary complexity increases cost, latency, and debugging difficulty. Second, design for graceful degradation: if a complex multi-agent workflow encounters failures, the system should be able to fall back to simpler patterns rather than failing completely. Third, combine patterns strategically—for example, pairing CoT with tool use grounds reasoning in external data, while adding multi-agent debate improves verification.</w:t>
      </w:r>
    </w:p>
    <w:p>
      <w:pPr>
        <w:spacing w:after="200" w:line="276"/>
      </w:pPr>
      <w:r>
        <w:rPr>
          <w:rFonts w:ascii="Arial" w:cs="Arial" w:eastAsia="Arial" w:hAnsi="Arial"/>
          <w:sz w:val="24"/>
          <w:szCs w:val="24"/>
        </w:rPr>
        <w:t xml:space="preserve">The survey by Huang et al. (2024) on LLM agent planning provides a useful taxonomy for understanding how patterns compose, categorizing planning approaches into task decomposition, plan selection, external module integration, reflection, and memory [huang2024planning]. The comprehensive agent survey by Wang et al. (2024) further organizes the landscape into profiling, memory, planning, and action modules, providing a unified framework for understanding how different patterns contribute to overall agent architecture [wang2023survey].</w:t>
      </w:r>
    </w:p>
    <w:p>
      <w:pPr>
        <w:pStyle w:val="Heading1"/>
      </w:pPr>
      <w:r>
        <w:t xml:space="preserve">9. Open Challenges and Future Directions</w:t>
      </w:r>
    </w:p>
    <w:p>
      <w:pPr>
        <w:spacing w:after="200" w:line="276"/>
      </w:pPr>
      <w:r>
        <w:rPr>
          <w:rFonts w:ascii="Arial" w:cs="Arial" w:eastAsia="Arial" w:hAnsi="Arial"/>
          <w:sz w:val="24"/>
          <w:szCs w:val="24"/>
        </w:rPr>
        <w:t xml:space="preserve">Despite rapid progress, significant challenges remain in agentic AI. Long-horizon planning remains difficult: as tasks require more steps, the probability of at least one error compounds, and recovering from mid-plan failures is an unsolved problem. Context window limitations constrain the amount of history and reasoning an agent can maintain, requiring sophisticated memory management and summarization strategies.</w:t>
      </w:r>
    </w:p>
    <w:p>
      <w:pPr>
        <w:spacing w:after="200" w:line="276"/>
      </w:pPr>
      <w:r>
        <w:rPr>
          <w:rFonts w:ascii="Arial" w:cs="Arial" w:eastAsia="Arial" w:hAnsi="Arial"/>
          <w:sz w:val="24"/>
          <w:szCs w:val="24"/>
        </w:rPr>
        <w:t xml:space="preserve">Evaluation and benchmarking present fundamental challenges. Existing benchmarks like SWE-bench (for software engineering), WebArena (for web navigation), and AgentBench (for general agent tasks) capture only narrow slices of real-world complexity. There is a pressing need for benchmarks that evaluate long-horizon performance, robustness to environmental changes, multi-agent coordination quality, and the economic efficiency of agentic workflows (cost per successfully completed task).</w:t>
      </w:r>
    </w:p>
    <w:p>
      <w:pPr>
        <w:spacing w:after="200" w:line="276"/>
      </w:pPr>
      <w:r>
        <w:rPr>
          <w:rFonts w:ascii="Arial" w:cs="Arial" w:eastAsia="Arial" w:hAnsi="Arial"/>
          <w:sz w:val="24"/>
          <w:szCs w:val="24"/>
        </w:rPr>
        <w:t xml:space="preserve">Safety and alignment concerns are amplified in agentic settings. An agent that can take actions in the real world—executing code, sending emails, making purchases—can cause significantly more harm from errors or misalignment than a model that merely generates text. Developing robust guardrails, sandboxing mechanisms, and alignment techniques that scale to autonomous agents is an active area of both research and engineering.</w:t>
      </w:r>
    </w:p>
    <w:p>
      <w:pPr>
        <w:spacing w:after="200" w:line="276"/>
      </w:pPr>
      <w:r>
        <w:rPr>
          <w:rFonts w:ascii="Arial" w:cs="Arial" w:eastAsia="Arial" w:hAnsi="Arial"/>
          <w:sz w:val="24"/>
          <w:szCs w:val="24"/>
        </w:rPr>
        <w:t xml:space="preserve">Emerging directions include meta-patterns that dynamically select and compose other patterns based on task characteristics, self-improving agents that modify their own prompts or code based on performance feedback, and increasingly sophisticated memory architectures that enable agents to accumulate and transfer knowledge across tasks and time horizons. The convergence of agentic patterns with advances in multimodal models, embodied AI, and real-world robotic systems promises to expand the frontier of what autonomous AI systems can achieve.</w:t>
      </w:r>
    </w:p>
    <w:p>
      <w:pPr>
        <w:pStyle w:val="Heading1"/>
      </w:pPr>
      <w:r>
        <w:t xml:space="preserve">10. Conclusion</w:t>
      </w:r>
    </w:p>
    <w:p>
      <w:pPr>
        <w:spacing w:after="200" w:line="276"/>
      </w:pPr>
      <w:r>
        <w:rPr>
          <w:rFonts w:ascii="Arial" w:cs="Arial" w:eastAsia="Arial" w:hAnsi="Arial"/>
          <w:sz w:val="24"/>
          <w:szCs w:val="24"/>
        </w:rPr>
        <w:t xml:space="preserve">Agentic AI design patterns represent the core intellectual infrastructure of the rapidly growing field of autonomous AI systems. From the foundational Chain-of-Thought prompting that made LLM reasoning explicit, through the ReAct framework that unified reasoning with action, to the multi-agent collaboration systems that distribute intelligence across ensembles of specialized agents, these patterns provide the vocabulary and blueprints for building AI systems that can reason, plan, learn, and act with increasing autonomy.</w:t>
      </w:r>
    </w:p>
    <w:p>
      <w:pPr>
        <w:spacing w:after="200" w:line="276"/>
      </w:pPr>
      <w:r>
        <w:rPr>
          <w:rFonts w:ascii="Arial" w:cs="Arial" w:eastAsia="Arial" w:hAnsi="Arial"/>
          <w:sz w:val="24"/>
          <w:szCs w:val="24"/>
        </w:rPr>
        <w:t xml:space="preserve">The field has progressed with remarkable speed: the majority of the foundational papers reviewed in this report were published between 2022 and 2024, and the pace of innovation shows no signs of slowing. As base model capabilities continue to improve and as practical deployment experience accumulates, we expect these patterns to be refined, extended, and composed in increasingly sophisticated ways. The practitioners and researchers who understand these patterns deeply—their strengths, limitations, and appropriate contexts of use—will be best positioned to build the next generation of intelligent, reliable, and trustworthy AI systems.</w:t>
      </w:r>
    </w:p>
    <w:p>
      <w:r>
        <w:br w:type="page"/>
      </w:r>
    </w:p>
    <w:p>
      <w:pPr>
        <w:pStyle w:val="Heading1"/>
      </w:pPr>
      <w:r>
        <w:t xml:space="preserve">References (BibTeX Format)</w:t>
      </w:r>
    </w:p>
    <w:p>
      <w:pPr>
        <w:spacing w:after="200" w:line="276"/>
      </w:pPr>
      <w:r>
        <w:rPr>
          <w:rFonts w:ascii="Arial" w:cs="Arial" w:eastAsia="Arial" w:hAnsi="Arial"/>
          <w:sz w:val="24"/>
          <w:szCs w:val="24"/>
        </w:rPr>
        <w:t xml:space="preserve">The complete set of BibTeX references is provided below for use in academic work. These references cover the primary literature for all patterns discussed in this report.</w:t>
      </w:r>
    </w:p>
    <w:p>
      <w:pPr>
        <w:spacing w:after="100"/>
      </w:pPr>
    </w:p>
    <w:p>
      <w:pPr>
        <w:spacing w:after="0" w:line="220"/>
      </w:pPr>
      <w:r>
        <w:rPr>
          <w:rFonts w:ascii="Courier New" w:cs="Courier New" w:eastAsia="Courier New" w:hAnsi="Courier New"/>
          <w:sz w:val="18"/>
          <w:szCs w:val="18"/>
        </w:rPr>
        <w:t xml:space="preserve">% ============================================================</w:t>
      </w:r>
    </w:p>
    <w:p>
      <w:pPr>
        <w:spacing w:after="0" w:line="220"/>
      </w:pPr>
      <w:r>
        <w:rPr>
          <w:rFonts w:ascii="Courier New" w:cs="Courier New" w:eastAsia="Courier New" w:hAnsi="Courier New"/>
          <w:sz w:val="18"/>
          <w:szCs w:val="18"/>
        </w:rPr>
        <w:t xml:space="preserve">% BibTeX References: Agentic AI Design Patterns</w:t>
      </w:r>
    </w:p>
    <w:p>
      <w:pPr>
        <w:spacing w:after="0" w:line="220"/>
      </w:pPr>
      <w:r>
        <w:rPr>
          <w:rFonts w:ascii="Courier New" w:cs="Courier New" w:eastAsia="Courier New" w:hAnsi="Courier New"/>
          <w:sz w:val="18"/>
          <w:szCs w:val="18"/>
        </w:rPr>
        <w:t xml:space="preserve">% ============================================================</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@inproceedings{wei2022chain,</w:t>
      </w:r>
    </w:p>
    <w:p>
      <w:pPr>
        <w:spacing w:after="0" w:line="220"/>
      </w:pPr>
      <w:r>
        <w:rPr>
          <w:rFonts w:ascii="Courier New" w:cs="Courier New" w:eastAsia="Courier New" w:hAnsi="Courier New"/>
          <w:sz w:val="18"/>
          <w:szCs w:val="18"/>
        </w:rPr>
        <w:t xml:space="preserve">  title={Chain-of-Thought Prompting Elicits Reasoning in Large Language Models},</w:t>
      </w:r>
    </w:p>
    <w:p>
      <w:pPr>
        <w:spacing w:after="0" w:line="220"/>
      </w:pPr>
      <w:r>
        <w:rPr>
          <w:rFonts w:ascii="Courier New" w:cs="Courier New" w:eastAsia="Courier New" w:hAnsi="Courier New"/>
          <w:sz w:val="18"/>
          <w:szCs w:val="18"/>
        </w:rPr>
        <w:t xml:space="preserve">  author={Wei, Jason and Wang, Xuezhi and Schuurmans, Dale and Bosma, Maarten and Ichter, Brian and Xia, Fei and Chi, Ed and Le, Quoc and Zhou, Denny},</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volume={35},</w:t>
      </w:r>
    </w:p>
    <w:p>
      <w:pPr>
        <w:spacing w:after="0" w:line="220"/>
      </w:pPr>
      <w:r>
        <w:rPr>
          <w:rFonts w:ascii="Courier New" w:cs="Courier New" w:eastAsia="Courier New" w:hAnsi="Courier New"/>
          <w:sz w:val="18"/>
          <w:szCs w:val="18"/>
        </w:rPr>
        <w:t xml:space="preserve">  year={2022}</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@inproceedings{yao2023react,</w:t>
      </w:r>
    </w:p>
    <w:p>
      <w:pPr>
        <w:spacing w:after="0" w:line="220"/>
      </w:pPr>
      <w:r>
        <w:rPr>
          <w:rFonts w:ascii="Courier New" w:cs="Courier New" w:eastAsia="Courier New" w:hAnsi="Courier New"/>
          <w:sz w:val="18"/>
          <w:szCs w:val="18"/>
        </w:rPr>
        <w:t xml:space="preserve">  title={{ReAct}: Synergizing Reasoning and Acting in Language Models},</w:t>
      </w:r>
    </w:p>
    <w:p>
      <w:pPr>
        <w:spacing w:after="0" w:line="220"/>
      </w:pPr>
      <w:r>
        <w:rPr>
          <w:rFonts w:ascii="Courier New" w:cs="Courier New" w:eastAsia="Courier New" w:hAnsi="Courier New"/>
          <w:sz w:val="18"/>
          <w:szCs w:val="18"/>
        </w:rPr>
        <w:t xml:space="preserve">  author={Yao, Shunyu and Zhao, Jeffrey and Yu, Dian and Du, Nan and Shafran, Izhak and Narasimhan, Karthik and Cao, Yuan},</w:t>
      </w:r>
    </w:p>
    <w:p>
      <w:pPr>
        <w:spacing w:after="0" w:line="220"/>
      </w:pPr>
      <w:r>
        <w:rPr>
          <w:rFonts w:ascii="Courier New" w:cs="Courier New" w:eastAsia="Courier New" w:hAnsi="Courier New"/>
          <w:sz w:val="18"/>
          <w:szCs w:val="18"/>
        </w:rPr>
        <w:t xml:space="preserve">  booktitle={International Conference on Learning Representations (ICLR)},</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@inproceedings{yao2023tree,</w:t>
      </w:r>
    </w:p>
    <w:p>
      <w:pPr>
        <w:spacing w:after="0" w:line="220"/>
      </w:pPr>
      <w:r>
        <w:rPr>
          <w:rFonts w:ascii="Courier New" w:cs="Courier New" w:eastAsia="Courier New" w:hAnsi="Courier New"/>
          <w:sz w:val="18"/>
          <w:szCs w:val="18"/>
        </w:rPr>
        <w:t xml:space="preserve">  title={Tree of Thoughts: Deliberate Problem Solving with Large Language Models},</w:t>
      </w:r>
    </w:p>
    <w:p>
      <w:pPr>
        <w:spacing w:after="0" w:line="220"/>
      </w:pPr>
      <w:r>
        <w:rPr>
          <w:rFonts w:ascii="Courier New" w:cs="Courier New" w:eastAsia="Courier New" w:hAnsi="Courier New"/>
          <w:sz w:val="18"/>
          <w:szCs w:val="18"/>
        </w:rPr>
        <w:t xml:space="preserve">  author={Yao, Shunyu and Yu, Dian and Zhao, Jeffrey and Shafran, Izhak and Griffiths, Thomas L. and Cao, Yuan and Narasimhan, Karthik},</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@inproceedings{shinn2023reflexion,</w:t>
      </w:r>
    </w:p>
    <w:p>
      <w:pPr>
        <w:spacing w:after="0" w:line="220"/>
      </w:pPr>
      <w:r>
        <w:rPr>
          <w:rFonts w:ascii="Courier New" w:cs="Courier New" w:eastAsia="Courier New" w:hAnsi="Courier New"/>
          <w:sz w:val="18"/>
          <w:szCs w:val="18"/>
        </w:rPr>
        <w:t xml:space="preserve">  title={Reflexion: Language Agents with Verbal Reinforcement Learning},</w:t>
      </w:r>
    </w:p>
    <w:p>
      <w:pPr>
        <w:spacing w:after="0" w:line="220"/>
      </w:pPr>
      <w:r>
        <w:rPr>
          <w:rFonts w:ascii="Courier New" w:cs="Courier New" w:eastAsia="Courier New" w:hAnsi="Courier New"/>
          <w:sz w:val="18"/>
          <w:szCs w:val="18"/>
        </w:rPr>
        <w:t xml:space="preserve">  author={Shinn, Noah and Cassano, Federico and Berman, Edward and Gopinath, Ashwin and Narasimhan, Karthik and Yao, Shunyu},</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@inproceedings{schick2023toolformer,</w:t>
      </w:r>
    </w:p>
    <w:p>
      <w:pPr>
        <w:spacing w:after="0" w:line="220"/>
      </w:pPr>
      <w:r>
        <w:rPr>
          <w:rFonts w:ascii="Courier New" w:cs="Courier New" w:eastAsia="Courier New" w:hAnsi="Courier New"/>
          <w:sz w:val="18"/>
          <w:szCs w:val="18"/>
        </w:rPr>
        <w:t xml:space="preserve">  title={Toolformer: Language Models Can Teach Themselves to Use Tools},</w:t>
      </w:r>
    </w:p>
    <w:p>
      <w:pPr>
        <w:spacing w:after="0" w:line="220"/>
      </w:pPr>
      <w:r>
        <w:rPr>
          <w:rFonts w:ascii="Courier New" w:cs="Courier New" w:eastAsia="Courier New" w:hAnsi="Courier New"/>
          <w:sz w:val="18"/>
          <w:szCs w:val="18"/>
        </w:rPr>
        <w:t xml:space="preserve">  author={Schick, Timo and Dwivedi-Yu, Jane and Dessi, Roberto and Raileanu, Roberta and Lomeli, Maria and Zettlemoyer, Luke and Cancedda, Nicola and Scialom, Thomas},</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@article{wu2023autogen,</w:t>
      </w:r>
    </w:p>
    <w:p>
      <w:pPr>
        <w:spacing w:after="0" w:line="220"/>
      </w:pPr>
      <w:r>
        <w:rPr>
          <w:rFonts w:ascii="Courier New" w:cs="Courier New" w:eastAsia="Courier New" w:hAnsi="Courier New"/>
          <w:sz w:val="18"/>
          <w:szCs w:val="18"/>
        </w:rPr>
        <w:t xml:space="preserve">  title={AutoGen: Enabling Next-Gen {LLM} Applications via Multi-Agent Conversation},</w:t>
      </w:r>
    </w:p>
    <w:p>
      <w:pPr>
        <w:spacing w:after="0" w:line="220"/>
      </w:pPr>
      <w:r>
        <w:rPr>
          <w:rFonts w:ascii="Courier New" w:cs="Courier New" w:eastAsia="Courier New" w:hAnsi="Courier New"/>
          <w:sz w:val="18"/>
          <w:szCs w:val="18"/>
        </w:rPr>
        <w:t xml:space="preserve">  author={Wu, Qingyun and Bansal, Gagan and Zhang, Jieyu and Wu, Yiran and Zhang, Shaokun and Zhu, Erkang and Li, Beibin and Jiang, Li and Zhang, Xiaoyun and Wang, Chi},</w:t>
      </w:r>
    </w:p>
    <w:p>
      <w:pPr>
        <w:spacing w:after="0" w:line="220"/>
      </w:pPr>
      <w:r>
        <w:rPr>
          <w:rFonts w:ascii="Courier New" w:cs="Courier New" w:eastAsia="Courier New" w:hAnsi="Courier New"/>
          <w:sz w:val="18"/>
          <w:szCs w:val="18"/>
        </w:rPr>
        <w:t xml:space="preserve">  journal={arXiv preprint arXiv:2308.08155},</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@article{hong2023metagpt,</w:t>
      </w:r>
    </w:p>
    <w:p>
      <w:pPr>
        <w:spacing w:after="0" w:line="220"/>
      </w:pPr>
      <w:r>
        <w:rPr>
          <w:rFonts w:ascii="Courier New" w:cs="Courier New" w:eastAsia="Courier New" w:hAnsi="Courier New"/>
          <w:sz w:val="18"/>
          <w:szCs w:val="18"/>
        </w:rPr>
        <w:t xml:space="preserve">  title={{MetaGPT}: Meta Programming for a Multi-Agent Collaborative Framework},</w:t>
      </w:r>
    </w:p>
    <w:p>
      <w:pPr>
        <w:spacing w:after="0" w:line="220"/>
      </w:pPr>
      <w:r>
        <w:rPr>
          <w:rFonts w:ascii="Courier New" w:cs="Courier New" w:eastAsia="Courier New" w:hAnsi="Courier New"/>
          <w:sz w:val="18"/>
          <w:szCs w:val="18"/>
        </w:rPr>
        <w:t xml:space="preserve">  author={Hong, Sirui and Zhuge, Mingchen and Chen, Jonathan and Zheng, Xiawu and Cheng, Yuheng and Zhang, Ceyao and Wang, Jinlin and Wang, Zili and Yau, Steven Ka Shing and Lin, Zijuan and Zhou, Liyang and Ran, Chenyu and Xiao, Lingfeng and Wu, Chenglin and Schmidhuber, Juergen},</w:t>
      </w:r>
    </w:p>
    <w:p>
      <w:pPr>
        <w:spacing w:after="0" w:line="220"/>
      </w:pPr>
      <w:r>
        <w:rPr>
          <w:rFonts w:ascii="Courier New" w:cs="Courier New" w:eastAsia="Courier New" w:hAnsi="Courier New"/>
          <w:sz w:val="18"/>
          <w:szCs w:val="18"/>
        </w:rPr>
        <w:t xml:space="preserve">  journal={arXiv preprint arXiv:2308.00352},</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@inproceedings{shen2023hugginggpt,</w:t>
      </w:r>
    </w:p>
    <w:p>
      <w:pPr>
        <w:spacing w:after="0" w:line="220"/>
      </w:pPr>
      <w:r>
        <w:rPr>
          <w:rFonts w:ascii="Courier New" w:cs="Courier New" w:eastAsia="Courier New" w:hAnsi="Courier New"/>
          <w:sz w:val="18"/>
          <w:szCs w:val="18"/>
        </w:rPr>
        <w:t xml:space="preserve">  title={{HuggingGPT}: Solving {AI} Tasks with {ChatGPT} and its Friends in {Hugging Face}},</w:t>
      </w:r>
    </w:p>
    <w:p>
      <w:pPr>
        <w:spacing w:after="0" w:line="220"/>
      </w:pPr>
      <w:r>
        <w:rPr>
          <w:rFonts w:ascii="Courier New" w:cs="Courier New" w:eastAsia="Courier New" w:hAnsi="Courier New"/>
          <w:sz w:val="18"/>
          <w:szCs w:val="18"/>
        </w:rPr>
        <w:t xml:space="preserve">  author={Shen, Yongliang and Song, Kaitao and Tan, Xu and Li, Dongsheng and Lu, Weiming and Zhuang, Yueting},</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@inproceedings{wang2023selfconsistency,</w:t>
      </w:r>
    </w:p>
    <w:p>
      <w:pPr>
        <w:spacing w:after="0" w:line="220"/>
      </w:pPr>
      <w:r>
        <w:rPr>
          <w:rFonts w:ascii="Courier New" w:cs="Courier New" w:eastAsia="Courier New" w:hAnsi="Courier New"/>
          <w:sz w:val="18"/>
          <w:szCs w:val="18"/>
        </w:rPr>
        <w:t xml:space="preserve">  title={Self-Consistency Improves Chain of Thought Reasoning in Language Models},</w:t>
      </w:r>
    </w:p>
    <w:p>
      <w:pPr>
        <w:spacing w:after="0" w:line="220"/>
      </w:pPr>
      <w:r>
        <w:rPr>
          <w:rFonts w:ascii="Courier New" w:cs="Courier New" w:eastAsia="Courier New" w:hAnsi="Courier New"/>
          <w:sz w:val="18"/>
          <w:szCs w:val="18"/>
        </w:rPr>
        <w:t xml:space="preserve">  author={Wang, Xuezhi and Wei, Jason and Schuurmans, Dale and Le, Quoc and Chi, Ed and Narang, Sharan and Chowdhery, Aakanksha and Zhou, Denny},</w:t>
      </w:r>
    </w:p>
    <w:p>
      <w:pPr>
        <w:spacing w:after="0" w:line="220"/>
      </w:pPr>
      <w:r>
        <w:rPr>
          <w:rFonts w:ascii="Courier New" w:cs="Courier New" w:eastAsia="Courier New" w:hAnsi="Courier New"/>
          <w:sz w:val="18"/>
          <w:szCs w:val="18"/>
        </w:rPr>
        <w:t xml:space="preserve">  booktitle={International Conference on Learning Representations (ICLR)},</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@inproceedings{kojima2022zero,</w:t>
      </w:r>
    </w:p>
    <w:p>
      <w:pPr>
        <w:spacing w:after="0" w:line="220"/>
      </w:pPr>
      <w:r>
        <w:rPr>
          <w:rFonts w:ascii="Courier New" w:cs="Courier New" w:eastAsia="Courier New" w:hAnsi="Courier New"/>
          <w:sz w:val="18"/>
          <w:szCs w:val="18"/>
        </w:rPr>
        <w:t xml:space="preserve">  title={Large Language Models are Zero-Shot Reasoners},</w:t>
      </w:r>
    </w:p>
    <w:p>
      <w:pPr>
        <w:spacing w:after="0" w:line="220"/>
      </w:pPr>
      <w:r>
        <w:rPr>
          <w:rFonts w:ascii="Courier New" w:cs="Courier New" w:eastAsia="Courier New" w:hAnsi="Courier New"/>
          <w:sz w:val="18"/>
          <w:szCs w:val="18"/>
        </w:rPr>
        <w:t xml:space="preserve">  author={Kojima, Takeshi and Gu, Shixiang Shane and Reid, Machel and Matsuo, Yutaka and Iwasawa, Yusuke},</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year={2022}</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@article{wang2023survey,</w:t>
      </w:r>
    </w:p>
    <w:p>
      <w:pPr>
        <w:spacing w:after="0" w:line="220"/>
      </w:pPr>
      <w:r>
        <w:rPr>
          <w:rFonts w:ascii="Courier New" w:cs="Courier New" w:eastAsia="Courier New" w:hAnsi="Courier New"/>
          <w:sz w:val="18"/>
          <w:szCs w:val="18"/>
        </w:rPr>
        <w:t xml:space="preserve">  title={A Survey on Large Language Model based Autonomous Agents},</w:t>
      </w:r>
    </w:p>
    <w:p>
      <w:pPr>
        <w:spacing w:after="0" w:line="220"/>
      </w:pPr>
      <w:r>
        <w:rPr>
          <w:rFonts w:ascii="Courier New" w:cs="Courier New" w:eastAsia="Courier New" w:hAnsi="Courier New"/>
          <w:sz w:val="18"/>
          <w:szCs w:val="18"/>
        </w:rPr>
        <w:t xml:space="preserve">  author={Wang, Lei and Ma, Chen and Feng, Xueyang and Zhang, Zeyu and Yang, Hao and Zhang, Jingsen and Chen, Zhiyuan and Tang, Jiakai and Chen, Xu and Lin, Yankai and Zhao, Wayne Xin and Wei, Zhewei and Wen, Ji-Rong},</w:t>
      </w:r>
    </w:p>
    <w:p>
      <w:pPr>
        <w:spacing w:after="0" w:line="220"/>
      </w:pPr>
      <w:r>
        <w:rPr>
          <w:rFonts w:ascii="Courier New" w:cs="Courier New" w:eastAsia="Courier New" w:hAnsi="Courier New"/>
          <w:sz w:val="18"/>
          <w:szCs w:val="18"/>
        </w:rPr>
        <w:t xml:space="preserve">  journal={Frontiers of Computer Science},</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@inproceedings{park2023generative,</w:t>
      </w:r>
    </w:p>
    <w:p>
      <w:pPr>
        <w:spacing w:after="0" w:line="220"/>
      </w:pPr>
      <w:r>
        <w:rPr>
          <w:rFonts w:ascii="Courier New" w:cs="Courier New" w:eastAsia="Courier New" w:hAnsi="Courier New"/>
          <w:sz w:val="18"/>
          <w:szCs w:val="18"/>
        </w:rPr>
        <w:t xml:space="preserve">  title={Generative Agents: Interactive Simulacra of Human Behavior},</w:t>
      </w:r>
    </w:p>
    <w:p>
      <w:pPr>
        <w:spacing w:after="0" w:line="220"/>
      </w:pPr>
      <w:r>
        <w:rPr>
          <w:rFonts w:ascii="Courier New" w:cs="Courier New" w:eastAsia="Courier New" w:hAnsi="Courier New"/>
          <w:sz w:val="18"/>
          <w:szCs w:val="18"/>
        </w:rPr>
        <w:t xml:space="preserve">  author={Park, Joon Sung and O'Brien, Joseph C. and Cai, Carrie J. and Morris, Meredith Ringel and Liang, Percy and Bernstein, Michael S.},</w:t>
      </w:r>
    </w:p>
    <w:p>
      <w:pPr>
        <w:spacing w:after="0" w:line="220"/>
      </w:pPr>
      <w:r>
        <w:rPr>
          <w:rFonts w:ascii="Courier New" w:cs="Courier New" w:eastAsia="Courier New" w:hAnsi="Courier New"/>
          <w:sz w:val="18"/>
          <w:szCs w:val="18"/>
        </w:rPr>
        <w:t xml:space="preserve">  booktitle={Proceedings of the 36th Annual ACM Symposium on User Interface Software and Technology (UIST)},</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@article{huang2024planning,</w:t>
      </w:r>
    </w:p>
    <w:p>
      <w:pPr>
        <w:spacing w:after="0" w:line="220"/>
      </w:pPr>
      <w:r>
        <w:rPr>
          <w:rFonts w:ascii="Courier New" w:cs="Courier New" w:eastAsia="Courier New" w:hAnsi="Courier New"/>
          <w:sz w:val="18"/>
          <w:szCs w:val="18"/>
        </w:rPr>
        <w:t xml:space="preserve">  title={Understanding the Planning of {LLM} Agents: A Survey},</w:t>
      </w:r>
    </w:p>
    <w:p>
      <w:pPr>
        <w:spacing w:after="0" w:line="220"/>
      </w:pPr>
      <w:r>
        <w:rPr>
          <w:rFonts w:ascii="Courier New" w:cs="Courier New" w:eastAsia="Courier New" w:hAnsi="Courier New"/>
          <w:sz w:val="18"/>
          <w:szCs w:val="18"/>
        </w:rPr>
        <w:t xml:space="preserve">  author={Huang, Xu and Liu, Weiwen and Chen, Xiaolong and Wang, Xingmei and Wang, Hao and Lian, Defu and Wang, Yasheng and Tang, Ruiming and Chen, Enhong},</w:t>
      </w:r>
    </w:p>
    <w:p>
      <w:pPr>
        <w:spacing w:after="0" w:line="220"/>
      </w:pPr>
      <w:r>
        <w:rPr>
          <w:rFonts w:ascii="Courier New" w:cs="Courier New" w:eastAsia="Courier New" w:hAnsi="Courier New"/>
          <w:sz w:val="18"/>
          <w:szCs w:val="18"/>
        </w:rPr>
        <w:t xml:space="preserve">  journal={arXiv preprint arXiv:2402.02716},</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@article{zhang2024memory,</w:t>
      </w:r>
    </w:p>
    <w:p>
      <w:pPr>
        <w:spacing w:after="0" w:line="220"/>
      </w:pPr>
      <w:r>
        <w:rPr>
          <w:rFonts w:ascii="Courier New" w:cs="Courier New" w:eastAsia="Courier New" w:hAnsi="Courier New"/>
          <w:sz w:val="18"/>
          <w:szCs w:val="18"/>
        </w:rPr>
        <w:t xml:space="preserve">  title={A Survey on the Memory Mechanism of Large Language Model based Agents},</w:t>
      </w:r>
    </w:p>
    <w:p>
      <w:pPr>
        <w:spacing w:after="0" w:line="220"/>
      </w:pPr>
      <w:r>
        <w:rPr>
          <w:rFonts w:ascii="Courier New" w:cs="Courier New" w:eastAsia="Courier New" w:hAnsi="Courier New"/>
          <w:sz w:val="18"/>
          <w:szCs w:val="18"/>
        </w:rPr>
        <w:t xml:space="preserve">  author={Zhang, Zeyu and Zhang, Xiaohe and Wang, Yuanpei and Sun, Sibo and Wen, Ji-Rong and Zhao, Wayne Xin},</w:t>
      </w:r>
    </w:p>
    <w:p>
      <w:pPr>
        <w:spacing w:after="0" w:line="220"/>
      </w:pPr>
      <w:r>
        <w:rPr>
          <w:rFonts w:ascii="Courier New" w:cs="Courier New" w:eastAsia="Courier New" w:hAnsi="Courier New"/>
          <w:sz w:val="18"/>
          <w:szCs w:val="18"/>
        </w:rPr>
        <w:t xml:space="preserve">  journal={arXiv preprint arXiv:2404.13501},</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@inproceedings{besta2024graph,</w:t>
      </w:r>
    </w:p>
    <w:p>
      <w:pPr>
        <w:spacing w:after="0" w:line="220"/>
      </w:pPr>
      <w:r>
        <w:rPr>
          <w:rFonts w:ascii="Courier New" w:cs="Courier New" w:eastAsia="Courier New" w:hAnsi="Courier New"/>
          <w:sz w:val="18"/>
          <w:szCs w:val="18"/>
        </w:rPr>
        <w:t xml:space="preserve">  title={Graph of Thoughts: Solving Elaborate Problems with Large Language Models},</w:t>
      </w:r>
    </w:p>
    <w:p>
      <w:pPr>
        <w:spacing w:after="0" w:line="220"/>
      </w:pPr>
      <w:r>
        <w:rPr>
          <w:rFonts w:ascii="Courier New" w:cs="Courier New" w:eastAsia="Courier New" w:hAnsi="Courier New"/>
          <w:sz w:val="18"/>
          <w:szCs w:val="18"/>
        </w:rPr>
        <w:t xml:space="preserve">  author={Besta, Maciej and Blach, Nils and Kubicek, Ales and Gerstenberger, Robert and Gianinazzi, Lukas and Gajber, Joanna and Lehmann, Tomasz and Nyczyk, Michal and Copik, Marcin and Hoefler, Torsten},</w:t>
      </w:r>
    </w:p>
    <w:p>
      <w:pPr>
        <w:spacing w:after="0" w:line="220"/>
      </w:pPr>
      <w:r>
        <w:rPr>
          <w:rFonts w:ascii="Courier New" w:cs="Courier New" w:eastAsia="Courier New" w:hAnsi="Courier New"/>
          <w:sz w:val="18"/>
          <w:szCs w:val="18"/>
        </w:rPr>
        <w:t xml:space="preserve">  booktitle={Proceedings of the AAAI Conference on Artificial Intelligence},</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@article{mialon2023augmented,</w:t>
      </w:r>
    </w:p>
    <w:p>
      <w:pPr>
        <w:spacing w:after="0" w:line="220"/>
      </w:pPr>
      <w:r>
        <w:rPr>
          <w:rFonts w:ascii="Courier New" w:cs="Courier New" w:eastAsia="Courier New" w:hAnsi="Courier New"/>
          <w:sz w:val="18"/>
          <w:szCs w:val="18"/>
        </w:rPr>
        <w:t xml:space="preserve">  title={Augmented Language Models: a Survey},</w:t>
      </w:r>
    </w:p>
    <w:p>
      <w:pPr>
        <w:spacing w:after="0" w:line="220"/>
      </w:pPr>
      <w:r>
        <w:rPr>
          <w:rFonts w:ascii="Courier New" w:cs="Courier New" w:eastAsia="Courier New" w:hAnsi="Courier New"/>
          <w:sz w:val="18"/>
          <w:szCs w:val="18"/>
        </w:rPr>
        <w:t xml:space="preserve">  author={Mialon, Gregoire and Dessi, Roberto and Lomeli, Maria and Nalmpantis, Christoforos and Pasunuru, Ram and Raileanu, Roberta and Roziere, Baptiste and Schick, Timo and Dwivedi-Yu, Jane and Celikyilmaz, Asli and Grave, Edouard and LeCun, Yann and Scialom, Thomas},</w:t>
      </w:r>
    </w:p>
    <w:p>
      <w:pPr>
        <w:spacing w:after="0" w:line="220"/>
      </w:pPr>
      <w:r>
        <w:rPr>
          <w:rFonts w:ascii="Courier New" w:cs="Courier New" w:eastAsia="Courier New" w:hAnsi="Courier New"/>
          <w:sz w:val="18"/>
          <w:szCs w:val="18"/>
        </w:rPr>
        <w:t xml:space="preserve">  journal={Transactions on Machine Learning Research},</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@inproceedings{liang2023encouraging,</w:t>
      </w:r>
    </w:p>
    <w:p>
      <w:pPr>
        <w:spacing w:after="0" w:line="220"/>
      </w:pPr>
      <w:r>
        <w:rPr>
          <w:rFonts w:ascii="Courier New" w:cs="Courier New" w:eastAsia="Courier New" w:hAnsi="Courier New"/>
          <w:sz w:val="18"/>
          <w:szCs w:val="18"/>
        </w:rPr>
        <w:t xml:space="preserve">  title={Encouraging Divergent Thinking in Large Language Models through Multi-Agent Debate},</w:t>
      </w:r>
    </w:p>
    <w:p>
      <w:pPr>
        <w:spacing w:after="0" w:line="220"/>
      </w:pPr>
      <w:r>
        <w:rPr>
          <w:rFonts w:ascii="Courier New" w:cs="Courier New" w:eastAsia="Courier New" w:hAnsi="Courier New"/>
          <w:sz w:val="18"/>
          <w:szCs w:val="18"/>
        </w:rPr>
        <w:t xml:space="preserve">  author={Liang, Tian and He, Zhiwei and Jiao, Wenxiang and Wang, Xing and Wang, Yan and Wang, Rui and Yang, Yujiu and Tu, Zhaopeng and Shi, Shuming},</w:t>
      </w:r>
    </w:p>
    <w:p>
      <w:pPr>
        <w:spacing w:after="0" w:line="220"/>
      </w:pPr>
      <w:r>
        <w:rPr>
          <w:rFonts w:ascii="Courier New" w:cs="Courier New" w:eastAsia="Courier New" w:hAnsi="Courier New"/>
          <w:sz w:val="18"/>
          <w:szCs w:val="18"/>
        </w:rPr>
        <w:t xml:space="preserve">  booktitle={Conference on Empirical Methods in Natural Language Processing (EMNLP)},</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@inproceedings{du2023improving,</w:t>
      </w:r>
    </w:p>
    <w:p>
      <w:pPr>
        <w:spacing w:after="0" w:line="220"/>
      </w:pPr>
      <w:r>
        <w:rPr>
          <w:rFonts w:ascii="Courier New" w:cs="Courier New" w:eastAsia="Courier New" w:hAnsi="Courier New"/>
          <w:sz w:val="18"/>
          <w:szCs w:val="18"/>
        </w:rPr>
        <w:t xml:space="preserve">  title={Improving Factuality and Reasoning in Language Models through Multiagent Debate},</w:t>
      </w:r>
    </w:p>
    <w:p>
      <w:pPr>
        <w:spacing w:after="0" w:line="220"/>
      </w:pPr>
      <w:r>
        <w:rPr>
          <w:rFonts w:ascii="Courier New" w:cs="Courier New" w:eastAsia="Courier New" w:hAnsi="Courier New"/>
          <w:sz w:val="18"/>
          <w:szCs w:val="18"/>
        </w:rPr>
        <w:t xml:space="preserve">  author={Du, Yilun and Li, Shuang and Torralba, Antonio and Tenenbaum, Joshua B. and Mordatch, Igor},</w:t>
      </w:r>
    </w:p>
    <w:p>
      <w:pPr>
        <w:spacing w:after="0" w:line="220"/>
      </w:pPr>
      <w:r>
        <w:rPr>
          <w:rFonts w:ascii="Courier New" w:cs="Courier New" w:eastAsia="Courier New" w:hAnsi="Courier New"/>
          <w:sz w:val="18"/>
          <w:szCs w:val="18"/>
        </w:rPr>
        <w:t xml:space="preserve">  booktitle={International Conference on Machine Learning (ICML)},</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@inproceedings{madaan2023selfrefine,</w:t>
      </w:r>
    </w:p>
    <w:p>
      <w:pPr>
        <w:spacing w:after="0" w:line="220"/>
      </w:pPr>
      <w:r>
        <w:rPr>
          <w:rFonts w:ascii="Courier New" w:cs="Courier New" w:eastAsia="Courier New" w:hAnsi="Courier New"/>
          <w:sz w:val="18"/>
          <w:szCs w:val="18"/>
        </w:rPr>
        <w:t xml:space="preserve">  title={Self-Refine: Iterative Refinement with Self-Feedback},</w:t>
      </w:r>
    </w:p>
    <w:p>
      <w:pPr>
        <w:spacing w:after="0" w:line="220"/>
      </w:pPr>
      <w:r>
        <w:rPr>
          <w:rFonts w:ascii="Courier New" w:cs="Courier New" w:eastAsia="Courier New" w:hAnsi="Courier New"/>
          <w:sz w:val="18"/>
          <w:szCs w:val="18"/>
        </w:rPr>
        <w:t xml:space="preserve">  author={Madaan, Aman and Tandon, Niket and Gupta, Prakhar and Hallinan, Skyler and Gao, Luyu and Wiegreffe, Sarah and Alon, Uri and Dziri, Nouha and Prabhumoye, Shrimai and Yang, Yiming and others},</w:t>
      </w:r>
    </w:p>
    <w:p>
      <w:pPr>
        <w:spacing w:after="0" w:line="220"/>
      </w:pPr>
      <w:r>
        <w:rPr>
          <w:rFonts w:ascii="Courier New" w:cs="Courier New" w:eastAsia="Courier New" w:hAnsi="Courier New"/>
          <w:sz w:val="18"/>
          <w:szCs w:val="18"/>
        </w:rPr>
        <w:t xml:space="preserve">  booktitle={Advances in Neural Information Processing Systems (NeurIPS)},</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@inproceedings{qian2024chatdev,</w:t>
      </w:r>
    </w:p>
    <w:p>
      <w:pPr>
        <w:spacing w:after="0" w:line="220"/>
      </w:pPr>
      <w:r>
        <w:rPr>
          <w:rFonts w:ascii="Courier New" w:cs="Courier New" w:eastAsia="Courier New" w:hAnsi="Courier New"/>
          <w:sz w:val="18"/>
          <w:szCs w:val="18"/>
        </w:rPr>
        <w:t xml:space="preserve">  title={ChatDev: Communicative Agents for Software Development},</w:t>
      </w:r>
    </w:p>
    <w:p>
      <w:pPr>
        <w:spacing w:after="0" w:line="220"/>
      </w:pPr>
      <w:r>
        <w:rPr>
          <w:rFonts w:ascii="Courier New" w:cs="Courier New" w:eastAsia="Courier New" w:hAnsi="Courier New"/>
          <w:sz w:val="18"/>
          <w:szCs w:val="18"/>
        </w:rPr>
        <w:t xml:space="preserve">  author={Qian, Chen and Liu, Wei and Liu, Hongzhang and Chen, Nuo and Dang, Yufan and Li, Jiahao and Yang, Cheng and Chen, Weize and Su, Yusheng and Cong, Xin and others},</w:t>
      </w:r>
    </w:p>
    <w:p>
      <w:pPr>
        <w:spacing w:after="0" w:line="220"/>
      </w:pPr>
      <w:r>
        <w:rPr>
          <w:rFonts w:ascii="Courier New" w:cs="Courier New" w:eastAsia="Courier New" w:hAnsi="Courier New"/>
          <w:sz w:val="18"/>
          <w:szCs w:val="18"/>
        </w:rPr>
        <w:t xml:space="preserve">  booktitle={Proceedings of the 62nd Annual Meeting of the Association for Computational Linguistics (ACL)},</w:t>
      </w:r>
    </w:p>
    <w:p>
      <w:pPr>
        <w:spacing w:after="0" w:line="220"/>
      </w:pPr>
      <w:r>
        <w:rPr>
          <w:rFonts w:ascii="Courier New" w:cs="Courier New" w:eastAsia="Courier New" w:hAnsi="Courier New"/>
          <w:sz w:val="18"/>
          <w:szCs w:val="18"/>
        </w:rPr>
        <w:t xml:space="preserve">  year={2024}</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p>
      <w:pPr>
        <w:spacing w:after="0" w:line="220"/>
      </w:pPr>
      <w:r>
        <w:rPr>
          <w:rFonts w:ascii="Courier New" w:cs="Courier New" w:eastAsia="Courier New" w:hAnsi="Courier New"/>
          <w:sz w:val="18"/>
          <w:szCs w:val="18"/>
        </w:rPr>
        <w:t xml:space="preserve">@article{xi2023rise,</w:t>
      </w:r>
    </w:p>
    <w:p>
      <w:pPr>
        <w:spacing w:after="0" w:line="220"/>
      </w:pPr>
      <w:r>
        <w:rPr>
          <w:rFonts w:ascii="Courier New" w:cs="Courier New" w:eastAsia="Courier New" w:hAnsi="Courier New"/>
          <w:sz w:val="18"/>
          <w:szCs w:val="18"/>
        </w:rPr>
        <w:t xml:space="preserve">  title={The Rise and Potential of Large Language Model Based Agents: A Survey},</w:t>
      </w:r>
    </w:p>
    <w:p>
      <w:pPr>
        <w:spacing w:after="0" w:line="220"/>
      </w:pPr>
      <w:r>
        <w:rPr>
          <w:rFonts w:ascii="Courier New" w:cs="Courier New" w:eastAsia="Courier New" w:hAnsi="Courier New"/>
          <w:sz w:val="18"/>
          <w:szCs w:val="18"/>
        </w:rPr>
        <w:t xml:space="preserve">  author={Xi, Zhiheng and Chen, Wenxiang and Guo, Xin and He, Wei and Ding, Yiwen and Hong, Boyang and Zhang, Ming and Wang, Junzhe and Jin, Senjie and Zhou, Enyu and others},</w:t>
      </w:r>
    </w:p>
    <w:p>
      <w:pPr>
        <w:spacing w:after="0" w:line="220"/>
      </w:pPr>
      <w:r>
        <w:rPr>
          <w:rFonts w:ascii="Courier New" w:cs="Courier New" w:eastAsia="Courier New" w:hAnsi="Courier New"/>
          <w:sz w:val="18"/>
          <w:szCs w:val="18"/>
        </w:rPr>
        <w:t xml:space="preserve">  journal={arXiv preprint arXiv:2309.07864},</w:t>
      </w:r>
    </w:p>
    <w:p>
      <w:pPr>
        <w:spacing w:after="0" w:line="220"/>
      </w:pPr>
      <w:r>
        <w:rPr>
          <w:rFonts w:ascii="Courier New" w:cs="Courier New" w:eastAsia="Courier New" w:hAnsi="Courier New"/>
          <w:sz w:val="18"/>
          <w:szCs w:val="18"/>
        </w:rPr>
        <w:t xml:space="preserve">  year={2023}</w:t>
      </w:r>
    </w:p>
    <w:p>
      <w:pPr>
        <w:spacing w:after="0" w:line="220"/>
      </w:pPr>
      <w:r>
        <w:rPr>
          <w:rFonts w:ascii="Courier New" w:cs="Courier New" w:eastAsia="Courier New" w:hAnsi="Courier New"/>
          <w:sz w:val="18"/>
          <w:szCs w:val="18"/>
        </w:rPr>
        <w:t xml:space="preserve">}</w:t>
      </w:r>
    </w:p>
    <w:p>
      <w:pPr>
        <w:spacing w:after="0" w:line="220"/>
      </w:pPr>
      <w:r>
        <w:rPr>
          <w:rFonts w:ascii="Courier New" w:cs="Courier New" w:eastAsia="Courier New" w:hAnsi="Courier New"/>
          <w:sz w:val="18"/>
          <w:szCs w:val="18"/>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Agentic AI Design Patterns  |  Deep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A6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2026-03-06T13:59:58.483Z</dcterms:created>
  <dcterms:modified xsi:type="dcterms:W3CDTF">2026-03-06T13:59:58.484Z</dcterms:modified>
</cp:coreProperties>
</file>

<file path=docProps/custom.xml><?xml version="1.0" encoding="utf-8"?>
<Properties xmlns="http://schemas.openxmlformats.org/officeDocument/2006/custom-properties" xmlns:vt="http://schemas.openxmlformats.org/officeDocument/2006/docPropsVTypes"/>
</file>