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м/с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(безразмерн) табл. П2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&lt;m</m:t>
              </m:r>
            </m:oMath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≤w≤m</m:t>
              </m:r>
            </m:oMath>
            <w:r w:rsidR="006A755D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м/с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ххх,ххх</w:t>
            </w:r>
          </w:p>
        </w:tc>
      </w:tr>
      <w:tr w:rsidR="00443203" w:rsidTr="00180513">
        <w:tc>
          <w:tcPr>
            <w:tcW w:w="3190" w:type="dxa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220E37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(Желтов Разработка нефтяных месторождений, 1986, с.216), 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8665C0" w:rsidRPr="00F87F22" w:rsidTr="000351D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665C0" w:rsidRPr="00220E37" w:rsidRDefault="008665C0" w:rsidP="00EA0B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нефтепродукта </w:t>
            </w:r>
            <w:r w:rsidR="00704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(п.1.1.1.1.19)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auto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auto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  <w:tr w:rsidR="00220E37" w:rsidRPr="008B78BF" w:rsidTr="00C17392">
        <w:tc>
          <w:tcPr>
            <w:tcW w:w="3190" w:type="dxa"/>
            <w:shd w:val="clear" w:color="auto" w:fill="E2EFD9" w:themeFill="accent6" w:themeFillTint="33"/>
          </w:tcPr>
          <w:p w:rsidR="00220E37" w:rsidRDefault="00C17392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220E37" w:rsidRPr="000351D4" w:rsidRDefault="00220E37" w:rsidP="00220E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атегория загрязнения г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рунтов</w:t>
            </w:r>
            <w:r w:rsidR="007049FA">
              <w:rPr>
                <w:rFonts w:ascii="Times New Roman" w:hAnsi="Times New Roman" w:cs="Times New Roman"/>
                <w:sz w:val="28"/>
                <w:szCs w:val="28"/>
              </w:rPr>
              <w:t xml:space="preserve"> (п.1.1.1.1.18)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0351D4" w:rsidRDefault="00A51CC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211EE9" w:rsidP="00211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211EE9"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  <w:r w:rsidR="008B5DBC"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r w:rsidR="0001352F">
              <w:rPr>
                <w:rFonts w:ascii="Times New Roman" w:hAnsi="Times New Roman" w:cs="Times New Roman"/>
                <w:sz w:val="28"/>
                <w:szCs w:val="28"/>
              </w:rPr>
              <w:t>(п.1.1.1.1.23)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  <w:tr w:rsidR="000351D4" w:rsidRPr="000351D4" w:rsidTr="000351D4">
        <w:tc>
          <w:tcPr>
            <w:tcW w:w="3190" w:type="dxa"/>
            <w:shd w:val="clear" w:color="auto" w:fill="E2EFD9" w:themeFill="accent6" w:themeFillTint="33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0351D4" w:rsidRPr="000351D4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 (п.1.1.1.1.23)</w:t>
            </w:r>
          </w:p>
        </w:tc>
      </w:tr>
      <w:tr w:rsidR="000351D4" w:rsidRPr="0032677E" w:rsidTr="000351D4">
        <w:tc>
          <w:tcPr>
            <w:tcW w:w="3190" w:type="dxa"/>
            <w:shd w:val="clear" w:color="auto" w:fill="E2EFD9" w:themeFill="accent6" w:themeFillTint="33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0351D4" w:rsidRPr="0032677E" w:rsidRDefault="000351D4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грунтовых вод</w:t>
            </w:r>
            <w:r w:rsidR="0032677E">
              <w:rPr>
                <w:rFonts w:ascii="Times New Roman" w:hAnsi="Times New Roman" w:cs="Times New Roman"/>
                <w:sz w:val="28"/>
                <w:szCs w:val="28"/>
              </w:rPr>
              <w:t xml:space="preserve"> (п.1.1.1.1.22)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A7696C">
        <w:tc>
          <w:tcPr>
            <w:tcW w:w="3190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A7696C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A7696C">
        <w:tc>
          <w:tcPr>
            <w:tcW w:w="3190" w:type="dxa"/>
            <w:shd w:val="clear" w:color="auto" w:fill="E2EFD9" w:themeFill="accent6" w:themeFillTint="33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C1C03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 (</w:t>
      </w:r>
      <w:r w:rsidR="0032677E">
        <w:rPr>
          <w:rFonts w:ascii="Times New Roman" w:hAnsi="Times New Roman" w:cs="Times New Roman"/>
          <w:b/>
          <w:sz w:val="28"/>
          <w:szCs w:val="28"/>
          <w:lang w:val="en-US"/>
        </w:rPr>
        <w:t>SoilPollutionC</w:t>
      </w:r>
      <w:r w:rsidR="0032677E"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18.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грунта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 разлитого 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19.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нефтепродукта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нефтепродукта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Accidents</w:t>
      </w:r>
      <w:r w:rsidRPr="00F6080B">
        <w:rPr>
          <w:rFonts w:ascii="Times New Roman" w:hAnsi="Times New Roman" w:cs="Times New Roman"/>
          <w:b/>
          <w:sz w:val="28"/>
          <w:szCs w:val="28"/>
          <w:lang w:val="en-US"/>
        </w:rPr>
        <w:t>Classification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(кг)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(кг)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enetration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r w:rsidRPr="00152C0D">
        <w:rPr>
          <w:rFonts w:ascii="Times New Roman" w:hAnsi="Times New Roman" w:cs="Times New Roman"/>
          <w:b/>
          <w:sz w:val="28"/>
          <w:szCs w:val="28"/>
        </w:rPr>
        <w:t>epth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21.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22.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660"/>
        <w:gridCol w:w="6804"/>
      </w:tblGrid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71858">
        <w:rPr>
          <w:rFonts w:ascii="Times New Roman" w:hAnsi="Times New Roman" w:cs="Times New Roman"/>
          <w:b/>
          <w:sz w:val="28"/>
          <w:szCs w:val="28"/>
        </w:rPr>
        <w:t>Water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71858">
        <w:rPr>
          <w:rFonts w:ascii="Times New Roman" w:hAnsi="Times New Roman" w:cs="Times New Roman"/>
          <w:b/>
          <w:sz w:val="28"/>
          <w:szCs w:val="28"/>
        </w:rPr>
        <w:t>rotection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1858">
        <w:rPr>
          <w:rFonts w:ascii="Times New Roman" w:hAnsi="Times New Roman" w:cs="Times New Roman"/>
          <w:b/>
          <w:sz w:val="28"/>
          <w:szCs w:val="28"/>
        </w:rPr>
        <w:t>reas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2802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71858">
        <w:rPr>
          <w:rFonts w:ascii="Times New Roman" w:hAnsi="Times New Roman" w:cs="Times New Roman"/>
          <w:b/>
          <w:sz w:val="28"/>
          <w:szCs w:val="28"/>
        </w:rPr>
        <w:t>leaning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71858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24.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48107B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C1C03" w:rsidRPr="00A36C6E" w:rsidRDefault="003C1C03" w:rsidP="003C1C03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71858">
        <w:rPr>
          <w:rFonts w:ascii="Times New Roman" w:hAnsi="Times New Roman" w:cs="Times New Roman"/>
          <w:b/>
          <w:sz w:val="28"/>
          <w:szCs w:val="28"/>
        </w:rPr>
        <w:t>leaning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71858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C1C03" w:rsidRPr="00025D2D" w:rsidRDefault="003C1C03" w:rsidP="003C1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DA0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C1C03" w:rsidRDefault="003C1C03" w:rsidP="003C1C03">
      <w:pPr>
        <w:rPr>
          <w:rFonts w:ascii="Times New Roman" w:hAnsi="Times New Roman" w:cs="Times New Roman"/>
          <w:sz w:val="28"/>
          <w:szCs w:val="28"/>
        </w:rPr>
      </w:pPr>
    </w:p>
    <w:p w:rsidR="003C1C03" w:rsidRDefault="003C1C03" w:rsidP="003C1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90"/>
        <w:gridCol w:w="6274"/>
      </w:tblGrid>
      <w:tr w:rsidR="003C1C03" w:rsidTr="00CD2EEC">
        <w:tc>
          <w:tcPr>
            <w:tcW w:w="3190" w:type="dxa"/>
            <w:shd w:val="clear" w:color="auto" w:fill="E2EFD9" w:themeFill="accent6" w:themeFillTint="33"/>
          </w:tcPr>
          <w:p w:rsidR="003C1C03" w:rsidRDefault="003C1C03" w:rsidP="002724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C1C03" w:rsidRDefault="003C1C03" w:rsidP="002724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C1C03" w:rsidTr="00CD2EEC">
        <w:tc>
          <w:tcPr>
            <w:tcW w:w="3190" w:type="dxa"/>
            <w:shd w:val="clear" w:color="auto" w:fill="E2EFD9" w:themeFill="accent6" w:themeFillTint="33"/>
          </w:tcPr>
          <w:p w:rsidR="003C1C03" w:rsidRPr="005E244C" w:rsidRDefault="003C1C03" w:rsidP="0027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C1C03" w:rsidRPr="002F05B3" w:rsidRDefault="003C1C03" w:rsidP="00272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C1C03" w:rsidTr="00CD2EEC">
        <w:tc>
          <w:tcPr>
            <w:tcW w:w="3190" w:type="dxa"/>
            <w:shd w:val="clear" w:color="auto" w:fill="E2EFD9" w:themeFill="accent6" w:themeFillTint="33"/>
          </w:tcPr>
          <w:p w:rsidR="003C1C03" w:rsidRPr="00D014F1" w:rsidRDefault="003C1C03" w:rsidP="0027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C1C03" w:rsidRPr="00D014F1" w:rsidRDefault="003C1C03" w:rsidP="00272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3C1C03" w:rsidTr="00CD2EEC">
        <w:tc>
          <w:tcPr>
            <w:tcW w:w="3190" w:type="dxa"/>
            <w:shd w:val="clear" w:color="auto" w:fill="E2EFD9" w:themeFill="accent6" w:themeFillTint="33"/>
          </w:tcPr>
          <w:p w:rsidR="003C1C03" w:rsidRPr="0048107B" w:rsidRDefault="003C1C03" w:rsidP="00272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C1C03" w:rsidRDefault="003C1C03" w:rsidP="00272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C1C03" w:rsidRPr="00A36C6E" w:rsidRDefault="003C1C03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D601C7" w:rsidRDefault="0032677E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Pr="0086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oilPollution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грунта (п.1.1.1.1.18)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32677E" w:rsidRDefault="0032677E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77E">
              <w:rPr>
                <w:rFonts w:ascii="Times New Roman" w:hAnsi="Times New Roman" w:cs="Times New Roman"/>
                <w:sz w:val="28"/>
                <w:szCs w:val="28"/>
              </w:rPr>
              <w:t>penetrationdepth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НП (п.1.1.1.1.21)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assification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 (п.1.1.1.1.20)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полученное в результате разлива нефтепродуктов.    Свойства понятия 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D9" w:rsidRDefault="009465D9">
      <w:pPr>
        <w:spacing w:line="240" w:lineRule="auto"/>
      </w:pPr>
      <w:r>
        <w:separator/>
      </w:r>
    </w:p>
  </w:endnote>
  <w:endnote w:type="continuationSeparator" w:id="0">
    <w:p w:rsidR="009465D9" w:rsidRDefault="00946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AE5879" w:rsidRDefault="00AE58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5D9">
          <w:rPr>
            <w:noProof/>
          </w:rPr>
          <w:t>1</w:t>
        </w:r>
        <w:r>
          <w:fldChar w:fldCharType="end"/>
        </w:r>
      </w:p>
    </w:sdtContent>
  </w:sdt>
  <w:p w:rsidR="00AE5879" w:rsidRDefault="00AE587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D9" w:rsidRDefault="009465D9">
      <w:pPr>
        <w:spacing w:line="240" w:lineRule="auto"/>
      </w:pPr>
      <w:r>
        <w:separator/>
      </w:r>
    </w:p>
  </w:footnote>
  <w:footnote w:type="continuationSeparator" w:id="0">
    <w:p w:rsidR="009465D9" w:rsidRDefault="009465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1352F"/>
    <w:rsid w:val="000351D4"/>
    <w:rsid w:val="000A22D7"/>
    <w:rsid w:val="000D6045"/>
    <w:rsid w:val="00161D42"/>
    <w:rsid w:val="001657EB"/>
    <w:rsid w:val="00180513"/>
    <w:rsid w:val="001A596C"/>
    <w:rsid w:val="001A7777"/>
    <w:rsid w:val="001C0AD6"/>
    <w:rsid w:val="00211EE9"/>
    <w:rsid w:val="00220E37"/>
    <w:rsid w:val="00240CFF"/>
    <w:rsid w:val="002D532F"/>
    <w:rsid w:val="0032577F"/>
    <w:rsid w:val="0032677E"/>
    <w:rsid w:val="00344FBA"/>
    <w:rsid w:val="00345814"/>
    <w:rsid w:val="00376212"/>
    <w:rsid w:val="003B117A"/>
    <w:rsid w:val="003C1C03"/>
    <w:rsid w:val="003F7F22"/>
    <w:rsid w:val="004035CD"/>
    <w:rsid w:val="00425826"/>
    <w:rsid w:val="00443203"/>
    <w:rsid w:val="004433E7"/>
    <w:rsid w:val="00453FB6"/>
    <w:rsid w:val="00464FEC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049FA"/>
    <w:rsid w:val="00741BBB"/>
    <w:rsid w:val="00751BF9"/>
    <w:rsid w:val="007971DF"/>
    <w:rsid w:val="007B4B02"/>
    <w:rsid w:val="007B7E3E"/>
    <w:rsid w:val="007D7729"/>
    <w:rsid w:val="007F1C69"/>
    <w:rsid w:val="00826D47"/>
    <w:rsid w:val="00854D51"/>
    <w:rsid w:val="0086646B"/>
    <w:rsid w:val="008665C0"/>
    <w:rsid w:val="00867833"/>
    <w:rsid w:val="008746BB"/>
    <w:rsid w:val="008B5DBC"/>
    <w:rsid w:val="008B78BF"/>
    <w:rsid w:val="008D585B"/>
    <w:rsid w:val="008F7F4A"/>
    <w:rsid w:val="009340D7"/>
    <w:rsid w:val="00935F4D"/>
    <w:rsid w:val="009465D9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AE5879"/>
    <w:rsid w:val="00B063A7"/>
    <w:rsid w:val="00B14E81"/>
    <w:rsid w:val="00B2054A"/>
    <w:rsid w:val="00B300F2"/>
    <w:rsid w:val="00B516B0"/>
    <w:rsid w:val="00C079BE"/>
    <w:rsid w:val="00C17392"/>
    <w:rsid w:val="00C22440"/>
    <w:rsid w:val="00C33EC9"/>
    <w:rsid w:val="00C719B9"/>
    <w:rsid w:val="00CA1787"/>
    <w:rsid w:val="00CA3237"/>
    <w:rsid w:val="00CB6FB9"/>
    <w:rsid w:val="00CC4ED5"/>
    <w:rsid w:val="00CD259F"/>
    <w:rsid w:val="00CD2EEC"/>
    <w:rsid w:val="00CF1CD4"/>
    <w:rsid w:val="00D601C7"/>
    <w:rsid w:val="00D61F42"/>
    <w:rsid w:val="00E563B2"/>
    <w:rsid w:val="00E5797A"/>
    <w:rsid w:val="00E774CC"/>
    <w:rsid w:val="00E83057"/>
    <w:rsid w:val="00E8323B"/>
    <w:rsid w:val="00EA0B1C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3850</Words>
  <Characters>21949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2</cp:revision>
  <dcterms:created xsi:type="dcterms:W3CDTF">2016-11-26T19:04:00Z</dcterms:created>
  <dcterms:modified xsi:type="dcterms:W3CDTF">2016-11-26T19:04:00Z</dcterms:modified>
</cp:coreProperties>
</file>